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B2" w:rsidRPr="00AD613C" w:rsidRDefault="00F329B2" w:rsidP="00F329B2">
      <w:pPr>
        <w:tabs>
          <w:tab w:val="left" w:pos="72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AD613C">
        <w:rPr>
          <w:rFonts w:ascii="Times New Roman" w:hAnsi="Times New Roman"/>
          <w:b/>
          <w:bCs/>
          <w:sz w:val="22"/>
          <w:szCs w:val="22"/>
        </w:rPr>
        <w:t>REVISION OF SECTIONS 106 AND 627</w:t>
      </w:r>
    </w:p>
    <w:p w:rsidR="00F329B2" w:rsidRDefault="00F329B2" w:rsidP="00F329B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EPOXY PAVEMENT MARKING ACCEPTANCE AND PAY FACTORS</w:t>
      </w:r>
    </w:p>
    <w:p w:rsidR="00F329B2" w:rsidRPr="00A53972" w:rsidRDefault="00F329B2" w:rsidP="00F329B2">
      <w:pPr>
        <w:pStyle w:val="Default"/>
        <w:jc w:val="center"/>
        <w:rPr>
          <w:b/>
          <w:bCs/>
          <w:sz w:val="22"/>
          <w:szCs w:val="22"/>
        </w:rPr>
      </w:pPr>
    </w:p>
    <w:p w:rsidR="00F329B2" w:rsidRPr="00B722B0" w:rsidRDefault="00F329B2" w:rsidP="00F329B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Sections 106 and 627 of the Standard Specifications are hereby revised for this project as follows:</w:t>
      </w:r>
    </w:p>
    <w:p w:rsidR="00F329B2" w:rsidRDefault="00F329B2" w:rsidP="00F329B2">
      <w:pPr>
        <w:pStyle w:val="Default"/>
        <w:rPr>
          <w:b/>
          <w:bCs/>
          <w:sz w:val="22"/>
          <w:szCs w:val="22"/>
        </w:rPr>
      </w:pPr>
    </w:p>
    <w:p w:rsidR="00F329B2" w:rsidRPr="00B722B0" w:rsidRDefault="00F329B2" w:rsidP="00F329B2">
      <w:pPr>
        <w:widowControl/>
        <w:tabs>
          <w:tab w:val="left" w:pos="630"/>
        </w:tabs>
        <w:rPr>
          <w:rFonts w:ascii="Times New Roman" w:hAnsi="Times New Roman"/>
          <w:sz w:val="22"/>
          <w:szCs w:val="22"/>
        </w:rPr>
      </w:pPr>
      <w:r w:rsidRPr="00B722B0">
        <w:rPr>
          <w:rFonts w:ascii="Times New Roman" w:hAnsi="Times New Roman"/>
          <w:sz w:val="22"/>
          <w:szCs w:val="22"/>
        </w:rPr>
        <w:t>Subsection 106.03 shall include the following:</w:t>
      </w:r>
    </w:p>
    <w:p w:rsidR="00F329B2" w:rsidRPr="00541F48" w:rsidRDefault="00F329B2" w:rsidP="00F329B2">
      <w:pPr>
        <w:widowControl/>
        <w:tabs>
          <w:tab w:val="left" w:pos="630"/>
        </w:tabs>
        <w:rPr>
          <w:rFonts w:ascii="Times New Roman" w:hAnsi="Times New Roman"/>
          <w:b/>
          <w:sz w:val="22"/>
          <w:szCs w:val="22"/>
        </w:rPr>
      </w:pPr>
    </w:p>
    <w:p w:rsidR="00F329B2" w:rsidRPr="00893530" w:rsidRDefault="00F329B2" w:rsidP="00F329B2">
      <w:pPr>
        <w:widowControl/>
        <w:tabs>
          <w:tab w:val="left" w:pos="6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Contractor shall provide retro-reflectivity readings</w:t>
      </w:r>
      <w:r w:rsidRPr="00CE2BE9">
        <w:rPr>
          <w:rFonts w:ascii="Times New Roman" w:hAnsi="Times New Roman"/>
          <w:sz w:val="22"/>
          <w:szCs w:val="22"/>
        </w:rPr>
        <w:t xml:space="preserve"> for each 1 mile of</w:t>
      </w:r>
      <w:r>
        <w:rPr>
          <w:rFonts w:ascii="Times New Roman" w:hAnsi="Times New Roman"/>
          <w:sz w:val="22"/>
          <w:szCs w:val="22"/>
        </w:rPr>
        <w:t xml:space="preserve"> Epoxy Pavement Marking</w:t>
      </w:r>
      <w:r w:rsidRPr="00CE2BE9">
        <w:rPr>
          <w:rFonts w:ascii="Times New Roman" w:hAnsi="Times New Roman"/>
          <w:sz w:val="22"/>
          <w:szCs w:val="22"/>
        </w:rPr>
        <w:t xml:space="preserve"> line </w:t>
      </w:r>
      <w:r w:rsidRPr="00541F48">
        <w:rPr>
          <w:rFonts w:ascii="Times New Roman" w:hAnsi="Times New Roman"/>
          <w:sz w:val="22"/>
          <w:szCs w:val="22"/>
        </w:rPr>
        <w:t>placed or fraction thereof.</w:t>
      </w:r>
      <w:r>
        <w:rPr>
          <w:rFonts w:ascii="Times New Roman" w:hAnsi="Times New Roman"/>
          <w:sz w:val="22"/>
          <w:szCs w:val="22"/>
        </w:rPr>
        <w:t xml:space="preserve"> R</w:t>
      </w:r>
      <w:r w:rsidRPr="00CE2BE9">
        <w:rPr>
          <w:rFonts w:ascii="Times New Roman" w:hAnsi="Times New Roman"/>
          <w:sz w:val="22"/>
          <w:szCs w:val="22"/>
        </w:rPr>
        <w:t>etro</w:t>
      </w:r>
      <w:r>
        <w:rPr>
          <w:rFonts w:ascii="Times New Roman" w:hAnsi="Times New Roman"/>
          <w:sz w:val="22"/>
          <w:szCs w:val="22"/>
        </w:rPr>
        <w:t>-</w:t>
      </w:r>
      <w:r w:rsidRPr="00CE2BE9">
        <w:rPr>
          <w:rFonts w:ascii="Times New Roman" w:hAnsi="Times New Roman"/>
          <w:sz w:val="22"/>
          <w:szCs w:val="22"/>
        </w:rPr>
        <w:t xml:space="preserve">reflectivity readings </w:t>
      </w:r>
      <w:r>
        <w:rPr>
          <w:rFonts w:ascii="Times New Roman" w:hAnsi="Times New Roman"/>
          <w:sz w:val="22"/>
          <w:szCs w:val="22"/>
        </w:rPr>
        <w:t>shall be taken using an available industry-accepted retro-</w:t>
      </w:r>
      <w:proofErr w:type="spellStart"/>
      <w:r>
        <w:rPr>
          <w:rFonts w:ascii="Times New Roman" w:hAnsi="Times New Roman"/>
          <w:sz w:val="22"/>
          <w:szCs w:val="22"/>
        </w:rPr>
        <w:t>reflectometer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CE2BE9">
        <w:rPr>
          <w:rFonts w:ascii="Times New Roman" w:hAnsi="Times New Roman"/>
          <w:sz w:val="22"/>
          <w:szCs w:val="22"/>
        </w:rPr>
        <w:t xml:space="preserve">and it shall be calibrated each day testing occurs.  </w:t>
      </w:r>
      <w:r>
        <w:rPr>
          <w:rFonts w:ascii="Times New Roman" w:hAnsi="Times New Roman"/>
          <w:sz w:val="22"/>
          <w:szCs w:val="22"/>
        </w:rPr>
        <w:t>The Engineer</w:t>
      </w:r>
      <w:r w:rsidRPr="00541F48">
        <w:rPr>
          <w:rFonts w:ascii="Times New Roman" w:hAnsi="Times New Roman"/>
          <w:sz w:val="22"/>
          <w:szCs w:val="22"/>
        </w:rPr>
        <w:t xml:space="preserve"> will determine a random testing location for each 1 mile section of line placed or fraction thereof.  Each test location shall represent that 1 mile of line </w:t>
      </w:r>
      <w:r w:rsidRPr="00893530">
        <w:rPr>
          <w:rFonts w:ascii="Times New Roman" w:hAnsi="Times New Roman"/>
          <w:sz w:val="22"/>
          <w:szCs w:val="22"/>
        </w:rPr>
        <w:t>placed or fraction thereof.  At each random testing location 10 retro-reflectivity readings will be taken with a 500 foot section of the continuous line.  Those 10 readings will be averaged and that average value will represent the retro-reflectivity of that 1 mile section or fraction thereof.</w:t>
      </w:r>
    </w:p>
    <w:p w:rsidR="00F329B2" w:rsidRPr="00893530" w:rsidRDefault="00F329B2" w:rsidP="00F329B2">
      <w:pPr>
        <w:widowControl/>
        <w:tabs>
          <w:tab w:val="left" w:pos="630"/>
        </w:tabs>
        <w:rPr>
          <w:rFonts w:ascii="Times New Roman" w:hAnsi="Times New Roman"/>
          <w:sz w:val="22"/>
          <w:szCs w:val="22"/>
        </w:rPr>
      </w:pPr>
    </w:p>
    <w:p w:rsidR="00F329B2" w:rsidRPr="00893530" w:rsidRDefault="00F329B2" w:rsidP="00F329B2">
      <w:pPr>
        <w:widowControl/>
        <w:tabs>
          <w:tab w:val="left" w:pos="630"/>
        </w:tabs>
        <w:rPr>
          <w:rFonts w:ascii="Times New Roman" w:hAnsi="Times New Roman"/>
          <w:sz w:val="22"/>
          <w:szCs w:val="22"/>
        </w:rPr>
      </w:pPr>
      <w:r w:rsidRPr="00893530">
        <w:rPr>
          <w:rFonts w:ascii="Times New Roman" w:hAnsi="Times New Roman"/>
          <w:sz w:val="22"/>
          <w:szCs w:val="22"/>
        </w:rPr>
        <w:t>The retro-reflectivity readings shall be taken</w:t>
      </w:r>
      <w:r>
        <w:rPr>
          <w:rFonts w:ascii="Times New Roman" w:hAnsi="Times New Roman"/>
          <w:sz w:val="22"/>
          <w:szCs w:val="22"/>
        </w:rPr>
        <w:t xml:space="preserve"> in the presence of the Engineer</w:t>
      </w:r>
      <w:r w:rsidRPr="0089353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 sooner than three</w:t>
      </w:r>
      <w:r w:rsidRPr="00893530">
        <w:rPr>
          <w:rFonts w:ascii="Times New Roman" w:hAnsi="Times New Roman"/>
          <w:sz w:val="22"/>
          <w:szCs w:val="22"/>
        </w:rPr>
        <w:t xml:space="preserve"> days</w:t>
      </w:r>
      <w:r>
        <w:rPr>
          <w:rFonts w:ascii="Times New Roman" w:hAnsi="Times New Roman"/>
          <w:sz w:val="22"/>
          <w:szCs w:val="22"/>
        </w:rPr>
        <w:t xml:space="preserve"> and no later than 21 days</w:t>
      </w:r>
      <w:r w:rsidRPr="00893530">
        <w:rPr>
          <w:rFonts w:ascii="Times New Roman" w:hAnsi="Times New Roman"/>
          <w:sz w:val="22"/>
          <w:szCs w:val="22"/>
        </w:rPr>
        <w:t xml:space="preserve"> after the marking is tack free.</w:t>
      </w:r>
      <w:r>
        <w:rPr>
          <w:rFonts w:ascii="Times New Roman" w:hAnsi="Times New Roman"/>
          <w:sz w:val="22"/>
          <w:szCs w:val="22"/>
        </w:rPr>
        <w:t xml:space="preserve">  Traffic control required for retro-reflectivity readings shall be included in the cost of work.</w:t>
      </w:r>
    </w:p>
    <w:p w:rsidR="00F329B2" w:rsidRPr="00893530" w:rsidRDefault="00F329B2" w:rsidP="00F329B2">
      <w:pPr>
        <w:pStyle w:val="CM9"/>
        <w:spacing w:after="0"/>
        <w:ind w:left="270" w:hanging="270"/>
        <w:rPr>
          <w:sz w:val="22"/>
          <w:szCs w:val="22"/>
        </w:rPr>
      </w:pPr>
    </w:p>
    <w:p w:rsidR="00F329B2" w:rsidRPr="00893530" w:rsidRDefault="00F329B2" w:rsidP="00F329B2">
      <w:pPr>
        <w:pStyle w:val="CM9"/>
        <w:spacing w:after="0"/>
        <w:rPr>
          <w:sz w:val="22"/>
          <w:szCs w:val="22"/>
        </w:rPr>
      </w:pPr>
      <w:r w:rsidRPr="00893530">
        <w:rPr>
          <w:sz w:val="22"/>
          <w:szCs w:val="22"/>
        </w:rPr>
        <w:t xml:space="preserve">Prior to taking retro-reflectivity readings, the </w:t>
      </w:r>
      <w:r>
        <w:rPr>
          <w:sz w:val="22"/>
          <w:szCs w:val="22"/>
        </w:rPr>
        <w:t>C</w:t>
      </w:r>
      <w:r w:rsidRPr="00893530">
        <w:rPr>
          <w:sz w:val="22"/>
          <w:szCs w:val="22"/>
        </w:rPr>
        <w:t xml:space="preserve">ontractor shall remove at the retro-reflectivity reading locations any excess beads placed during marking application. </w:t>
      </w:r>
    </w:p>
    <w:p w:rsidR="00F329B2" w:rsidRDefault="00F329B2" w:rsidP="00F329B2">
      <w:pPr>
        <w:pStyle w:val="Default"/>
        <w:jc w:val="center"/>
        <w:rPr>
          <w:b/>
          <w:bCs/>
          <w:sz w:val="22"/>
          <w:szCs w:val="22"/>
        </w:rPr>
      </w:pPr>
    </w:p>
    <w:p w:rsidR="00F329B2" w:rsidRDefault="00F329B2" w:rsidP="00F329B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Subsection 627.05 shall include the following:</w:t>
      </w:r>
    </w:p>
    <w:p w:rsidR="00F329B2" w:rsidRDefault="00F329B2" w:rsidP="00F329B2">
      <w:pPr>
        <w:pStyle w:val="Default"/>
        <w:rPr>
          <w:bCs/>
          <w:sz w:val="22"/>
          <w:szCs w:val="22"/>
        </w:rPr>
      </w:pPr>
    </w:p>
    <w:p w:rsidR="00F329B2" w:rsidRDefault="00F329B2" w:rsidP="00F329B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Epoxy pavement marking and beads shall be applied within the following limits:</w:t>
      </w:r>
    </w:p>
    <w:p w:rsidR="00F329B2" w:rsidRDefault="00F329B2" w:rsidP="00F329B2">
      <w:pPr>
        <w:pStyle w:val="Default"/>
        <w:rPr>
          <w:bCs/>
          <w:sz w:val="22"/>
          <w:szCs w:val="22"/>
        </w:rPr>
      </w:pPr>
    </w:p>
    <w:p w:rsidR="00F329B2" w:rsidRPr="00B722B0" w:rsidRDefault="00F329B2" w:rsidP="00F329B2">
      <w:pPr>
        <w:widowControl/>
        <w:jc w:val="center"/>
        <w:rPr>
          <w:rFonts w:ascii="Arial" w:eastAsia="Calibri" w:hAnsi="Arial" w:cs="Arial"/>
          <w:b/>
          <w:snapToGrid/>
          <w:sz w:val="20"/>
        </w:rPr>
      </w:pPr>
      <w:r w:rsidRPr="00B722B0">
        <w:rPr>
          <w:rFonts w:ascii="Arial" w:eastAsia="Calibri" w:hAnsi="Arial" w:cs="Arial"/>
          <w:b/>
          <w:snapToGrid/>
          <w:sz w:val="20"/>
        </w:rPr>
        <w:t>Application Rate or Coverage</w:t>
      </w:r>
      <w:r w:rsidRPr="00B722B0">
        <w:rPr>
          <w:rFonts w:ascii="Arial" w:eastAsia="Calibri" w:hAnsi="Arial" w:cs="Arial"/>
          <w:b/>
          <w:snapToGrid/>
          <w:sz w:val="20"/>
        </w:rPr>
        <w:br/>
      </w:r>
      <w:proofErr w:type="gramStart"/>
      <w:r w:rsidRPr="00B722B0">
        <w:rPr>
          <w:rFonts w:ascii="Arial" w:eastAsia="Calibri" w:hAnsi="Arial" w:cs="Arial"/>
          <w:b/>
          <w:snapToGrid/>
          <w:sz w:val="20"/>
        </w:rPr>
        <w:t>Per</w:t>
      </w:r>
      <w:proofErr w:type="gramEnd"/>
      <w:r w:rsidRPr="00B722B0">
        <w:rPr>
          <w:rFonts w:ascii="Arial" w:eastAsia="Calibri" w:hAnsi="Arial" w:cs="Arial"/>
          <w:b/>
          <w:snapToGrid/>
          <w:sz w:val="20"/>
        </w:rPr>
        <w:t xml:space="preserve"> Gallon of Epoxy Pavement Marking</w:t>
      </w:r>
    </w:p>
    <w:tbl>
      <w:tblPr>
        <w:tblW w:w="9477" w:type="dxa"/>
        <w:tblLook w:val="00A0" w:firstRow="1" w:lastRow="0" w:firstColumn="1" w:lastColumn="0" w:noHBand="0" w:noVBand="0"/>
      </w:tblPr>
      <w:tblGrid>
        <w:gridCol w:w="3078"/>
        <w:gridCol w:w="3197"/>
        <w:gridCol w:w="3202"/>
      </w:tblGrid>
      <w:tr w:rsidR="00F329B2" w:rsidRPr="00B722B0" w:rsidTr="00160106">
        <w:tc>
          <w:tcPr>
            <w:tcW w:w="3078" w:type="dxa"/>
          </w:tcPr>
          <w:p w:rsidR="00F329B2" w:rsidRPr="00B722B0" w:rsidRDefault="00F329B2" w:rsidP="00160106">
            <w:pPr>
              <w:widowControl/>
              <w:rPr>
                <w:rFonts w:ascii="Arial" w:eastAsia="Calibri" w:hAnsi="Arial" w:cs="Arial"/>
                <w:b/>
                <w:snapToGrid/>
                <w:sz w:val="20"/>
              </w:rPr>
            </w:pPr>
          </w:p>
        </w:tc>
        <w:tc>
          <w:tcPr>
            <w:tcW w:w="3197" w:type="dxa"/>
            <w:hideMark/>
          </w:tcPr>
          <w:p w:rsidR="00F329B2" w:rsidRPr="00B722B0" w:rsidRDefault="00F329B2" w:rsidP="00160106">
            <w:pPr>
              <w:widowControl/>
              <w:rPr>
                <w:rFonts w:ascii="Arial" w:eastAsia="Calibri" w:hAnsi="Arial" w:cs="Arial"/>
                <w:b/>
                <w:snapToGrid/>
                <w:sz w:val="20"/>
              </w:rPr>
            </w:pPr>
            <w:r w:rsidRPr="00B722B0">
              <w:rPr>
                <w:rFonts w:ascii="Arial" w:eastAsia="Calibri" w:hAnsi="Arial" w:cs="Arial"/>
                <w:b/>
                <w:snapToGrid/>
                <w:sz w:val="20"/>
              </w:rPr>
              <w:t>Minimum</w:t>
            </w:r>
          </w:p>
        </w:tc>
        <w:tc>
          <w:tcPr>
            <w:tcW w:w="3202" w:type="dxa"/>
            <w:hideMark/>
          </w:tcPr>
          <w:p w:rsidR="00F329B2" w:rsidRPr="00B722B0" w:rsidRDefault="00F329B2" w:rsidP="00160106">
            <w:pPr>
              <w:widowControl/>
              <w:rPr>
                <w:rFonts w:ascii="Arial" w:eastAsia="Calibri" w:hAnsi="Arial" w:cs="Arial"/>
                <w:b/>
                <w:snapToGrid/>
                <w:sz w:val="20"/>
              </w:rPr>
            </w:pPr>
            <w:r w:rsidRPr="00B722B0">
              <w:rPr>
                <w:rFonts w:ascii="Arial" w:eastAsia="Calibri" w:hAnsi="Arial" w:cs="Arial"/>
                <w:b/>
                <w:snapToGrid/>
                <w:sz w:val="20"/>
              </w:rPr>
              <w:t>Maximum</w:t>
            </w:r>
          </w:p>
        </w:tc>
      </w:tr>
      <w:tr w:rsidR="00F329B2" w:rsidRPr="00B722B0" w:rsidTr="00160106">
        <w:tc>
          <w:tcPr>
            <w:tcW w:w="3078" w:type="dxa"/>
            <w:shd w:val="clear" w:color="auto" w:fill="A6A6A6"/>
            <w:hideMark/>
          </w:tcPr>
          <w:p w:rsidR="00F329B2" w:rsidRPr="00B722B0" w:rsidRDefault="00F329B2" w:rsidP="00160106">
            <w:pPr>
              <w:widowControl/>
              <w:rPr>
                <w:rFonts w:ascii="Arial" w:eastAsia="Calibri" w:hAnsi="Arial" w:cs="Arial"/>
                <w:snapToGrid/>
                <w:sz w:val="20"/>
              </w:rPr>
            </w:pPr>
            <w:r>
              <w:rPr>
                <w:rFonts w:ascii="Arial" w:eastAsia="Calibri" w:hAnsi="Arial" w:cs="Arial"/>
                <w:snapToGrid/>
                <w:sz w:val="20"/>
              </w:rPr>
              <w:t xml:space="preserve">18 </w:t>
            </w:r>
            <w:r w:rsidRPr="00B722B0">
              <w:rPr>
                <w:rFonts w:ascii="Arial" w:eastAsia="Calibri" w:hAnsi="Arial" w:cs="Arial"/>
                <w:snapToGrid/>
                <w:sz w:val="20"/>
              </w:rPr>
              <w:t>mil marking</w:t>
            </w:r>
          </w:p>
        </w:tc>
        <w:tc>
          <w:tcPr>
            <w:tcW w:w="3197" w:type="dxa"/>
            <w:shd w:val="clear" w:color="auto" w:fill="A6A6A6"/>
            <w:hideMark/>
          </w:tcPr>
          <w:p w:rsidR="00F329B2" w:rsidRPr="00B722B0" w:rsidRDefault="00F329B2" w:rsidP="00160106">
            <w:pPr>
              <w:widowControl/>
              <w:rPr>
                <w:rFonts w:ascii="Arial" w:eastAsia="Calibri" w:hAnsi="Arial" w:cs="Arial"/>
                <w:snapToGrid/>
                <w:sz w:val="20"/>
              </w:rPr>
            </w:pPr>
            <w:r>
              <w:rPr>
                <w:rFonts w:ascii="Arial" w:eastAsia="Calibri" w:hAnsi="Arial" w:cs="Arial"/>
                <w:snapToGrid/>
                <w:sz w:val="20"/>
              </w:rPr>
              <w:t>85</w:t>
            </w:r>
            <w:r w:rsidRPr="00B722B0">
              <w:rPr>
                <w:rFonts w:ascii="Arial" w:eastAsia="Calibri" w:hAnsi="Arial" w:cs="Arial"/>
                <w:snapToGrid/>
                <w:sz w:val="20"/>
              </w:rPr>
              <w:t xml:space="preserve"> sq. ft.</w:t>
            </w:r>
          </w:p>
        </w:tc>
        <w:tc>
          <w:tcPr>
            <w:tcW w:w="3202" w:type="dxa"/>
            <w:shd w:val="clear" w:color="auto" w:fill="A6A6A6"/>
            <w:hideMark/>
          </w:tcPr>
          <w:p w:rsidR="00F329B2" w:rsidRPr="00B722B0" w:rsidRDefault="00F329B2" w:rsidP="00160106">
            <w:pPr>
              <w:widowControl/>
              <w:rPr>
                <w:rFonts w:ascii="Arial" w:eastAsia="Calibri" w:hAnsi="Arial" w:cs="Arial"/>
                <w:snapToGrid/>
                <w:sz w:val="20"/>
              </w:rPr>
            </w:pPr>
            <w:r>
              <w:rPr>
                <w:rFonts w:ascii="Arial" w:eastAsia="Calibri" w:hAnsi="Arial" w:cs="Arial"/>
                <w:snapToGrid/>
                <w:sz w:val="20"/>
              </w:rPr>
              <w:t>90</w:t>
            </w:r>
            <w:r w:rsidRPr="00B722B0">
              <w:rPr>
                <w:rFonts w:ascii="Arial" w:eastAsia="Calibri" w:hAnsi="Arial" w:cs="Arial"/>
                <w:snapToGrid/>
                <w:sz w:val="20"/>
              </w:rPr>
              <w:t xml:space="preserve"> sq. ft.</w:t>
            </w:r>
          </w:p>
        </w:tc>
      </w:tr>
      <w:tr w:rsidR="00F329B2" w:rsidRPr="00B722B0" w:rsidTr="00160106">
        <w:tc>
          <w:tcPr>
            <w:tcW w:w="3078" w:type="dxa"/>
            <w:hideMark/>
          </w:tcPr>
          <w:p w:rsidR="00F329B2" w:rsidRPr="00B722B0" w:rsidRDefault="00F329B2" w:rsidP="00160106">
            <w:pPr>
              <w:widowControl/>
              <w:rPr>
                <w:rFonts w:ascii="Arial" w:eastAsia="Calibri" w:hAnsi="Arial" w:cs="Arial"/>
                <w:snapToGrid/>
                <w:sz w:val="20"/>
              </w:rPr>
            </w:pPr>
            <w:r w:rsidRPr="00B722B0">
              <w:rPr>
                <w:rFonts w:ascii="Arial" w:eastAsia="Calibri" w:hAnsi="Arial" w:cs="Arial"/>
                <w:snapToGrid/>
                <w:sz w:val="20"/>
              </w:rPr>
              <w:t>Beads</w:t>
            </w:r>
          </w:p>
        </w:tc>
        <w:tc>
          <w:tcPr>
            <w:tcW w:w="3197" w:type="dxa"/>
            <w:hideMark/>
          </w:tcPr>
          <w:p w:rsidR="00F329B2" w:rsidRPr="00B722B0" w:rsidRDefault="00F329B2" w:rsidP="00160106">
            <w:pPr>
              <w:widowControl/>
              <w:rPr>
                <w:rFonts w:ascii="Arial" w:eastAsia="Calibri" w:hAnsi="Arial" w:cs="Arial"/>
                <w:snapToGrid/>
                <w:sz w:val="20"/>
              </w:rPr>
            </w:pPr>
            <w:r>
              <w:rPr>
                <w:rFonts w:ascii="Arial" w:eastAsia="Calibri" w:hAnsi="Arial" w:cs="Arial"/>
                <w:snapToGrid/>
                <w:sz w:val="20"/>
              </w:rPr>
              <w:t>22</w:t>
            </w:r>
            <w:r w:rsidRPr="00B722B0">
              <w:rPr>
                <w:rFonts w:ascii="Arial" w:eastAsia="Calibri" w:hAnsi="Arial" w:cs="Arial"/>
                <w:snapToGrid/>
                <w:sz w:val="20"/>
              </w:rPr>
              <w:t xml:space="preserve"> lbs.</w:t>
            </w:r>
          </w:p>
        </w:tc>
        <w:tc>
          <w:tcPr>
            <w:tcW w:w="3202" w:type="dxa"/>
            <w:hideMark/>
          </w:tcPr>
          <w:p w:rsidR="00F329B2" w:rsidRPr="00B722B0" w:rsidRDefault="00F329B2" w:rsidP="00160106">
            <w:pPr>
              <w:widowControl/>
              <w:rPr>
                <w:rFonts w:ascii="Arial" w:eastAsia="Calibri" w:hAnsi="Arial" w:cs="Arial"/>
                <w:snapToGrid/>
                <w:sz w:val="20"/>
              </w:rPr>
            </w:pPr>
          </w:p>
        </w:tc>
      </w:tr>
    </w:tbl>
    <w:p w:rsidR="00F329B2" w:rsidRDefault="00F329B2" w:rsidP="00F329B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The pay factor for Epoxy Pavement Marking which is allowed to remain in place at a reduced price shall be according to the following table and shall be applied to the unit bid price for Item 627, Modified Epoxy Pavement Marking:</w:t>
      </w:r>
    </w:p>
    <w:p w:rsidR="001D3BEC" w:rsidRDefault="001D3BEC" w:rsidP="00F329B2">
      <w:pPr>
        <w:pStyle w:val="Default"/>
        <w:rPr>
          <w:bCs/>
          <w:sz w:val="22"/>
          <w:szCs w:val="22"/>
        </w:rPr>
      </w:pPr>
    </w:p>
    <w:tbl>
      <w:tblPr>
        <w:tblW w:w="5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05"/>
        <w:gridCol w:w="2520"/>
        <w:gridCol w:w="2520"/>
      </w:tblGrid>
      <w:tr w:rsidR="00F329B2" w:rsidRPr="00020166" w:rsidTr="00160106">
        <w:trPr>
          <w:trHeight w:val="255"/>
          <w:jc w:val="center"/>
        </w:trPr>
        <w:tc>
          <w:tcPr>
            <w:tcW w:w="80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</w:rPr>
            </w:pPr>
            <w:r w:rsidRPr="00020166">
              <w:rPr>
                <w:rFonts w:ascii="Times New Roman" w:hAnsi="Times New Roman"/>
                <w:b/>
                <w:snapToGrid/>
                <w:sz w:val="20"/>
              </w:rPr>
              <w:t>Color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</w:rPr>
            </w:pPr>
            <w:r w:rsidRPr="00020166">
              <w:rPr>
                <w:rFonts w:ascii="Times New Roman" w:hAnsi="Times New Roman"/>
                <w:b/>
                <w:snapToGrid/>
                <w:sz w:val="20"/>
              </w:rPr>
              <w:t xml:space="preserve">Retro-reflectivity </w:t>
            </w:r>
            <w:r>
              <w:rPr>
                <w:rFonts w:ascii="Times New Roman" w:hAnsi="Times New Roman"/>
                <w:b/>
                <w:snapToGrid/>
                <w:sz w:val="20"/>
              </w:rPr>
              <w:t>Reading (R) in a 1-</w:t>
            </w:r>
            <w:r w:rsidRPr="00020166">
              <w:rPr>
                <w:rFonts w:ascii="Times New Roman" w:hAnsi="Times New Roman"/>
                <w:b/>
                <w:snapToGrid/>
                <w:sz w:val="20"/>
              </w:rPr>
              <w:t>mile section (</w:t>
            </w:r>
            <w:r w:rsidRPr="00020166">
              <w:rPr>
                <w:rFonts w:ascii="Times New Roman" w:hAnsi="Times New Roman"/>
                <w:snapToGrid/>
                <w:sz w:val="22"/>
                <w:szCs w:val="22"/>
              </w:rPr>
              <w:t>mcd/m</w:t>
            </w:r>
            <w:r w:rsidRPr="00020166">
              <w:rPr>
                <w:rFonts w:ascii="Times New Roman" w:hAnsi="Times New Roman"/>
                <w:snapToGrid/>
                <w:sz w:val="22"/>
                <w:szCs w:val="22"/>
                <w:vertAlign w:val="superscript"/>
              </w:rPr>
              <w:t>2</w:t>
            </w:r>
            <w:r w:rsidRPr="00020166">
              <w:rPr>
                <w:rFonts w:ascii="Times New Roman" w:hAnsi="Times New Roman"/>
                <w:snapToGrid/>
                <w:sz w:val="22"/>
                <w:szCs w:val="22"/>
              </w:rPr>
              <w:t>/lux</w:t>
            </w:r>
            <w:r w:rsidRPr="00020166">
              <w:rPr>
                <w:rFonts w:ascii="Times New Roman" w:hAnsi="Times New Roman"/>
                <w:b/>
                <w:snapToGrid/>
                <w:sz w:val="20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329B2" w:rsidRDefault="00F329B2" w:rsidP="00160106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</w:rPr>
            </w:pPr>
            <w:r>
              <w:rPr>
                <w:rFonts w:ascii="Times New Roman" w:hAnsi="Times New Roman"/>
                <w:b/>
                <w:snapToGrid/>
                <w:sz w:val="20"/>
              </w:rPr>
              <w:t>Pay Factor (Percent)</w:t>
            </w:r>
          </w:p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</w:rPr>
            </w:pPr>
            <w:r>
              <w:rPr>
                <w:rFonts w:ascii="Times New Roman" w:hAnsi="Times New Roman"/>
                <w:b/>
                <w:snapToGrid/>
                <w:sz w:val="20"/>
              </w:rPr>
              <w:t xml:space="preserve"> for the entire 1-</w:t>
            </w:r>
            <w:r w:rsidRPr="00020166">
              <w:rPr>
                <w:rFonts w:ascii="Times New Roman" w:hAnsi="Times New Roman"/>
                <w:b/>
                <w:snapToGrid/>
                <w:sz w:val="20"/>
              </w:rPr>
              <w:t>mile section</w:t>
            </w:r>
          </w:p>
        </w:tc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>White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R </w:t>
            </w:r>
            <w:r>
              <w:rPr>
                <w:rFonts w:ascii="Times New Roman" w:hAnsi="Times New Roman"/>
                <w:snapToGrid/>
                <w:sz w:val="20"/>
                <w:u w:val="single"/>
              </w:rPr>
              <w:t>&gt;</w:t>
            </w:r>
            <w:r w:rsidRPr="00020166">
              <w:rPr>
                <w:rFonts w:ascii="Times New Roman" w:hAnsi="Times New Roman"/>
                <w:snapToGrid/>
                <w:sz w:val="20"/>
              </w:rPr>
              <w:t xml:space="preserve"> 375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329B2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100</w:t>
            </w:r>
          </w:p>
        </w:tc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>350 ≤ R &lt; 375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85</w:t>
            </w:r>
          </w:p>
        </w:tc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>325 ≤ R &lt; 350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75</w:t>
            </w:r>
          </w:p>
        </w:tc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>300 ≤ R &lt; 325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6</w:t>
            </w:r>
            <w:r w:rsidRPr="00020166">
              <w:rPr>
                <w:rFonts w:ascii="Times New Roman" w:hAnsi="Times New Roman"/>
                <w:snapToGrid/>
                <w:sz w:val="20"/>
              </w:rPr>
              <w:t>0</w:t>
            </w:r>
          </w:p>
        </w:tc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>275 ≤ R &lt; 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50</w:t>
            </w:r>
          </w:p>
        </w:tc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 xml:space="preserve"> R &lt; 275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Remove and replace</w:t>
            </w:r>
          </w:p>
        </w:tc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>Yellow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R </w:t>
            </w:r>
            <w:r>
              <w:rPr>
                <w:rFonts w:ascii="Times New Roman" w:hAnsi="Times New Roman"/>
                <w:snapToGrid/>
                <w:sz w:val="20"/>
                <w:u w:val="single"/>
              </w:rPr>
              <w:t>&gt;</w:t>
            </w:r>
            <w:r>
              <w:rPr>
                <w:rFonts w:ascii="Times New Roman" w:hAnsi="Times New Roman"/>
                <w:snapToGrid/>
                <w:sz w:val="20"/>
              </w:rPr>
              <w:t xml:space="preserve"> 2</w:t>
            </w:r>
            <w:r w:rsidRPr="00020166">
              <w:rPr>
                <w:rFonts w:ascii="Times New Roman" w:hAnsi="Times New Roman"/>
                <w:snapToGrid/>
                <w:sz w:val="20"/>
              </w:rPr>
              <w:t>75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329B2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100</w:t>
            </w:r>
          </w:p>
        </w:tc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>250 ≤ R &lt; 275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85</w:t>
            </w:r>
          </w:p>
        </w:tc>
        <w:bookmarkStart w:id="0" w:name="_GoBack"/>
        <w:bookmarkEnd w:id="0"/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>225 ≤ R &lt; 250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75</w:t>
            </w:r>
          </w:p>
        </w:tc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>200 ≤ R &lt; 225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60</w:t>
            </w:r>
          </w:p>
        </w:tc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>175 ≤ R &lt; 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50</w:t>
            </w:r>
          </w:p>
        </w:tc>
      </w:tr>
      <w:tr w:rsidR="00F329B2" w:rsidRPr="00020166" w:rsidTr="00160106">
        <w:trPr>
          <w:trHeight w:val="255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020166">
              <w:rPr>
                <w:rFonts w:ascii="Times New Roman" w:hAnsi="Times New Roman"/>
                <w:snapToGrid/>
                <w:sz w:val="20"/>
              </w:rPr>
              <w:t>R &lt; 175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29B2" w:rsidRPr="00020166" w:rsidRDefault="00F329B2" w:rsidP="0016010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Remove and replace</w:t>
            </w:r>
          </w:p>
        </w:tc>
      </w:tr>
    </w:tbl>
    <w:p w:rsidR="00E76A50" w:rsidRDefault="00CC3AD3" w:rsidP="001D3BEC"/>
    <w:sectPr w:rsidR="00E76A50" w:rsidSect="00F329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821 BT">
    <w:altName w:val="Consolas"/>
    <w:charset w:val="00"/>
    <w:family w:val="modern"/>
    <w:pitch w:val="fixed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B2"/>
    <w:rsid w:val="000C36A7"/>
    <w:rsid w:val="001D3BEC"/>
    <w:rsid w:val="00835BAB"/>
    <w:rsid w:val="00CC3AD3"/>
    <w:rsid w:val="00F3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2B162-86FC-46C3-AF93-C3214333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B2"/>
    <w:pPr>
      <w:widowControl w:val="0"/>
      <w:spacing w:after="0" w:line="240" w:lineRule="auto"/>
    </w:pPr>
    <w:rPr>
      <w:rFonts w:ascii="Monospac821 BT" w:eastAsia="Times New Roman" w:hAnsi="Monospac821 B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F329B2"/>
    <w:pPr>
      <w:spacing w:after="25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Chevalier, Shane</dc:creator>
  <cp:lastModifiedBy>Chevalier, Shane</cp:lastModifiedBy>
  <cp:revision>2</cp:revision>
  <dcterms:created xsi:type="dcterms:W3CDTF">2014-11-05T16:24:00Z</dcterms:created>
  <dcterms:modified xsi:type="dcterms:W3CDTF">2014-11-05T16:24:00Z</dcterms:modified>
</cp:coreProperties>
</file>