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C2" w:rsidRPr="007E6DB1" w:rsidRDefault="00DD64C2" w:rsidP="00BD2BDB">
      <w:pPr>
        <w:jc w:val="center"/>
        <w:rPr>
          <w:b/>
          <w:sz w:val="22"/>
          <w:szCs w:val="22"/>
        </w:rPr>
      </w:pPr>
      <w:r w:rsidRPr="007E6DB1">
        <w:rPr>
          <w:b/>
          <w:sz w:val="22"/>
          <w:szCs w:val="22"/>
        </w:rPr>
        <w:t>REVISION OF SECTION 630</w:t>
      </w:r>
    </w:p>
    <w:p w:rsidR="00DD64C2" w:rsidRPr="007E6DB1" w:rsidRDefault="00DD64C2" w:rsidP="00BD2BDB">
      <w:pPr>
        <w:jc w:val="center"/>
        <w:rPr>
          <w:sz w:val="22"/>
          <w:szCs w:val="22"/>
        </w:rPr>
      </w:pPr>
      <w:r w:rsidRPr="007E6DB1">
        <w:rPr>
          <w:b/>
          <w:sz w:val="22"/>
          <w:szCs w:val="22"/>
        </w:rPr>
        <w:t>MOBILE ATTENUATOR</w:t>
      </w:r>
    </w:p>
    <w:p w:rsidR="00DD64C2" w:rsidRPr="007E6DB1" w:rsidRDefault="00DD64C2" w:rsidP="00BD2BDB">
      <w:pPr>
        <w:rPr>
          <w:sz w:val="22"/>
          <w:szCs w:val="22"/>
        </w:rPr>
      </w:pPr>
    </w:p>
    <w:p w:rsidR="00DD64C2" w:rsidRPr="007E6DB1" w:rsidRDefault="00DD64C2" w:rsidP="00BD2BDB">
      <w:pPr>
        <w:rPr>
          <w:b/>
          <w:sz w:val="22"/>
          <w:szCs w:val="22"/>
        </w:rPr>
      </w:pPr>
      <w:r w:rsidRPr="007E6DB1">
        <w:rPr>
          <w:b/>
          <w:sz w:val="22"/>
          <w:szCs w:val="22"/>
        </w:rPr>
        <w:t>Section 630 of the Standard Specifications is hereby revised for this project as follows:</w:t>
      </w:r>
    </w:p>
    <w:p w:rsidR="00DD64C2" w:rsidRPr="007E6DB1" w:rsidRDefault="00DD64C2" w:rsidP="00BD2BDB">
      <w:pPr>
        <w:rPr>
          <w:b/>
          <w:sz w:val="22"/>
          <w:szCs w:val="22"/>
        </w:rPr>
      </w:pPr>
    </w:p>
    <w:p w:rsidR="00DD64C2" w:rsidRPr="007E6DB1" w:rsidRDefault="00DD64C2" w:rsidP="00BD2BDB">
      <w:pPr>
        <w:rPr>
          <w:b/>
          <w:sz w:val="22"/>
          <w:szCs w:val="22"/>
        </w:rPr>
      </w:pPr>
      <w:r w:rsidRPr="007E6DB1">
        <w:rPr>
          <w:b/>
          <w:sz w:val="22"/>
          <w:szCs w:val="22"/>
        </w:rPr>
        <w:t>Subsection 630.01 shall include the following:</w:t>
      </w:r>
    </w:p>
    <w:p w:rsidR="00DD64C2" w:rsidRPr="007E6DB1" w:rsidRDefault="00DD64C2" w:rsidP="00BD2BDB">
      <w:pPr>
        <w:rPr>
          <w:sz w:val="22"/>
          <w:szCs w:val="22"/>
        </w:rPr>
      </w:pPr>
    </w:p>
    <w:p w:rsidR="00DD64C2" w:rsidRPr="007E6DB1" w:rsidRDefault="00DD64C2" w:rsidP="00BD2BDB">
      <w:pPr>
        <w:rPr>
          <w:sz w:val="22"/>
          <w:szCs w:val="22"/>
        </w:rPr>
      </w:pPr>
      <w:r w:rsidRPr="007E6DB1">
        <w:rPr>
          <w:sz w:val="22"/>
          <w:szCs w:val="22"/>
        </w:rPr>
        <w:t>This work shall consist of furnishing, operating, and maintaining a truck with an attached impact attenuator.</w:t>
      </w:r>
    </w:p>
    <w:p w:rsidR="00DD64C2" w:rsidRPr="007E6DB1" w:rsidRDefault="00DD64C2" w:rsidP="00BD2BDB">
      <w:pPr>
        <w:rPr>
          <w:sz w:val="22"/>
          <w:szCs w:val="22"/>
        </w:rPr>
      </w:pPr>
    </w:p>
    <w:p w:rsidR="00DD64C2" w:rsidRPr="007E6DB1" w:rsidRDefault="00B30852" w:rsidP="00BD2BDB">
      <w:pPr>
        <w:rPr>
          <w:b/>
          <w:sz w:val="22"/>
          <w:szCs w:val="22"/>
        </w:rPr>
      </w:pPr>
      <w:r w:rsidRPr="007E6DB1">
        <w:rPr>
          <w:b/>
          <w:sz w:val="22"/>
          <w:szCs w:val="22"/>
        </w:rPr>
        <w:t>Subsection 630.09</w:t>
      </w:r>
      <w:r w:rsidR="00DD64C2" w:rsidRPr="007E6DB1">
        <w:rPr>
          <w:b/>
          <w:sz w:val="22"/>
          <w:szCs w:val="22"/>
        </w:rPr>
        <w:t xml:space="preserve"> shall include the following:</w:t>
      </w:r>
    </w:p>
    <w:p w:rsidR="00DD64C2" w:rsidRPr="007E6DB1" w:rsidRDefault="00DD64C2" w:rsidP="00BD2BDB">
      <w:pPr>
        <w:rPr>
          <w:sz w:val="22"/>
          <w:szCs w:val="22"/>
        </w:rPr>
      </w:pPr>
    </w:p>
    <w:p w:rsidR="00DD64C2" w:rsidRPr="007E6DB1" w:rsidRDefault="00DD64C2" w:rsidP="00BD2BDB">
      <w:pPr>
        <w:tabs>
          <w:tab w:val="left" w:pos="3615"/>
        </w:tabs>
        <w:rPr>
          <w:b/>
          <w:sz w:val="22"/>
          <w:szCs w:val="22"/>
          <w:u w:val="single"/>
        </w:rPr>
      </w:pPr>
      <w:r w:rsidRPr="007E6DB1">
        <w:rPr>
          <w:b/>
          <w:sz w:val="22"/>
          <w:szCs w:val="22"/>
          <w:u w:val="single"/>
        </w:rPr>
        <w:t>Mobile Attenuator Options:</w:t>
      </w:r>
    </w:p>
    <w:p w:rsidR="00DD64C2" w:rsidRPr="007E6DB1" w:rsidRDefault="00DD64C2" w:rsidP="00BD2BDB">
      <w:pPr>
        <w:rPr>
          <w:sz w:val="22"/>
          <w:szCs w:val="22"/>
        </w:rPr>
      </w:pPr>
    </w:p>
    <w:p w:rsidR="00DD64C2" w:rsidRPr="007E6DB1" w:rsidRDefault="00DD64C2" w:rsidP="00BD2BDB">
      <w:pPr>
        <w:rPr>
          <w:sz w:val="22"/>
          <w:szCs w:val="22"/>
        </w:rPr>
      </w:pPr>
      <w:r w:rsidRPr="007E6DB1">
        <w:rPr>
          <w:b/>
          <w:i/>
          <w:sz w:val="22"/>
          <w:szCs w:val="22"/>
        </w:rPr>
        <w:t>Truck Mounted Attenuator</w:t>
      </w:r>
      <w:r w:rsidRPr="007E6DB1">
        <w:rPr>
          <w:sz w:val="22"/>
          <w:szCs w:val="22"/>
        </w:rPr>
        <w:t>.  The Contractor shall supply a vehicle with a truck mounted attenuator approved by the FHWA to meet NCHRP 350 criteria for level TL-3 collisions.  The attenuator shall be mounted to a suitable truck in a manner meeting the Manufacturer’s specifications.  The truck shall be furnished with a roof mounted Advance Warning Flashing or Sequencing Arrow Panel (B Type).  The truck shall be used when setting up or taking down the work zone and shall be parked in the activity area protecting the construction work while work is being performed, unless otherwise directed.</w:t>
      </w:r>
    </w:p>
    <w:p w:rsidR="00DD64C2" w:rsidRPr="007E6DB1" w:rsidRDefault="00DD64C2" w:rsidP="00BD2BDB">
      <w:pPr>
        <w:rPr>
          <w:sz w:val="22"/>
          <w:szCs w:val="22"/>
        </w:rPr>
      </w:pPr>
    </w:p>
    <w:p w:rsidR="00DD64C2" w:rsidRPr="007E6DB1" w:rsidRDefault="00DD64C2" w:rsidP="00BD2BDB">
      <w:pPr>
        <w:rPr>
          <w:sz w:val="22"/>
          <w:szCs w:val="22"/>
        </w:rPr>
      </w:pPr>
      <w:proofErr w:type="gramStart"/>
      <w:r w:rsidRPr="007E6DB1">
        <w:rPr>
          <w:b/>
          <w:i/>
          <w:sz w:val="22"/>
          <w:szCs w:val="22"/>
        </w:rPr>
        <w:t>Trailer Attenuator</w:t>
      </w:r>
      <w:r w:rsidRPr="007E6DB1">
        <w:rPr>
          <w:sz w:val="22"/>
          <w:szCs w:val="22"/>
        </w:rPr>
        <w:t>.</w:t>
      </w:r>
      <w:proofErr w:type="gramEnd"/>
      <w:r w:rsidRPr="007E6DB1">
        <w:rPr>
          <w:sz w:val="22"/>
          <w:szCs w:val="22"/>
        </w:rPr>
        <w:t xml:space="preserve">  The Contractor shall supply a vehicle with an attached trailer attenuator approved by the FHWA to meet NCHRP 350 criteria for level TL-3 collisions.  The trailer attenuator shall be attached to a suitable host truck in a manner meeting the Manufacturer’s specifications, to include factory-installed 20-ton (minimum) rated </w:t>
      </w:r>
      <w:proofErr w:type="spellStart"/>
      <w:r w:rsidRPr="007E6DB1">
        <w:rPr>
          <w:sz w:val="22"/>
          <w:szCs w:val="22"/>
        </w:rPr>
        <w:t>pintle</w:t>
      </w:r>
      <w:proofErr w:type="spellEnd"/>
      <w:r w:rsidRPr="007E6DB1">
        <w:rPr>
          <w:sz w:val="22"/>
          <w:szCs w:val="22"/>
        </w:rPr>
        <w:t xml:space="preserve"> hook and ½-inch (minimum) steel frame plate, or as specified by Manufacturer.  The trailer shall be furnished with a mounted Advance Warning Flashing or Sequencing Arrow Panel (B Type). </w:t>
      </w:r>
    </w:p>
    <w:p w:rsidR="00DD64C2" w:rsidRPr="007E6DB1" w:rsidRDefault="00DD64C2" w:rsidP="00BD2BDB">
      <w:pPr>
        <w:rPr>
          <w:sz w:val="22"/>
          <w:szCs w:val="22"/>
        </w:rPr>
      </w:pPr>
      <w:r w:rsidRPr="007E6DB1">
        <w:rPr>
          <w:sz w:val="22"/>
          <w:szCs w:val="22"/>
        </w:rPr>
        <w:t xml:space="preserve"> </w:t>
      </w:r>
    </w:p>
    <w:p w:rsidR="00DD64C2" w:rsidRPr="007E6DB1" w:rsidRDefault="00DD64C2" w:rsidP="00BD2BDB">
      <w:pPr>
        <w:rPr>
          <w:sz w:val="22"/>
          <w:szCs w:val="22"/>
        </w:rPr>
      </w:pPr>
      <w:r w:rsidRPr="007E6DB1">
        <w:rPr>
          <w:sz w:val="22"/>
          <w:szCs w:val="22"/>
        </w:rPr>
        <w:t>The weight of the host truck shall be between 10,000 and 20,000 lbs, or as specified by the trailer attenuator manufacturer.  The Contractor shall provide a certified scale ticket confirming the weight of the truck without trailer attached.</w:t>
      </w:r>
    </w:p>
    <w:p w:rsidR="00DD64C2" w:rsidRPr="007E6DB1" w:rsidRDefault="00DD64C2" w:rsidP="00BD2BDB">
      <w:pPr>
        <w:rPr>
          <w:sz w:val="22"/>
          <w:szCs w:val="22"/>
        </w:rPr>
      </w:pPr>
    </w:p>
    <w:p w:rsidR="00DD64C2" w:rsidRPr="007E6DB1" w:rsidRDefault="00DD64C2" w:rsidP="00BD2BDB">
      <w:pPr>
        <w:rPr>
          <w:sz w:val="22"/>
          <w:szCs w:val="22"/>
        </w:rPr>
      </w:pPr>
      <w:r w:rsidRPr="007E6DB1">
        <w:rPr>
          <w:sz w:val="22"/>
          <w:szCs w:val="22"/>
        </w:rPr>
        <w:t>The Trailer Attenuator attached to its host truck shall be used when setting up or taking down the work zone and shall be parked in the activity area protecting the construction work while work is being performed, unless otherwise directed.  A buffer zone shall be provided in front of the host truck, for worker safety.  This buffer zone shall be in accordance with the manufacturer’s recommendations, but shall be no less than 100 feet in length, unless otherwise directed.</w:t>
      </w:r>
    </w:p>
    <w:p w:rsidR="00DD64C2" w:rsidRPr="007E6DB1" w:rsidRDefault="00DD64C2" w:rsidP="00BD2BDB">
      <w:pPr>
        <w:rPr>
          <w:sz w:val="22"/>
          <w:szCs w:val="22"/>
        </w:rPr>
      </w:pPr>
    </w:p>
    <w:p w:rsidR="00DD64C2" w:rsidRPr="007E6DB1" w:rsidRDefault="00B30852" w:rsidP="00BD2BDB">
      <w:pPr>
        <w:rPr>
          <w:b/>
          <w:sz w:val="22"/>
          <w:szCs w:val="22"/>
        </w:rPr>
      </w:pPr>
      <w:r w:rsidRPr="007E6DB1">
        <w:rPr>
          <w:b/>
          <w:sz w:val="22"/>
          <w:szCs w:val="22"/>
        </w:rPr>
        <w:t>Subsection 630.13</w:t>
      </w:r>
      <w:r w:rsidR="00DD64C2" w:rsidRPr="007E6DB1">
        <w:rPr>
          <w:b/>
          <w:sz w:val="22"/>
          <w:szCs w:val="22"/>
        </w:rPr>
        <w:t xml:space="preserve"> shall include the following:</w:t>
      </w:r>
    </w:p>
    <w:p w:rsidR="00DD64C2" w:rsidRPr="007E6DB1" w:rsidRDefault="00DD64C2" w:rsidP="00BD2BDB">
      <w:pPr>
        <w:rPr>
          <w:sz w:val="22"/>
          <w:szCs w:val="22"/>
        </w:rPr>
      </w:pPr>
    </w:p>
    <w:p w:rsidR="00DD64C2" w:rsidRPr="007E6DB1" w:rsidRDefault="00DD64C2" w:rsidP="00BD2BDB">
      <w:pPr>
        <w:rPr>
          <w:sz w:val="22"/>
          <w:szCs w:val="22"/>
        </w:rPr>
      </w:pPr>
      <w:r w:rsidRPr="007E6DB1">
        <w:rPr>
          <w:sz w:val="22"/>
          <w:szCs w:val="22"/>
        </w:rPr>
        <w:t>Maintenance, storage, operation, and all repairs of Mobile Attenuator and associated vehicle shall be the responsibility of the Contractor.</w:t>
      </w:r>
      <w:r w:rsidRPr="007E6DB1">
        <w:rPr>
          <w:sz w:val="22"/>
          <w:szCs w:val="22"/>
        </w:rPr>
        <w:br/>
      </w:r>
    </w:p>
    <w:p w:rsidR="00DD64C2" w:rsidRPr="007E6DB1" w:rsidRDefault="00B30852" w:rsidP="00BD2BDB">
      <w:pPr>
        <w:rPr>
          <w:b/>
          <w:sz w:val="22"/>
          <w:szCs w:val="22"/>
        </w:rPr>
      </w:pPr>
      <w:r w:rsidRPr="007E6DB1">
        <w:rPr>
          <w:b/>
          <w:sz w:val="22"/>
          <w:szCs w:val="22"/>
        </w:rPr>
        <w:t>Subsection 630.15</w:t>
      </w:r>
      <w:r w:rsidR="00DD64C2" w:rsidRPr="007E6DB1">
        <w:rPr>
          <w:b/>
          <w:sz w:val="22"/>
          <w:szCs w:val="22"/>
        </w:rPr>
        <w:t xml:space="preserve"> shall include the following:</w:t>
      </w:r>
    </w:p>
    <w:p w:rsidR="00DD64C2" w:rsidRPr="007E6DB1" w:rsidRDefault="00DD64C2" w:rsidP="00BD2BDB">
      <w:pPr>
        <w:rPr>
          <w:sz w:val="22"/>
          <w:szCs w:val="22"/>
        </w:rPr>
      </w:pPr>
    </w:p>
    <w:p w:rsidR="00DD64C2" w:rsidRPr="007E6DB1" w:rsidRDefault="00DD64C2" w:rsidP="00BD2BDB">
      <w:pPr>
        <w:rPr>
          <w:sz w:val="22"/>
          <w:szCs w:val="22"/>
        </w:rPr>
      </w:pPr>
      <w:r w:rsidRPr="007E6DB1">
        <w:rPr>
          <w:sz w:val="22"/>
          <w:szCs w:val="22"/>
        </w:rPr>
        <w:t xml:space="preserve">Mobile Attenuators </w:t>
      </w:r>
      <w:r w:rsidR="002F120E" w:rsidRPr="007E6DB1">
        <w:rPr>
          <w:sz w:val="22"/>
          <w:szCs w:val="22"/>
        </w:rPr>
        <w:t>will</w:t>
      </w:r>
      <w:r w:rsidRPr="007E6DB1">
        <w:rPr>
          <w:sz w:val="22"/>
          <w:szCs w:val="22"/>
        </w:rPr>
        <w:t xml:space="preserve"> </w:t>
      </w:r>
      <w:r w:rsidR="002F120E" w:rsidRPr="007E6DB1">
        <w:rPr>
          <w:sz w:val="22"/>
          <w:szCs w:val="22"/>
        </w:rPr>
        <w:t>be measured as the actual number of attenuators that are used during construction</w:t>
      </w:r>
      <w:r w:rsidR="00220D4D" w:rsidRPr="007E6DB1">
        <w:rPr>
          <w:sz w:val="22"/>
          <w:szCs w:val="22"/>
        </w:rPr>
        <w:t>;</w:t>
      </w:r>
      <w:r w:rsidR="00A42771" w:rsidRPr="007E6DB1">
        <w:rPr>
          <w:sz w:val="22"/>
          <w:szCs w:val="22"/>
        </w:rPr>
        <w:t xml:space="preserve"> or the actual number of authorized 24-hour periods that the attenuator is used</w:t>
      </w:r>
      <w:r w:rsidR="002F120E" w:rsidRPr="007E6DB1">
        <w:rPr>
          <w:sz w:val="22"/>
          <w:szCs w:val="22"/>
        </w:rPr>
        <w:t>.</w:t>
      </w:r>
    </w:p>
    <w:p w:rsidR="007E6DB1" w:rsidRDefault="007E6DB1" w:rsidP="00BD2BDB">
      <w:pPr>
        <w:jc w:val="center"/>
        <w:rPr>
          <w:sz w:val="22"/>
          <w:szCs w:val="22"/>
        </w:rPr>
      </w:pPr>
    </w:p>
    <w:p w:rsidR="007E6DB1" w:rsidRPr="007E6DB1" w:rsidRDefault="007E6DB1" w:rsidP="007E6DB1">
      <w:pPr>
        <w:rPr>
          <w:b/>
          <w:sz w:val="22"/>
          <w:szCs w:val="22"/>
        </w:rPr>
      </w:pPr>
      <w:r w:rsidRPr="007E6DB1">
        <w:rPr>
          <w:b/>
          <w:sz w:val="22"/>
          <w:szCs w:val="22"/>
        </w:rPr>
        <w:t>Subsection 630.16 shall include the following:</w:t>
      </w:r>
    </w:p>
    <w:p w:rsidR="007E6DB1" w:rsidRPr="007E6DB1" w:rsidRDefault="007E6DB1" w:rsidP="007E6DB1">
      <w:pPr>
        <w:rPr>
          <w:sz w:val="22"/>
          <w:szCs w:val="22"/>
        </w:rPr>
      </w:pPr>
    </w:p>
    <w:p w:rsidR="007E6DB1" w:rsidRPr="007E6DB1" w:rsidRDefault="007E6DB1" w:rsidP="007E6DB1">
      <w:pPr>
        <w:rPr>
          <w:sz w:val="22"/>
          <w:szCs w:val="22"/>
        </w:rPr>
      </w:pPr>
      <w:r w:rsidRPr="007E6DB1">
        <w:rPr>
          <w:sz w:val="22"/>
          <w:szCs w:val="22"/>
          <w:u w:val="single"/>
        </w:rPr>
        <w:t>Pay Item</w:t>
      </w:r>
      <w:r w:rsidRPr="007E6DB1">
        <w:rPr>
          <w:sz w:val="22"/>
          <w:szCs w:val="22"/>
        </w:rPr>
        <w:tab/>
      </w:r>
      <w:r w:rsidRPr="007E6DB1">
        <w:rPr>
          <w:sz w:val="22"/>
          <w:szCs w:val="22"/>
        </w:rPr>
        <w:tab/>
      </w:r>
      <w:r w:rsidRPr="007E6DB1">
        <w:rPr>
          <w:sz w:val="22"/>
          <w:szCs w:val="22"/>
        </w:rPr>
        <w:tab/>
      </w:r>
      <w:r w:rsidRPr="007E6DB1">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E6DB1">
        <w:rPr>
          <w:sz w:val="22"/>
          <w:szCs w:val="22"/>
        </w:rPr>
        <w:tab/>
      </w:r>
      <w:r w:rsidRPr="007E6DB1">
        <w:rPr>
          <w:sz w:val="22"/>
          <w:szCs w:val="22"/>
        </w:rPr>
        <w:tab/>
      </w:r>
      <w:r w:rsidRPr="007E6DB1">
        <w:rPr>
          <w:sz w:val="22"/>
          <w:szCs w:val="22"/>
        </w:rPr>
        <w:tab/>
      </w:r>
      <w:r w:rsidRPr="007E6DB1">
        <w:rPr>
          <w:sz w:val="22"/>
          <w:szCs w:val="22"/>
          <w:u w:val="single"/>
        </w:rPr>
        <w:t>Pay Unit</w:t>
      </w:r>
    </w:p>
    <w:p w:rsidR="007E6DB1" w:rsidRPr="007E6DB1" w:rsidRDefault="007E6DB1" w:rsidP="007E6DB1">
      <w:pPr>
        <w:rPr>
          <w:sz w:val="22"/>
          <w:szCs w:val="22"/>
        </w:rPr>
      </w:pPr>
      <w:r w:rsidRPr="007E6DB1">
        <w:rPr>
          <w:sz w:val="22"/>
          <w:szCs w:val="22"/>
        </w:rPr>
        <w:t>Mobile Attenuator</w:t>
      </w:r>
      <w:r w:rsidRPr="007E6DB1">
        <w:rPr>
          <w:sz w:val="22"/>
          <w:szCs w:val="22"/>
        </w:rPr>
        <w:tab/>
      </w:r>
      <w:r w:rsidRPr="007E6DB1">
        <w:rPr>
          <w:sz w:val="22"/>
          <w:szCs w:val="22"/>
        </w:rPr>
        <w:tab/>
      </w:r>
      <w:r w:rsidRPr="007E6DB1">
        <w:rPr>
          <w:sz w:val="22"/>
          <w:szCs w:val="22"/>
        </w:rPr>
        <w:tab/>
      </w:r>
      <w:r w:rsidRPr="007E6DB1">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E6DB1">
        <w:rPr>
          <w:sz w:val="22"/>
          <w:szCs w:val="22"/>
        </w:rPr>
        <w:tab/>
        <w:t>Day</w:t>
      </w:r>
    </w:p>
    <w:p w:rsidR="007E6DB1" w:rsidRPr="007E6DB1" w:rsidRDefault="007E6DB1" w:rsidP="007E6DB1">
      <w:pPr>
        <w:rPr>
          <w:sz w:val="22"/>
          <w:szCs w:val="22"/>
        </w:rPr>
      </w:pPr>
    </w:p>
    <w:p w:rsidR="007E6DB1" w:rsidRPr="007E6DB1" w:rsidRDefault="007E6DB1" w:rsidP="007E6DB1">
      <w:pPr>
        <w:rPr>
          <w:sz w:val="22"/>
          <w:szCs w:val="22"/>
        </w:rPr>
      </w:pPr>
      <w:r w:rsidRPr="007E6DB1">
        <w:rPr>
          <w:sz w:val="22"/>
          <w:szCs w:val="22"/>
        </w:rPr>
        <w:t>Payment will be full compensation for all labor, materials and equipment required to operate and maintain the truck and attenuator for the duration of the project, including the attenuator and flashing panel.</w:t>
      </w:r>
    </w:p>
    <w:p w:rsidR="00D16104" w:rsidRPr="007E6DB1" w:rsidRDefault="00D16104" w:rsidP="007E6DB1">
      <w:pPr>
        <w:rPr>
          <w:sz w:val="22"/>
          <w:szCs w:val="22"/>
        </w:rPr>
      </w:pPr>
      <w:bookmarkStart w:id="0" w:name="_GoBack"/>
      <w:bookmarkEnd w:id="0"/>
    </w:p>
    <w:p w:rsidR="00D16104" w:rsidRPr="007E6DB1" w:rsidRDefault="00D16104" w:rsidP="003C3F1C">
      <w:pPr>
        <w:rPr>
          <w:sz w:val="22"/>
          <w:szCs w:val="22"/>
        </w:rPr>
      </w:pPr>
    </w:p>
    <w:sectPr w:rsidR="00D16104" w:rsidRPr="007E6DB1" w:rsidSect="003C3F1C">
      <w:headerReference w:type="default" r:id="rId8"/>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9B1" w:rsidRDefault="007B09B1" w:rsidP="00F878BD">
      <w:r>
        <w:separator/>
      </w:r>
    </w:p>
  </w:endnote>
  <w:endnote w:type="continuationSeparator" w:id="0">
    <w:p w:rsidR="007B09B1" w:rsidRDefault="007B09B1"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spac821 BT">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9B1" w:rsidRDefault="007B09B1" w:rsidP="00F878BD">
      <w:r>
        <w:separator/>
      </w:r>
    </w:p>
  </w:footnote>
  <w:footnote w:type="continuationSeparator" w:id="0">
    <w:p w:rsidR="007B09B1" w:rsidRDefault="007B09B1" w:rsidP="00F8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77" w:rsidRPr="001A1BC6" w:rsidRDefault="00726A77" w:rsidP="00726A7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3">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A4"/>
    <w:rsid w:val="000225FA"/>
    <w:rsid w:val="00066047"/>
    <w:rsid w:val="00072929"/>
    <w:rsid w:val="00142E09"/>
    <w:rsid w:val="001C3F85"/>
    <w:rsid w:val="00220D4D"/>
    <w:rsid w:val="00244225"/>
    <w:rsid w:val="0025751E"/>
    <w:rsid w:val="002F120E"/>
    <w:rsid w:val="003C3F1C"/>
    <w:rsid w:val="00441D2F"/>
    <w:rsid w:val="0056039E"/>
    <w:rsid w:val="00572D1D"/>
    <w:rsid w:val="006428D3"/>
    <w:rsid w:val="00726A77"/>
    <w:rsid w:val="007735BF"/>
    <w:rsid w:val="007B09B1"/>
    <w:rsid w:val="007E6DB1"/>
    <w:rsid w:val="00814549"/>
    <w:rsid w:val="00870736"/>
    <w:rsid w:val="008D4DE9"/>
    <w:rsid w:val="00973DFA"/>
    <w:rsid w:val="00987248"/>
    <w:rsid w:val="009F3FE4"/>
    <w:rsid w:val="00A14275"/>
    <w:rsid w:val="00A42771"/>
    <w:rsid w:val="00A73269"/>
    <w:rsid w:val="00A76618"/>
    <w:rsid w:val="00A92397"/>
    <w:rsid w:val="00AA36CC"/>
    <w:rsid w:val="00AC7AF4"/>
    <w:rsid w:val="00B25927"/>
    <w:rsid w:val="00B30852"/>
    <w:rsid w:val="00B91FF1"/>
    <w:rsid w:val="00BD2BDB"/>
    <w:rsid w:val="00C62901"/>
    <w:rsid w:val="00CB168C"/>
    <w:rsid w:val="00D16104"/>
    <w:rsid w:val="00DD64C2"/>
    <w:rsid w:val="00DE79F3"/>
    <w:rsid w:val="00DE7DCD"/>
    <w:rsid w:val="00E068B9"/>
    <w:rsid w:val="00E85CC9"/>
    <w:rsid w:val="00EA7A41"/>
    <w:rsid w:val="00EF1243"/>
    <w:rsid w:val="00F12EAC"/>
    <w:rsid w:val="00F605A4"/>
    <w:rsid w:val="00F8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99"/>
    <w:qFormat/>
    <w:rsid w:val="00D16104"/>
    <w:rPr>
      <w:rFonts w:ascii="Calibri" w:eastAsia="Calibri" w:hAnsi="Calibri"/>
      <w:sz w:val="22"/>
      <w:szCs w:val="22"/>
    </w:rPr>
  </w:style>
  <w:style w:type="character" w:styleId="CommentReference">
    <w:name w:val="annotation reference"/>
    <w:rsid w:val="00DE79F3"/>
    <w:rPr>
      <w:sz w:val="16"/>
      <w:szCs w:val="16"/>
    </w:rPr>
  </w:style>
  <w:style w:type="paragraph" w:styleId="CommentText">
    <w:name w:val="annotation text"/>
    <w:basedOn w:val="Normal"/>
    <w:link w:val="CommentTextChar"/>
    <w:rsid w:val="00DE79F3"/>
  </w:style>
  <w:style w:type="character" w:customStyle="1" w:styleId="CommentTextChar">
    <w:name w:val="Comment Text Char"/>
    <w:basedOn w:val="DefaultParagraphFont"/>
    <w:link w:val="CommentText"/>
    <w:rsid w:val="00DE79F3"/>
  </w:style>
  <w:style w:type="paragraph" w:styleId="CommentSubject">
    <w:name w:val="annotation subject"/>
    <w:basedOn w:val="CommentText"/>
    <w:next w:val="CommentText"/>
    <w:link w:val="CommentSubjectChar"/>
    <w:rsid w:val="00DE79F3"/>
    <w:rPr>
      <w:b/>
      <w:bCs/>
    </w:rPr>
  </w:style>
  <w:style w:type="character" w:customStyle="1" w:styleId="CommentSubjectChar">
    <w:name w:val="Comment Subject Char"/>
    <w:link w:val="CommentSubject"/>
    <w:rsid w:val="00DE79F3"/>
    <w:rPr>
      <w:b/>
      <w:bCs/>
    </w:rPr>
  </w:style>
  <w:style w:type="paragraph" w:styleId="BalloonText">
    <w:name w:val="Balloon Text"/>
    <w:basedOn w:val="Normal"/>
    <w:link w:val="BalloonTextChar"/>
    <w:rsid w:val="00DE79F3"/>
    <w:rPr>
      <w:rFonts w:ascii="Tahoma" w:hAnsi="Tahoma" w:cs="Tahoma"/>
      <w:sz w:val="16"/>
      <w:szCs w:val="16"/>
    </w:rPr>
  </w:style>
  <w:style w:type="character" w:customStyle="1" w:styleId="BalloonTextChar">
    <w:name w:val="Balloon Text Char"/>
    <w:link w:val="BalloonText"/>
    <w:rsid w:val="00DE79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99"/>
    <w:qFormat/>
    <w:rsid w:val="00D16104"/>
    <w:rPr>
      <w:rFonts w:ascii="Calibri" w:eastAsia="Calibri" w:hAnsi="Calibri"/>
      <w:sz w:val="22"/>
      <w:szCs w:val="22"/>
    </w:rPr>
  </w:style>
  <w:style w:type="character" w:styleId="CommentReference">
    <w:name w:val="annotation reference"/>
    <w:rsid w:val="00DE79F3"/>
    <w:rPr>
      <w:sz w:val="16"/>
      <w:szCs w:val="16"/>
    </w:rPr>
  </w:style>
  <w:style w:type="paragraph" w:styleId="CommentText">
    <w:name w:val="annotation text"/>
    <w:basedOn w:val="Normal"/>
    <w:link w:val="CommentTextChar"/>
    <w:rsid w:val="00DE79F3"/>
  </w:style>
  <w:style w:type="character" w:customStyle="1" w:styleId="CommentTextChar">
    <w:name w:val="Comment Text Char"/>
    <w:basedOn w:val="DefaultParagraphFont"/>
    <w:link w:val="CommentText"/>
    <w:rsid w:val="00DE79F3"/>
  </w:style>
  <w:style w:type="paragraph" w:styleId="CommentSubject">
    <w:name w:val="annotation subject"/>
    <w:basedOn w:val="CommentText"/>
    <w:next w:val="CommentText"/>
    <w:link w:val="CommentSubjectChar"/>
    <w:rsid w:val="00DE79F3"/>
    <w:rPr>
      <w:b/>
      <w:bCs/>
    </w:rPr>
  </w:style>
  <w:style w:type="character" w:customStyle="1" w:styleId="CommentSubjectChar">
    <w:name w:val="Comment Subject Char"/>
    <w:link w:val="CommentSubject"/>
    <w:rsid w:val="00DE79F3"/>
    <w:rPr>
      <w:b/>
      <w:bCs/>
    </w:rPr>
  </w:style>
  <w:style w:type="paragraph" w:styleId="BalloonText">
    <w:name w:val="Balloon Text"/>
    <w:basedOn w:val="Normal"/>
    <w:link w:val="BalloonTextChar"/>
    <w:rsid w:val="00DE79F3"/>
    <w:rPr>
      <w:rFonts w:ascii="Tahoma" w:hAnsi="Tahoma" w:cs="Tahoma"/>
      <w:sz w:val="16"/>
      <w:szCs w:val="16"/>
    </w:rPr>
  </w:style>
  <w:style w:type="character" w:customStyle="1" w:styleId="BalloonTextChar">
    <w:name w:val="Balloon Text Char"/>
    <w:link w:val="BalloonText"/>
    <w:rsid w:val="00DE79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Dinardo, Thomas</cp:lastModifiedBy>
  <cp:revision>3</cp:revision>
  <cp:lastPrinted>2000-06-16T17:28:00Z</cp:lastPrinted>
  <dcterms:created xsi:type="dcterms:W3CDTF">2012-08-24T19:37:00Z</dcterms:created>
  <dcterms:modified xsi:type="dcterms:W3CDTF">2012-08-24T19:39:00Z</dcterms:modified>
</cp:coreProperties>
</file>