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F7" w:rsidRPr="00B64896" w:rsidRDefault="00EA68F7" w:rsidP="00B8080D">
      <w:pPr>
        <w:pStyle w:val="Default"/>
        <w:ind w:right="-10"/>
        <w:jc w:val="center"/>
        <w:outlineLvl w:val="0"/>
        <w:rPr>
          <w:b/>
          <w:bCs/>
          <w:sz w:val="22"/>
          <w:szCs w:val="22"/>
        </w:rPr>
      </w:pPr>
      <w:bookmarkStart w:id="0" w:name="OLE_LINK3"/>
      <w:r w:rsidRPr="00B64896">
        <w:rPr>
          <w:b/>
          <w:bCs/>
          <w:sz w:val="22"/>
          <w:szCs w:val="22"/>
        </w:rPr>
        <w:t>REVISION OF SECTION 627</w:t>
      </w:r>
    </w:p>
    <w:p w:rsidR="00EA68F7" w:rsidRPr="00B64896" w:rsidRDefault="00EA68F7" w:rsidP="00B8080D">
      <w:pPr>
        <w:pStyle w:val="Default"/>
        <w:ind w:right="-10"/>
        <w:jc w:val="center"/>
        <w:outlineLvl w:val="0"/>
        <w:rPr>
          <w:b/>
          <w:bCs/>
          <w:sz w:val="22"/>
          <w:szCs w:val="22"/>
        </w:rPr>
      </w:pPr>
      <w:r w:rsidRPr="00B64896">
        <w:rPr>
          <w:b/>
          <w:bCs/>
          <w:sz w:val="22"/>
          <w:szCs w:val="22"/>
        </w:rPr>
        <w:t>EPOXY PAVEMENT MARKING (</w:t>
      </w:r>
      <w:r w:rsidR="00B64896">
        <w:rPr>
          <w:b/>
          <w:bCs/>
          <w:sz w:val="22"/>
          <w:szCs w:val="22"/>
        </w:rPr>
        <w:t>SPECIAL</w:t>
      </w:r>
      <w:r w:rsidRPr="00B64896">
        <w:rPr>
          <w:b/>
          <w:bCs/>
          <w:sz w:val="22"/>
          <w:szCs w:val="22"/>
        </w:rPr>
        <w:t>)</w:t>
      </w:r>
    </w:p>
    <w:p w:rsidR="00EB5129" w:rsidRPr="00B64896" w:rsidRDefault="00EB5129" w:rsidP="00B8080D">
      <w:pPr>
        <w:pStyle w:val="Default"/>
        <w:ind w:right="-10"/>
        <w:jc w:val="center"/>
        <w:rPr>
          <w:color w:val="auto"/>
          <w:sz w:val="22"/>
          <w:szCs w:val="22"/>
        </w:rPr>
      </w:pPr>
    </w:p>
    <w:p w:rsidR="00665216" w:rsidRDefault="00EA68F7" w:rsidP="00B8080D">
      <w:pPr>
        <w:pStyle w:val="CM9"/>
        <w:spacing w:after="0"/>
        <w:ind w:right="-10"/>
        <w:jc w:val="center"/>
        <w:outlineLvl w:val="0"/>
        <w:rPr>
          <w:b/>
          <w:bCs/>
          <w:sz w:val="22"/>
          <w:szCs w:val="22"/>
        </w:rPr>
      </w:pPr>
      <w:r w:rsidRPr="00B64896">
        <w:rPr>
          <w:b/>
          <w:bCs/>
          <w:sz w:val="22"/>
          <w:szCs w:val="22"/>
        </w:rPr>
        <w:t xml:space="preserve">CONSTRUCTION REQUIREMENTS </w:t>
      </w:r>
    </w:p>
    <w:p w:rsidR="005F72A3" w:rsidRPr="00B00DF3" w:rsidRDefault="00EA68F7" w:rsidP="00B8080D">
      <w:pPr>
        <w:pStyle w:val="Default"/>
        <w:ind w:right="-10"/>
        <w:rPr>
          <w:b/>
        </w:rPr>
      </w:pPr>
      <w:r w:rsidRPr="00B64896">
        <w:rPr>
          <w:b/>
          <w:bCs/>
          <w:sz w:val="22"/>
          <w:szCs w:val="22"/>
        </w:rPr>
        <w:br/>
      </w:r>
      <w:bookmarkStart w:id="1" w:name="OLE_LINK1"/>
      <w:bookmarkStart w:id="2" w:name="OLE_LINK2"/>
      <w:r w:rsidR="00A74FD7" w:rsidRPr="00B00DF3">
        <w:rPr>
          <w:b/>
          <w:sz w:val="22"/>
          <w:szCs w:val="22"/>
        </w:rPr>
        <w:t>Section 627 of the Standard Specifications is hereby revised for this project to include the following:</w:t>
      </w:r>
    </w:p>
    <w:p w:rsidR="00A74FD7" w:rsidRDefault="00A74FD7" w:rsidP="00B8080D">
      <w:pPr>
        <w:pStyle w:val="CM9"/>
        <w:spacing w:after="0"/>
        <w:ind w:right="-10"/>
        <w:rPr>
          <w:sz w:val="22"/>
          <w:szCs w:val="22"/>
        </w:rPr>
      </w:pPr>
    </w:p>
    <w:p w:rsidR="00A74FD7" w:rsidRPr="00B00DF3" w:rsidRDefault="00A74FD7" w:rsidP="00B8080D">
      <w:pPr>
        <w:pStyle w:val="CM9"/>
        <w:spacing w:after="0"/>
        <w:ind w:right="-10"/>
        <w:rPr>
          <w:b/>
          <w:sz w:val="22"/>
          <w:szCs w:val="22"/>
        </w:rPr>
      </w:pPr>
      <w:r w:rsidRPr="00B00DF3">
        <w:rPr>
          <w:b/>
          <w:sz w:val="22"/>
          <w:szCs w:val="22"/>
        </w:rPr>
        <w:t>Delete subsection 627.05 and replace with the following:</w:t>
      </w:r>
    </w:p>
    <w:p w:rsidR="00EA68F7" w:rsidRPr="00665216" w:rsidRDefault="00EA68F7" w:rsidP="00B8080D">
      <w:pPr>
        <w:pStyle w:val="CM9"/>
        <w:spacing w:after="0"/>
        <w:ind w:right="-10"/>
        <w:rPr>
          <w:b/>
          <w:bCs/>
          <w:sz w:val="22"/>
          <w:szCs w:val="22"/>
        </w:rPr>
      </w:pPr>
      <w:r w:rsidRPr="00B64896">
        <w:rPr>
          <w:sz w:val="22"/>
          <w:szCs w:val="22"/>
        </w:rPr>
        <w:t xml:space="preserve"> </w:t>
      </w:r>
    </w:p>
    <w:p w:rsidR="00EA68F7" w:rsidRDefault="00EA68F7" w:rsidP="00B8080D">
      <w:pPr>
        <w:pStyle w:val="CM9"/>
        <w:spacing w:after="0"/>
        <w:ind w:left="360" w:right="-10" w:hanging="360"/>
        <w:rPr>
          <w:color w:val="000000"/>
          <w:sz w:val="22"/>
          <w:szCs w:val="22"/>
        </w:rPr>
      </w:pPr>
      <w:r w:rsidRPr="00A74FD7">
        <w:rPr>
          <w:b/>
          <w:sz w:val="22"/>
          <w:szCs w:val="22"/>
        </w:rPr>
        <w:t>Epoxy Pavement Marking (</w:t>
      </w:r>
      <w:r w:rsidR="00B64896" w:rsidRPr="00A74FD7">
        <w:rPr>
          <w:b/>
          <w:sz w:val="22"/>
          <w:szCs w:val="22"/>
        </w:rPr>
        <w:t>Special</w:t>
      </w:r>
      <w:r w:rsidRPr="00A74FD7">
        <w:rPr>
          <w:b/>
          <w:sz w:val="22"/>
          <w:szCs w:val="22"/>
        </w:rPr>
        <w:t>)</w:t>
      </w:r>
      <w:r w:rsidR="00A74FD7">
        <w:rPr>
          <w:sz w:val="22"/>
          <w:szCs w:val="22"/>
        </w:rPr>
        <w:t>.  Epoxy Pavement Marking (Special)</w:t>
      </w:r>
      <w:r w:rsidR="00D232CD">
        <w:rPr>
          <w:sz w:val="22"/>
          <w:szCs w:val="22"/>
        </w:rPr>
        <w:t xml:space="preserve"> </w:t>
      </w:r>
      <w:r w:rsidRPr="00B64896">
        <w:rPr>
          <w:sz w:val="22"/>
          <w:szCs w:val="22"/>
        </w:rPr>
        <w:t xml:space="preserve">shall be applied to the road surface according to the epoxy manufacturer’s </w:t>
      </w:r>
      <w:r w:rsidR="00A74FD7">
        <w:rPr>
          <w:sz w:val="22"/>
          <w:szCs w:val="22"/>
        </w:rPr>
        <w:t>recommendations</w:t>
      </w:r>
      <w:r w:rsidRPr="00B64896">
        <w:rPr>
          <w:sz w:val="22"/>
          <w:szCs w:val="22"/>
        </w:rPr>
        <w:t xml:space="preserve"> at </w:t>
      </w:r>
      <w:r w:rsidR="00EB5129" w:rsidRPr="00B64896">
        <w:rPr>
          <w:sz w:val="22"/>
          <w:szCs w:val="22"/>
        </w:rPr>
        <w:t>20</w:t>
      </w:r>
      <w:r w:rsidRPr="00B64896">
        <w:rPr>
          <w:sz w:val="22"/>
          <w:szCs w:val="22"/>
        </w:rPr>
        <w:t xml:space="preserve"> mils</w:t>
      </w:r>
      <w:r w:rsidRPr="00B64896">
        <w:rPr>
          <w:color w:val="000000"/>
          <w:sz w:val="22"/>
          <w:szCs w:val="22"/>
        </w:rPr>
        <w:t xml:space="preserve"> minimum thickness. Bead system shall be applied into the epoxy pavement marking by means of a pressurized bead applicator </w:t>
      </w:r>
      <w:r w:rsidR="00A74FD7">
        <w:rPr>
          <w:color w:val="000000"/>
          <w:sz w:val="22"/>
          <w:szCs w:val="22"/>
        </w:rPr>
        <w:t>at the</w:t>
      </w:r>
      <w:r w:rsidRPr="00B64896">
        <w:rPr>
          <w:color w:val="000000"/>
          <w:sz w:val="22"/>
          <w:szCs w:val="22"/>
        </w:rPr>
        <w:t xml:space="preserve"> manufacturer</w:t>
      </w:r>
      <w:r w:rsidR="004C7B20">
        <w:rPr>
          <w:color w:val="000000"/>
          <w:sz w:val="22"/>
          <w:szCs w:val="22"/>
        </w:rPr>
        <w:t>’</w:t>
      </w:r>
      <w:r w:rsidRPr="00B64896">
        <w:rPr>
          <w:color w:val="000000"/>
          <w:sz w:val="22"/>
          <w:szCs w:val="22"/>
        </w:rPr>
        <w:t xml:space="preserve">s recommended application rate. </w:t>
      </w:r>
    </w:p>
    <w:p w:rsidR="005F72A3" w:rsidRPr="00060C6A" w:rsidRDefault="005F72A3" w:rsidP="00B8080D">
      <w:pPr>
        <w:pStyle w:val="Default"/>
        <w:ind w:right="-10"/>
        <w:rPr>
          <w:sz w:val="22"/>
          <w:szCs w:val="22"/>
        </w:rPr>
      </w:pPr>
    </w:p>
    <w:p w:rsidR="00EA68F7" w:rsidRDefault="00EA68F7" w:rsidP="00B8080D">
      <w:pPr>
        <w:pStyle w:val="CM9"/>
        <w:spacing w:after="0"/>
        <w:ind w:left="360" w:right="-10"/>
        <w:rPr>
          <w:color w:val="000000"/>
          <w:sz w:val="22"/>
          <w:szCs w:val="22"/>
        </w:rPr>
      </w:pPr>
      <w:r w:rsidRPr="00B64896">
        <w:rPr>
          <w:color w:val="000000"/>
          <w:sz w:val="22"/>
          <w:szCs w:val="22"/>
        </w:rPr>
        <w:t xml:space="preserve">The surface area receiving marking shall be ground prior to placement of the Epoxy Pavement Marking (Special). This applies to new or existing concrete or asphalt pavements.    The ground surface shall </w:t>
      </w:r>
      <w:r w:rsidR="006B4016">
        <w:rPr>
          <w:color w:val="000000"/>
          <w:sz w:val="22"/>
          <w:szCs w:val="22"/>
        </w:rPr>
        <w:t xml:space="preserve">then </w:t>
      </w:r>
      <w:r w:rsidRPr="00B64896">
        <w:rPr>
          <w:color w:val="000000"/>
          <w:sz w:val="22"/>
          <w:szCs w:val="22"/>
        </w:rPr>
        <w:t xml:space="preserve">be cleaned with a high pressure air blast to remove </w:t>
      </w:r>
      <w:r w:rsidR="006B4016">
        <w:rPr>
          <w:color w:val="000000"/>
          <w:sz w:val="22"/>
          <w:szCs w:val="22"/>
        </w:rPr>
        <w:t>loose</w:t>
      </w:r>
      <w:r w:rsidR="006B4016" w:rsidRPr="00B64896">
        <w:rPr>
          <w:color w:val="000000"/>
          <w:sz w:val="22"/>
          <w:szCs w:val="22"/>
        </w:rPr>
        <w:t xml:space="preserve"> </w:t>
      </w:r>
      <w:r w:rsidRPr="00B64896">
        <w:rPr>
          <w:color w:val="000000"/>
          <w:sz w:val="22"/>
          <w:szCs w:val="22"/>
        </w:rPr>
        <w:t xml:space="preserve">material prior to placement of the Epoxy Pavement Marking (Special).  The grooved width for </w:t>
      </w:r>
      <w:r w:rsidR="009760D2">
        <w:rPr>
          <w:color w:val="000000"/>
          <w:sz w:val="22"/>
          <w:szCs w:val="22"/>
        </w:rPr>
        <w:t>the recessed</w:t>
      </w:r>
      <w:r w:rsidRPr="00B64896">
        <w:rPr>
          <w:color w:val="000000"/>
          <w:sz w:val="22"/>
          <w:szCs w:val="22"/>
        </w:rPr>
        <w:t xml:space="preserve"> </w:t>
      </w:r>
      <w:r w:rsidR="009760D2">
        <w:rPr>
          <w:color w:val="000000"/>
          <w:sz w:val="22"/>
          <w:szCs w:val="22"/>
        </w:rPr>
        <w:t xml:space="preserve">epoxy </w:t>
      </w:r>
      <w:r w:rsidRPr="00B64896">
        <w:rPr>
          <w:color w:val="000000"/>
          <w:sz w:val="22"/>
          <w:szCs w:val="22"/>
        </w:rPr>
        <w:t>pavement marking</w:t>
      </w:r>
      <w:r w:rsidR="009760D2">
        <w:rPr>
          <w:color w:val="000000"/>
          <w:sz w:val="22"/>
          <w:szCs w:val="22"/>
        </w:rPr>
        <w:t>s</w:t>
      </w:r>
      <w:r w:rsidRPr="00B64896">
        <w:rPr>
          <w:color w:val="000000"/>
          <w:sz w:val="22"/>
          <w:szCs w:val="22"/>
        </w:rPr>
        <w:t xml:space="preserve"> shall be </w:t>
      </w:r>
      <w:r w:rsidR="006B4016">
        <w:rPr>
          <w:color w:val="000000"/>
          <w:sz w:val="22"/>
          <w:szCs w:val="22"/>
        </w:rPr>
        <w:t>between 4 and 4-1/4 inches in width</w:t>
      </w:r>
      <w:r w:rsidRPr="00B64896">
        <w:rPr>
          <w:color w:val="000000"/>
          <w:sz w:val="22"/>
          <w:szCs w:val="22"/>
        </w:rPr>
        <w:t xml:space="preserve">  The </w:t>
      </w:r>
      <w:r w:rsidR="009760D2">
        <w:rPr>
          <w:color w:val="000000"/>
          <w:sz w:val="22"/>
          <w:szCs w:val="22"/>
        </w:rPr>
        <w:t xml:space="preserve">grooved </w:t>
      </w:r>
      <w:r w:rsidRPr="00B64896">
        <w:rPr>
          <w:color w:val="000000"/>
          <w:sz w:val="22"/>
          <w:szCs w:val="22"/>
        </w:rPr>
        <w:t xml:space="preserve">depth </w:t>
      </w:r>
      <w:r w:rsidR="009760D2">
        <w:rPr>
          <w:color w:val="000000"/>
          <w:sz w:val="22"/>
          <w:szCs w:val="22"/>
        </w:rPr>
        <w:t xml:space="preserve">for the recessed epoxy </w:t>
      </w:r>
      <w:bookmarkStart w:id="3" w:name="_GoBack"/>
      <w:bookmarkEnd w:id="3"/>
      <w:r w:rsidR="009760D2">
        <w:rPr>
          <w:color w:val="000000"/>
          <w:sz w:val="22"/>
          <w:szCs w:val="22"/>
        </w:rPr>
        <w:t xml:space="preserve">pavement markings </w:t>
      </w:r>
      <w:r w:rsidRPr="00B64896">
        <w:rPr>
          <w:color w:val="000000"/>
          <w:sz w:val="22"/>
          <w:szCs w:val="22"/>
        </w:rPr>
        <w:t xml:space="preserve">shall </w:t>
      </w:r>
      <w:r w:rsidRPr="00B64896">
        <w:rPr>
          <w:sz w:val="22"/>
          <w:szCs w:val="22"/>
        </w:rPr>
        <w:t xml:space="preserve">be </w:t>
      </w:r>
      <w:r w:rsidR="00D074A9">
        <w:rPr>
          <w:sz w:val="22"/>
          <w:szCs w:val="22"/>
        </w:rPr>
        <w:t xml:space="preserve">80 </w:t>
      </w:r>
      <w:r w:rsidR="00665216">
        <w:rPr>
          <w:sz w:val="22"/>
          <w:szCs w:val="22"/>
        </w:rPr>
        <w:t>mils ± 5</w:t>
      </w:r>
      <w:r w:rsidRPr="00B64896">
        <w:rPr>
          <w:sz w:val="22"/>
          <w:szCs w:val="22"/>
        </w:rPr>
        <w:t xml:space="preserve"> mils below</w:t>
      </w:r>
      <w:r w:rsidRPr="00B64896">
        <w:rPr>
          <w:color w:val="000000"/>
          <w:sz w:val="22"/>
          <w:szCs w:val="22"/>
        </w:rPr>
        <w:t xml:space="preserve"> the surface of the existing pavement.</w:t>
      </w:r>
      <w:r w:rsidR="00990CC6" w:rsidDel="00990CC6">
        <w:rPr>
          <w:color w:val="000000"/>
          <w:sz w:val="22"/>
          <w:szCs w:val="22"/>
        </w:rPr>
        <w:t xml:space="preserve"> </w:t>
      </w:r>
    </w:p>
    <w:p w:rsidR="005F72A3" w:rsidRPr="005F72A3" w:rsidRDefault="005F72A3" w:rsidP="00B8080D">
      <w:pPr>
        <w:pStyle w:val="Default"/>
        <w:ind w:right="-10"/>
      </w:pPr>
    </w:p>
    <w:p w:rsidR="005F72A3" w:rsidRDefault="00EA68F7" w:rsidP="00B8080D">
      <w:pPr>
        <w:pStyle w:val="CM9"/>
        <w:spacing w:after="0"/>
        <w:ind w:left="360" w:right="-10"/>
        <w:rPr>
          <w:color w:val="000000"/>
          <w:sz w:val="22"/>
          <w:szCs w:val="22"/>
        </w:rPr>
      </w:pPr>
      <w:r w:rsidRPr="00B64896">
        <w:rPr>
          <w:color w:val="000000"/>
          <w:sz w:val="22"/>
          <w:szCs w:val="22"/>
        </w:rPr>
        <w:t xml:space="preserve">Grooves shall be clean, dry and free of laitance, oil, dirt, grease, paint or other foreign contaminants. The Contractor shall prevent traffic from traversing the grooves, and shall re-clean grooves, as necessary, prior to application of the </w:t>
      </w:r>
      <w:r w:rsidR="002E71AD">
        <w:rPr>
          <w:color w:val="000000"/>
          <w:sz w:val="22"/>
          <w:szCs w:val="22"/>
        </w:rPr>
        <w:t>Epoxy Pavement M</w:t>
      </w:r>
      <w:r w:rsidRPr="00B64896">
        <w:rPr>
          <w:color w:val="000000"/>
          <w:sz w:val="22"/>
          <w:szCs w:val="22"/>
        </w:rPr>
        <w:t>arkings</w:t>
      </w:r>
      <w:r w:rsidR="002E71AD">
        <w:rPr>
          <w:color w:val="000000"/>
          <w:sz w:val="22"/>
          <w:szCs w:val="22"/>
        </w:rPr>
        <w:t xml:space="preserve"> (Special)</w:t>
      </w:r>
      <w:r w:rsidRPr="00B64896">
        <w:rPr>
          <w:color w:val="000000"/>
          <w:sz w:val="22"/>
          <w:szCs w:val="22"/>
        </w:rPr>
        <w:t>.</w:t>
      </w:r>
    </w:p>
    <w:p w:rsidR="00EA68F7" w:rsidRPr="00B64896" w:rsidRDefault="00EA68F7" w:rsidP="00B8080D">
      <w:pPr>
        <w:pStyle w:val="CM9"/>
        <w:spacing w:after="0"/>
        <w:ind w:left="360" w:right="-10"/>
        <w:rPr>
          <w:color w:val="000000"/>
          <w:sz w:val="22"/>
          <w:szCs w:val="22"/>
        </w:rPr>
      </w:pPr>
    </w:p>
    <w:p w:rsidR="00EA68F7" w:rsidRPr="00B64896" w:rsidRDefault="006B4016" w:rsidP="00B8080D">
      <w:pPr>
        <w:pStyle w:val="CM9"/>
        <w:spacing w:after="0"/>
        <w:ind w:left="360" w:right="-10"/>
        <w:rPr>
          <w:color w:val="000000"/>
          <w:sz w:val="22"/>
          <w:szCs w:val="22"/>
        </w:rPr>
      </w:pPr>
      <w:r>
        <w:rPr>
          <w:color w:val="000000"/>
          <w:sz w:val="22"/>
          <w:szCs w:val="22"/>
        </w:rPr>
        <w:t>The Contractor shall grind only those locations on which pavement marking shall be applied on a daily basis.</w:t>
      </w:r>
    </w:p>
    <w:p w:rsidR="005F72A3" w:rsidRDefault="00EA68F7" w:rsidP="00B8080D">
      <w:pPr>
        <w:pStyle w:val="CM9"/>
        <w:spacing w:after="0"/>
        <w:ind w:left="360" w:right="-10"/>
        <w:rPr>
          <w:color w:val="000000"/>
          <w:sz w:val="22"/>
          <w:szCs w:val="22"/>
        </w:rPr>
      </w:pPr>
      <w:r w:rsidRPr="00665216">
        <w:rPr>
          <w:color w:val="000000"/>
          <w:sz w:val="22"/>
          <w:szCs w:val="22"/>
        </w:rPr>
        <w:t>If a rain event occurs during grinding and marking application, a temporary lane line marking tab shall be placed while the pavement is drying prior to the marking application.  Marking application can proceed when pavement is dry and has had no moisture for a minimum of 24 hours.  The placement of tabs shall be every other lane line/ skip or approximately 80 feet.</w:t>
      </w:r>
    </w:p>
    <w:p w:rsidR="00EA68F7" w:rsidRPr="00665216" w:rsidRDefault="00EA68F7" w:rsidP="00B8080D">
      <w:pPr>
        <w:pStyle w:val="CM9"/>
        <w:spacing w:after="0"/>
        <w:ind w:left="360" w:right="-10"/>
        <w:rPr>
          <w:color w:val="000000"/>
          <w:sz w:val="22"/>
          <w:szCs w:val="22"/>
        </w:rPr>
      </w:pPr>
    </w:p>
    <w:p w:rsidR="00665216" w:rsidRDefault="00CC5A9E" w:rsidP="00B8080D">
      <w:pPr>
        <w:pStyle w:val="CM9"/>
        <w:tabs>
          <w:tab w:val="left" w:pos="2430"/>
        </w:tabs>
        <w:spacing w:after="0"/>
        <w:ind w:left="360" w:right="-10"/>
      </w:pPr>
      <w:r>
        <w:rPr>
          <w:sz w:val="22"/>
          <w:szCs w:val="22"/>
        </w:rPr>
        <w:t>The primary and secondary beads shall be applied in a two drop operation in accordance with</w:t>
      </w:r>
      <w:r w:rsidR="00B8080D">
        <w:rPr>
          <w:sz w:val="22"/>
          <w:szCs w:val="22"/>
        </w:rPr>
        <w:t xml:space="preserve"> the</w:t>
      </w:r>
      <w:r>
        <w:rPr>
          <w:sz w:val="22"/>
          <w:szCs w:val="22"/>
        </w:rPr>
        <w:t xml:space="preserve"> manufacturer’s recommendations.  If manufacturer recommendations do not address this operation, th</w:t>
      </w:r>
      <w:r w:rsidR="00C20B35">
        <w:rPr>
          <w:sz w:val="22"/>
          <w:szCs w:val="22"/>
        </w:rPr>
        <w:t>e</w:t>
      </w:r>
      <w:r>
        <w:rPr>
          <w:sz w:val="22"/>
          <w:szCs w:val="22"/>
        </w:rPr>
        <w:t xml:space="preserve">n the rate of primary beads shall be 10 to 11 pounds per gallon of epoxy.  </w:t>
      </w:r>
      <w:r w:rsidR="00665216" w:rsidRPr="00665216">
        <w:rPr>
          <w:sz w:val="22"/>
          <w:szCs w:val="22"/>
        </w:rPr>
        <w:t>The primary composite</w:t>
      </w:r>
      <w:r w:rsidR="00EA68F7" w:rsidRPr="00665216">
        <w:rPr>
          <w:sz w:val="22"/>
          <w:szCs w:val="22"/>
        </w:rPr>
        <w:t xml:space="preserve"> cluster</w:t>
      </w:r>
      <w:r w:rsidR="00665216" w:rsidRPr="00665216">
        <w:rPr>
          <w:sz w:val="22"/>
          <w:szCs w:val="22"/>
        </w:rPr>
        <w:t xml:space="preserve"> </w:t>
      </w:r>
      <w:r w:rsidR="00EA68F7" w:rsidRPr="00665216">
        <w:rPr>
          <w:sz w:val="22"/>
          <w:szCs w:val="22"/>
        </w:rPr>
        <w:t xml:space="preserve">shall be applied first from the bead dispenser directly behind the Epoxy binder application gun followed immediately by the application of the </w:t>
      </w:r>
      <w:r w:rsidR="00665216" w:rsidRPr="00665216">
        <w:rPr>
          <w:sz w:val="22"/>
          <w:szCs w:val="22"/>
        </w:rPr>
        <w:t>s</w:t>
      </w:r>
      <w:r w:rsidR="00EA68F7" w:rsidRPr="00665216">
        <w:rPr>
          <w:sz w:val="22"/>
          <w:szCs w:val="22"/>
        </w:rPr>
        <w:t xml:space="preserve">econdary beads from a second bead dispenser. The application rates of the primary and secondary beads shall be adjusted from these starting values until the minimum </w:t>
      </w:r>
      <w:proofErr w:type="spellStart"/>
      <w:r w:rsidR="00D34123" w:rsidRPr="00665216">
        <w:rPr>
          <w:sz w:val="22"/>
          <w:szCs w:val="22"/>
        </w:rPr>
        <w:t>retro</w:t>
      </w:r>
      <w:r w:rsidR="00EA68F7" w:rsidRPr="00665216">
        <w:rPr>
          <w:sz w:val="22"/>
          <w:szCs w:val="22"/>
        </w:rPr>
        <w:t>reflectivity</w:t>
      </w:r>
      <w:proofErr w:type="spellEnd"/>
      <w:r w:rsidR="00EA68F7" w:rsidRPr="00665216">
        <w:rPr>
          <w:sz w:val="22"/>
          <w:szCs w:val="22"/>
        </w:rPr>
        <w:t xml:space="preserve"> values have been consistently achieved.</w:t>
      </w:r>
      <w:r w:rsidR="00990CC6">
        <w:rPr>
          <w:sz w:val="22"/>
          <w:szCs w:val="22"/>
        </w:rPr>
        <w:t xml:space="preserve">  </w:t>
      </w:r>
      <w:r w:rsidR="00990CC6" w:rsidRPr="00B64896">
        <w:rPr>
          <w:color w:val="000000"/>
          <w:sz w:val="22"/>
          <w:szCs w:val="22"/>
        </w:rPr>
        <w:t xml:space="preserve">The beads shall be applied in such a manner that the beads shall adhere and be embedded within the </w:t>
      </w:r>
      <w:r w:rsidR="00B8080D">
        <w:rPr>
          <w:color w:val="000000"/>
          <w:sz w:val="22"/>
          <w:szCs w:val="22"/>
        </w:rPr>
        <w:t>e</w:t>
      </w:r>
      <w:r w:rsidR="00B8080D" w:rsidRPr="00B64896">
        <w:rPr>
          <w:color w:val="000000"/>
          <w:sz w:val="22"/>
          <w:szCs w:val="22"/>
        </w:rPr>
        <w:t xml:space="preserve">poxy </w:t>
      </w:r>
      <w:r w:rsidR="00990CC6" w:rsidRPr="00B64896">
        <w:rPr>
          <w:color w:val="000000"/>
          <w:sz w:val="22"/>
          <w:szCs w:val="22"/>
        </w:rPr>
        <w:t xml:space="preserve">binder to produce a high reflective all weather pavement marking.  </w:t>
      </w:r>
    </w:p>
    <w:p w:rsidR="00665216" w:rsidRPr="00665216" w:rsidRDefault="00665216" w:rsidP="00B8080D">
      <w:pPr>
        <w:pStyle w:val="Default"/>
        <w:ind w:left="360" w:right="-10"/>
        <w:rPr>
          <w:sz w:val="22"/>
          <w:szCs w:val="22"/>
        </w:rPr>
      </w:pPr>
    </w:p>
    <w:p w:rsidR="00EA68F7" w:rsidRDefault="00EA68F7" w:rsidP="00B8080D">
      <w:pPr>
        <w:pStyle w:val="CM9"/>
        <w:spacing w:after="0"/>
        <w:ind w:left="360" w:right="-10"/>
        <w:rPr>
          <w:color w:val="000000"/>
          <w:sz w:val="22"/>
          <w:szCs w:val="22"/>
        </w:rPr>
      </w:pPr>
      <w:r w:rsidRPr="00B64896">
        <w:rPr>
          <w:color w:val="000000"/>
          <w:sz w:val="22"/>
          <w:szCs w:val="22"/>
        </w:rPr>
        <w:t xml:space="preserve">There shall be two types of glass </w:t>
      </w:r>
      <w:r w:rsidR="00990CC6" w:rsidRPr="00B64896">
        <w:rPr>
          <w:color w:val="000000"/>
          <w:sz w:val="22"/>
          <w:szCs w:val="22"/>
        </w:rPr>
        <w:t>and</w:t>
      </w:r>
      <w:r w:rsidR="00990CC6">
        <w:rPr>
          <w:color w:val="000000"/>
          <w:sz w:val="22"/>
          <w:szCs w:val="22"/>
        </w:rPr>
        <w:t>/</w:t>
      </w:r>
      <w:r w:rsidRPr="00B64896">
        <w:rPr>
          <w:color w:val="000000"/>
          <w:sz w:val="22"/>
          <w:szCs w:val="22"/>
        </w:rPr>
        <w:t xml:space="preserve">or ceramic beads used for the Epoxy </w:t>
      </w:r>
      <w:r w:rsidR="004C7B20">
        <w:rPr>
          <w:color w:val="000000"/>
          <w:sz w:val="22"/>
          <w:szCs w:val="22"/>
        </w:rPr>
        <w:t>P</w:t>
      </w:r>
      <w:r w:rsidRPr="00B64896">
        <w:rPr>
          <w:color w:val="000000"/>
          <w:sz w:val="22"/>
          <w:szCs w:val="22"/>
        </w:rPr>
        <w:t xml:space="preserve">avement </w:t>
      </w:r>
      <w:r w:rsidR="004C7B20">
        <w:rPr>
          <w:color w:val="000000"/>
          <w:sz w:val="22"/>
          <w:szCs w:val="22"/>
        </w:rPr>
        <w:t>M</w:t>
      </w:r>
      <w:r w:rsidRPr="00B64896">
        <w:rPr>
          <w:color w:val="000000"/>
          <w:sz w:val="22"/>
          <w:szCs w:val="22"/>
        </w:rPr>
        <w:t>arking (Special) reflective elements, a Primary bead which is a high performance, high reflective all weather bead and a Secondary standard glass bead.  Beads will be accepted on the project by certificates of compliance (COC).  The COC shall be in conform</w:t>
      </w:r>
      <w:r w:rsidR="00D34123" w:rsidRPr="00B64896">
        <w:rPr>
          <w:color w:val="000000"/>
          <w:sz w:val="22"/>
          <w:szCs w:val="22"/>
        </w:rPr>
        <w:t>ance with subsection 106.02 in addition to the following requirements</w:t>
      </w:r>
      <w:r w:rsidRPr="00B64896">
        <w:rPr>
          <w:color w:val="000000"/>
          <w:sz w:val="22"/>
          <w:szCs w:val="22"/>
        </w:rPr>
        <w:t xml:space="preserve">:  </w:t>
      </w:r>
    </w:p>
    <w:p w:rsidR="00B8080D" w:rsidRPr="00B8080D" w:rsidRDefault="00B8080D" w:rsidP="00B8080D">
      <w:pPr>
        <w:pStyle w:val="Default"/>
        <w:ind w:right="-10"/>
      </w:pPr>
    </w:p>
    <w:p w:rsidR="004C1A81" w:rsidRDefault="00990CC6" w:rsidP="00B8080D">
      <w:pPr>
        <w:pStyle w:val="CM9"/>
        <w:spacing w:after="0"/>
        <w:ind w:left="1080" w:right="-10" w:hanging="360"/>
        <w:rPr>
          <w:color w:val="000000"/>
          <w:sz w:val="22"/>
          <w:szCs w:val="22"/>
        </w:rPr>
      </w:pPr>
      <w:r>
        <w:rPr>
          <w:color w:val="000000"/>
          <w:sz w:val="22"/>
          <w:szCs w:val="22"/>
        </w:rPr>
        <w:t>1</w:t>
      </w:r>
      <w:r w:rsidR="00EA68F7" w:rsidRPr="00B64896">
        <w:rPr>
          <w:color w:val="000000"/>
          <w:sz w:val="22"/>
          <w:szCs w:val="22"/>
        </w:rPr>
        <w:t>) The pr</w:t>
      </w:r>
      <w:r w:rsidR="00665216">
        <w:rPr>
          <w:color w:val="000000"/>
          <w:sz w:val="22"/>
          <w:szCs w:val="22"/>
        </w:rPr>
        <w:t>imary bead shall be a composite</w:t>
      </w:r>
      <w:r w:rsidR="00EA68F7" w:rsidRPr="00B64896">
        <w:rPr>
          <w:color w:val="000000"/>
          <w:sz w:val="22"/>
          <w:szCs w:val="22"/>
        </w:rPr>
        <w:t xml:space="preserve"> cluster comprised of a core element and </w:t>
      </w:r>
      <w:r w:rsidR="00491DE6">
        <w:rPr>
          <w:color w:val="000000"/>
          <w:sz w:val="22"/>
          <w:szCs w:val="22"/>
        </w:rPr>
        <w:t xml:space="preserve">shall </w:t>
      </w:r>
      <w:r w:rsidR="00EA68F7" w:rsidRPr="00B64896">
        <w:rPr>
          <w:color w:val="000000"/>
          <w:sz w:val="22"/>
          <w:szCs w:val="22"/>
        </w:rPr>
        <w:t>contain a</w:t>
      </w:r>
      <w:r w:rsidR="00D34123" w:rsidRPr="00B64896">
        <w:rPr>
          <w:color w:val="000000"/>
          <w:sz w:val="22"/>
          <w:szCs w:val="22"/>
        </w:rPr>
        <w:t>n</w:t>
      </w:r>
      <w:r w:rsidR="00EA68F7" w:rsidRPr="00B64896">
        <w:rPr>
          <w:color w:val="000000"/>
          <w:sz w:val="22"/>
          <w:szCs w:val="22"/>
        </w:rPr>
        <w:t xml:space="preserve"> outer shell containing elements surrounding it.  The shell elements shall be permanently attached to the core element.  The core and shell elements shall be manufactured from glass, </w:t>
      </w:r>
    </w:p>
    <w:p w:rsidR="004C1A81" w:rsidRPr="00B64896" w:rsidRDefault="004C1A81" w:rsidP="004C1A81">
      <w:pPr>
        <w:ind w:right="-10"/>
        <w:jc w:val="center"/>
        <w:rPr>
          <w:b/>
          <w:sz w:val="22"/>
          <w:szCs w:val="22"/>
        </w:rPr>
      </w:pPr>
      <w:r w:rsidRPr="00B64896">
        <w:rPr>
          <w:b/>
          <w:sz w:val="22"/>
          <w:szCs w:val="22"/>
        </w:rPr>
        <w:lastRenderedPageBreak/>
        <w:t>- 2 –</w:t>
      </w:r>
    </w:p>
    <w:p w:rsidR="004C1A81" w:rsidRPr="00B64896" w:rsidRDefault="004C1A81" w:rsidP="004C1A81">
      <w:pPr>
        <w:ind w:right="-10"/>
        <w:jc w:val="center"/>
        <w:rPr>
          <w:b/>
          <w:sz w:val="22"/>
          <w:szCs w:val="22"/>
        </w:rPr>
      </w:pPr>
      <w:r w:rsidRPr="00B64896">
        <w:rPr>
          <w:b/>
          <w:sz w:val="22"/>
          <w:szCs w:val="22"/>
        </w:rPr>
        <w:t>REVISION OF SECTION 627</w:t>
      </w:r>
    </w:p>
    <w:p w:rsidR="004C1A81" w:rsidRDefault="004C1A81" w:rsidP="004C1A81">
      <w:pPr>
        <w:ind w:right="-10"/>
        <w:jc w:val="center"/>
        <w:rPr>
          <w:b/>
          <w:sz w:val="22"/>
          <w:szCs w:val="22"/>
        </w:rPr>
      </w:pPr>
      <w:r w:rsidRPr="00B64896">
        <w:rPr>
          <w:b/>
          <w:sz w:val="22"/>
          <w:szCs w:val="22"/>
        </w:rPr>
        <w:t>EPOXY PAVEMENT MARKING (</w:t>
      </w:r>
      <w:r>
        <w:rPr>
          <w:b/>
          <w:sz w:val="22"/>
          <w:szCs w:val="22"/>
        </w:rPr>
        <w:t>SPECIAL</w:t>
      </w:r>
      <w:r w:rsidRPr="00B64896">
        <w:rPr>
          <w:b/>
          <w:sz w:val="22"/>
          <w:szCs w:val="22"/>
        </w:rPr>
        <w:t>)</w:t>
      </w:r>
    </w:p>
    <w:p w:rsidR="004C1A81" w:rsidRDefault="004C1A81" w:rsidP="00B8080D">
      <w:pPr>
        <w:pStyle w:val="CM9"/>
        <w:spacing w:after="0"/>
        <w:ind w:left="1080" w:right="-10" w:hanging="360"/>
        <w:rPr>
          <w:color w:val="000000"/>
          <w:sz w:val="22"/>
          <w:szCs w:val="22"/>
        </w:rPr>
      </w:pPr>
    </w:p>
    <w:p w:rsidR="00EA68F7" w:rsidRPr="009520AD" w:rsidRDefault="00EA68F7" w:rsidP="00B8080D">
      <w:pPr>
        <w:pStyle w:val="CM9"/>
        <w:spacing w:after="0"/>
        <w:ind w:left="1080" w:right="-10" w:hanging="360"/>
        <w:rPr>
          <w:color w:val="000000"/>
          <w:sz w:val="22"/>
          <w:szCs w:val="22"/>
        </w:rPr>
      </w:pPr>
      <w:proofErr w:type="gramStart"/>
      <w:r w:rsidRPr="00B64896">
        <w:rPr>
          <w:color w:val="000000"/>
          <w:sz w:val="22"/>
          <w:szCs w:val="22"/>
        </w:rPr>
        <w:t>ceramic</w:t>
      </w:r>
      <w:proofErr w:type="gramEnd"/>
      <w:r w:rsidRPr="00B64896">
        <w:rPr>
          <w:color w:val="000000"/>
          <w:sz w:val="22"/>
          <w:szCs w:val="22"/>
        </w:rPr>
        <w:t xml:space="preserve">, or silica.  The primary element shall be </w:t>
      </w:r>
      <w:r w:rsidRPr="009520AD">
        <w:rPr>
          <w:color w:val="000000"/>
          <w:sz w:val="22"/>
          <w:szCs w:val="22"/>
        </w:rPr>
        <w:t xml:space="preserve">coated by manufacturer’s recommendations for application within Epoxy binder.  </w:t>
      </w:r>
    </w:p>
    <w:p w:rsidR="00665216" w:rsidRPr="009520AD" w:rsidRDefault="00665216" w:rsidP="00B8080D">
      <w:pPr>
        <w:pStyle w:val="Default"/>
        <w:ind w:right="-10"/>
        <w:rPr>
          <w:sz w:val="22"/>
          <w:szCs w:val="22"/>
        </w:rPr>
      </w:pPr>
    </w:p>
    <w:p w:rsidR="00665216" w:rsidRPr="00B64896" w:rsidRDefault="00665216" w:rsidP="00B8080D">
      <w:pPr>
        <w:ind w:right="-10"/>
        <w:jc w:val="center"/>
        <w:rPr>
          <w:b/>
          <w:sz w:val="22"/>
          <w:szCs w:val="22"/>
        </w:rPr>
      </w:pPr>
    </w:p>
    <w:p w:rsidR="00EA68F7" w:rsidRPr="00665216" w:rsidRDefault="00990CC6" w:rsidP="00B8080D">
      <w:pPr>
        <w:ind w:left="1080" w:right="-10" w:hanging="360"/>
        <w:rPr>
          <w:b/>
          <w:sz w:val="22"/>
          <w:szCs w:val="22"/>
        </w:rPr>
      </w:pPr>
      <w:r>
        <w:rPr>
          <w:sz w:val="22"/>
          <w:szCs w:val="22"/>
        </w:rPr>
        <w:t>2</w:t>
      </w:r>
      <w:r w:rsidR="00491DE6" w:rsidRPr="00665216">
        <w:rPr>
          <w:sz w:val="22"/>
          <w:szCs w:val="22"/>
        </w:rPr>
        <w:t xml:space="preserve">) </w:t>
      </w:r>
      <w:r w:rsidR="00EA68F7" w:rsidRPr="00665216">
        <w:rPr>
          <w:sz w:val="22"/>
          <w:szCs w:val="22"/>
        </w:rPr>
        <w:t xml:space="preserve">The </w:t>
      </w:r>
      <w:r w:rsidR="00491DE6" w:rsidRPr="00665216">
        <w:rPr>
          <w:sz w:val="22"/>
          <w:szCs w:val="22"/>
        </w:rPr>
        <w:t>s</w:t>
      </w:r>
      <w:r w:rsidR="00EA68F7" w:rsidRPr="00665216">
        <w:rPr>
          <w:sz w:val="22"/>
          <w:szCs w:val="22"/>
        </w:rPr>
        <w:t xml:space="preserve">econdary bead shall conform to the following specifications: </w:t>
      </w:r>
    </w:p>
    <w:p w:rsidR="00EA68F7" w:rsidRDefault="00EA68F7" w:rsidP="00B8080D">
      <w:pPr>
        <w:pStyle w:val="CM9"/>
        <w:spacing w:after="0"/>
        <w:ind w:left="360" w:right="-10"/>
        <w:rPr>
          <w:color w:val="000000"/>
          <w:sz w:val="22"/>
          <w:szCs w:val="22"/>
        </w:rPr>
      </w:pPr>
    </w:p>
    <w:p w:rsidR="00665216" w:rsidRPr="00665216" w:rsidRDefault="00665216" w:rsidP="00B8080D">
      <w:pPr>
        <w:pStyle w:val="Default"/>
        <w:ind w:right="-10"/>
        <w:sectPr w:rsidR="00665216" w:rsidRPr="00665216" w:rsidSect="00B00DF3">
          <w:type w:val="continuous"/>
          <w:pgSz w:w="12240" w:h="15840"/>
          <w:pgMar w:top="1440" w:right="1440" w:bottom="1440" w:left="1440" w:header="720" w:footer="720" w:gutter="0"/>
          <w:cols w:space="720"/>
          <w:noEndnote/>
          <w:docGrid w:linePitch="326"/>
        </w:sectPr>
      </w:pPr>
    </w:p>
    <w:p w:rsidR="00D34123" w:rsidRPr="00B64896" w:rsidRDefault="00B64896" w:rsidP="00B8080D">
      <w:pPr>
        <w:pStyle w:val="CM9"/>
        <w:spacing w:after="0"/>
        <w:ind w:right="-10" w:firstLine="990"/>
        <w:outlineLvl w:val="0"/>
        <w:rPr>
          <w:bCs/>
          <w:sz w:val="22"/>
          <w:szCs w:val="22"/>
        </w:rPr>
      </w:pPr>
      <w:r w:rsidRPr="00B64896">
        <w:rPr>
          <w:bCs/>
          <w:sz w:val="22"/>
          <w:szCs w:val="22"/>
          <w:u w:val="single"/>
        </w:rPr>
        <w:lastRenderedPageBreak/>
        <w:t>G</w:t>
      </w:r>
      <w:r w:rsidR="00D34123" w:rsidRPr="00B64896">
        <w:rPr>
          <w:bCs/>
          <w:sz w:val="22"/>
          <w:szCs w:val="22"/>
          <w:u w:val="single"/>
        </w:rPr>
        <w:t>radation:</w:t>
      </w:r>
      <w:r w:rsidR="00D34123" w:rsidRPr="00B64896">
        <w:rPr>
          <w:bCs/>
          <w:sz w:val="22"/>
          <w:szCs w:val="22"/>
        </w:rPr>
        <w:t xml:space="preserve"> </w:t>
      </w:r>
    </w:p>
    <w:tbl>
      <w:tblPr>
        <w:tblW w:w="495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990"/>
        <w:gridCol w:w="1620"/>
        <w:gridCol w:w="1080"/>
      </w:tblGrid>
      <w:tr w:rsidR="00D34123" w:rsidRPr="00EF1005" w:rsidTr="00EF1005">
        <w:trPr>
          <w:trHeight w:val="264"/>
        </w:trPr>
        <w:tc>
          <w:tcPr>
            <w:tcW w:w="126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smartTag w:uri="urn:schemas-microsoft-com:office:smarttags" w:element="country-region">
              <w:smartTag w:uri="urn:schemas-microsoft-com:office:smarttags" w:element="place">
                <w:r w:rsidRPr="00EF1005">
                  <w:rPr>
                    <w:sz w:val="22"/>
                    <w:szCs w:val="22"/>
                  </w:rPr>
                  <w:t>U.S.</w:t>
                </w:r>
              </w:smartTag>
            </w:smartTag>
            <w:r w:rsidRPr="00EF1005">
              <w:rPr>
                <w:sz w:val="22"/>
                <w:szCs w:val="22"/>
              </w:rPr>
              <w:t xml:space="preserve"> Mesh</w:t>
            </w:r>
          </w:p>
        </w:tc>
        <w:tc>
          <w:tcPr>
            <w:tcW w:w="99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Microns</w:t>
            </w:r>
          </w:p>
        </w:tc>
        <w:tc>
          <w:tcPr>
            <w:tcW w:w="162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 Retained</w:t>
            </w:r>
          </w:p>
        </w:tc>
        <w:tc>
          <w:tcPr>
            <w:tcW w:w="108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%Passing</w:t>
            </w:r>
          </w:p>
        </w:tc>
      </w:tr>
      <w:tr w:rsidR="00D34123" w:rsidRPr="00EF1005" w:rsidTr="00EF1005">
        <w:trPr>
          <w:trHeight w:val="237"/>
        </w:trPr>
        <w:tc>
          <w:tcPr>
            <w:tcW w:w="126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18</w:t>
            </w:r>
          </w:p>
        </w:tc>
        <w:tc>
          <w:tcPr>
            <w:tcW w:w="99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1000</w:t>
            </w:r>
          </w:p>
        </w:tc>
        <w:tc>
          <w:tcPr>
            <w:tcW w:w="162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20 – 35</w:t>
            </w:r>
          </w:p>
        </w:tc>
        <w:tc>
          <w:tcPr>
            <w:tcW w:w="108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65 – 80</w:t>
            </w:r>
          </w:p>
        </w:tc>
      </w:tr>
      <w:tr w:rsidR="00D34123" w:rsidRPr="00EF1005" w:rsidTr="00EF1005">
        <w:tc>
          <w:tcPr>
            <w:tcW w:w="126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30</w:t>
            </w:r>
          </w:p>
        </w:tc>
        <w:tc>
          <w:tcPr>
            <w:tcW w:w="99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600</w:t>
            </w:r>
          </w:p>
        </w:tc>
        <w:tc>
          <w:tcPr>
            <w:tcW w:w="162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50 – 70</w:t>
            </w:r>
          </w:p>
        </w:tc>
        <w:tc>
          <w:tcPr>
            <w:tcW w:w="108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30 – 50</w:t>
            </w:r>
          </w:p>
        </w:tc>
      </w:tr>
      <w:tr w:rsidR="00D34123" w:rsidRPr="00EF1005" w:rsidTr="00EF1005">
        <w:tc>
          <w:tcPr>
            <w:tcW w:w="126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50</w:t>
            </w:r>
          </w:p>
        </w:tc>
        <w:tc>
          <w:tcPr>
            <w:tcW w:w="99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300</w:t>
            </w:r>
          </w:p>
        </w:tc>
        <w:tc>
          <w:tcPr>
            <w:tcW w:w="1620" w:type="dxa"/>
            <w:shd w:val="clear" w:color="auto" w:fill="auto"/>
            <w:vAlign w:val="center"/>
          </w:tcPr>
          <w:p w:rsidR="00D34123" w:rsidRPr="00EF1005" w:rsidRDefault="00D34123" w:rsidP="00EF1005">
            <w:pPr>
              <w:pStyle w:val="CM9"/>
              <w:tabs>
                <w:tab w:val="left" w:pos="2430"/>
              </w:tabs>
              <w:spacing w:after="0"/>
              <w:ind w:right="-10"/>
              <w:jc w:val="center"/>
              <w:rPr>
                <w:sz w:val="22"/>
                <w:szCs w:val="22"/>
              </w:rPr>
            </w:pPr>
            <w:r w:rsidRPr="00EF1005">
              <w:rPr>
                <w:sz w:val="22"/>
                <w:szCs w:val="22"/>
              </w:rPr>
              <w:t>95 – 100</w:t>
            </w:r>
          </w:p>
        </w:tc>
        <w:tc>
          <w:tcPr>
            <w:tcW w:w="1080" w:type="dxa"/>
            <w:shd w:val="clear" w:color="auto" w:fill="auto"/>
            <w:vAlign w:val="center"/>
          </w:tcPr>
          <w:p w:rsidR="00D34123" w:rsidRPr="00EF1005" w:rsidRDefault="00D34123" w:rsidP="00EF1005">
            <w:pPr>
              <w:pStyle w:val="CM9"/>
              <w:tabs>
                <w:tab w:val="left" w:pos="2430"/>
              </w:tabs>
              <w:spacing w:after="0"/>
              <w:ind w:right="-10" w:firstLine="360"/>
              <w:jc w:val="center"/>
              <w:rPr>
                <w:sz w:val="22"/>
                <w:szCs w:val="22"/>
              </w:rPr>
            </w:pPr>
            <w:r w:rsidRPr="00EF1005">
              <w:rPr>
                <w:sz w:val="22"/>
                <w:szCs w:val="22"/>
              </w:rPr>
              <w:t>0 – 5</w:t>
            </w:r>
            <w:r w:rsidR="00B64896" w:rsidRPr="00EF1005">
              <w:rPr>
                <w:sz w:val="22"/>
                <w:szCs w:val="22"/>
              </w:rPr>
              <w:t xml:space="preserve">     </w:t>
            </w:r>
          </w:p>
        </w:tc>
      </w:tr>
    </w:tbl>
    <w:p w:rsidR="00B64896" w:rsidRPr="00B64896" w:rsidRDefault="00B64896" w:rsidP="00B8080D">
      <w:pPr>
        <w:pStyle w:val="CM9"/>
        <w:spacing w:after="0"/>
        <w:ind w:left="360" w:right="-10"/>
        <w:rPr>
          <w:sz w:val="22"/>
          <w:szCs w:val="22"/>
          <w:u w:val="single"/>
        </w:rPr>
      </w:pPr>
    </w:p>
    <w:p w:rsidR="00EA68F7" w:rsidRDefault="00EA68F7" w:rsidP="00B8080D">
      <w:pPr>
        <w:pStyle w:val="CM9"/>
        <w:spacing w:after="0"/>
        <w:ind w:left="1530" w:right="-10" w:hanging="540"/>
        <w:rPr>
          <w:sz w:val="22"/>
          <w:szCs w:val="22"/>
        </w:rPr>
      </w:pPr>
      <w:r w:rsidRPr="00B64896">
        <w:rPr>
          <w:sz w:val="22"/>
          <w:szCs w:val="22"/>
          <w:u w:val="single"/>
        </w:rPr>
        <w:t>Roundness</w:t>
      </w:r>
      <w:r w:rsidR="00B64896" w:rsidRPr="00B64896">
        <w:rPr>
          <w:sz w:val="22"/>
          <w:szCs w:val="22"/>
          <w:u w:val="single"/>
        </w:rPr>
        <w:t>:</w:t>
      </w:r>
      <w:r w:rsidRPr="00B64896">
        <w:rPr>
          <w:sz w:val="22"/>
          <w:szCs w:val="22"/>
          <w:u w:val="single"/>
        </w:rPr>
        <w:t xml:space="preserve"> </w:t>
      </w:r>
      <w:r w:rsidRPr="00B64896">
        <w:rPr>
          <w:sz w:val="22"/>
          <w:szCs w:val="22"/>
        </w:rPr>
        <w:t xml:space="preserve"> Shall be a minimum of 85 % true spheres above the sieve 20 by visual inspection </w:t>
      </w:r>
      <w:r w:rsidRPr="00491DE6">
        <w:rPr>
          <w:bCs/>
          <w:sz w:val="22"/>
          <w:szCs w:val="22"/>
        </w:rPr>
        <w:t>using test method FLH-520</w:t>
      </w:r>
      <w:r w:rsidRPr="00B64896">
        <w:rPr>
          <w:sz w:val="22"/>
          <w:szCs w:val="22"/>
        </w:rPr>
        <w:t xml:space="preserve">. All beads below the 20 sieve, must meet a minimum of 80% true spheres by ASTM Method D 1155.  </w:t>
      </w:r>
    </w:p>
    <w:p w:rsidR="00B8080D" w:rsidRPr="00B8080D" w:rsidRDefault="00B8080D" w:rsidP="00B8080D">
      <w:pPr>
        <w:pStyle w:val="Default"/>
        <w:ind w:right="-10"/>
      </w:pPr>
    </w:p>
    <w:p w:rsidR="00EA68F7" w:rsidRDefault="00EA68F7" w:rsidP="00B8080D">
      <w:pPr>
        <w:pStyle w:val="CM9"/>
        <w:spacing w:after="0"/>
        <w:ind w:left="360" w:right="-10" w:firstLine="630"/>
        <w:rPr>
          <w:sz w:val="22"/>
          <w:szCs w:val="22"/>
        </w:rPr>
      </w:pPr>
      <w:r w:rsidRPr="00B64896">
        <w:rPr>
          <w:sz w:val="22"/>
          <w:szCs w:val="22"/>
          <w:u w:val="single"/>
        </w:rPr>
        <w:t>Color / Clarity</w:t>
      </w:r>
      <w:r w:rsidR="00B64896" w:rsidRPr="00B64896">
        <w:rPr>
          <w:sz w:val="22"/>
          <w:szCs w:val="22"/>
          <w:u w:val="single"/>
        </w:rPr>
        <w:t>:</w:t>
      </w:r>
      <w:r w:rsidRPr="00B64896">
        <w:rPr>
          <w:sz w:val="22"/>
          <w:szCs w:val="22"/>
        </w:rPr>
        <w:t xml:space="preserve"> Beads shall be colorless / clear and free of carbon residues. </w:t>
      </w:r>
    </w:p>
    <w:p w:rsidR="00B8080D" w:rsidRPr="00B8080D" w:rsidRDefault="00B8080D" w:rsidP="00B8080D">
      <w:pPr>
        <w:pStyle w:val="Default"/>
        <w:ind w:right="-10"/>
      </w:pPr>
    </w:p>
    <w:p w:rsidR="00EA68F7" w:rsidRDefault="00EA68F7" w:rsidP="00B8080D">
      <w:pPr>
        <w:pStyle w:val="CM9"/>
        <w:spacing w:after="0"/>
        <w:ind w:left="360" w:right="-10" w:firstLine="630"/>
        <w:rPr>
          <w:sz w:val="22"/>
          <w:szCs w:val="22"/>
        </w:rPr>
      </w:pPr>
      <w:r w:rsidRPr="00B64896">
        <w:rPr>
          <w:sz w:val="22"/>
          <w:szCs w:val="22"/>
          <w:u w:val="single"/>
        </w:rPr>
        <w:t>Refractive Index</w:t>
      </w:r>
      <w:r w:rsidR="00B64896" w:rsidRPr="00B64896">
        <w:rPr>
          <w:sz w:val="22"/>
          <w:szCs w:val="22"/>
          <w:u w:val="single"/>
        </w:rPr>
        <w:t>:</w:t>
      </w:r>
      <w:r w:rsidRPr="00B64896">
        <w:rPr>
          <w:sz w:val="22"/>
          <w:szCs w:val="22"/>
        </w:rPr>
        <w:t xml:space="preserve"> Minimum 1.50 by oil immersion method. </w:t>
      </w:r>
    </w:p>
    <w:p w:rsidR="00B8080D" w:rsidRPr="00B8080D" w:rsidRDefault="00B8080D" w:rsidP="00B8080D">
      <w:pPr>
        <w:pStyle w:val="Default"/>
        <w:ind w:right="-10"/>
      </w:pPr>
    </w:p>
    <w:p w:rsidR="00EA68F7" w:rsidRDefault="00EA68F7" w:rsidP="00B8080D">
      <w:pPr>
        <w:pStyle w:val="CM9"/>
        <w:spacing w:after="0"/>
        <w:ind w:left="360" w:right="-10" w:firstLine="630"/>
        <w:rPr>
          <w:sz w:val="22"/>
          <w:szCs w:val="22"/>
        </w:rPr>
      </w:pPr>
      <w:proofErr w:type="gramStart"/>
      <w:r w:rsidRPr="00B64896">
        <w:rPr>
          <w:sz w:val="22"/>
          <w:szCs w:val="22"/>
          <w:u w:val="single"/>
        </w:rPr>
        <w:t>Air Inclusions</w:t>
      </w:r>
      <w:r w:rsidR="00B64896" w:rsidRPr="00B64896">
        <w:rPr>
          <w:sz w:val="22"/>
          <w:szCs w:val="22"/>
          <w:u w:val="single"/>
        </w:rPr>
        <w:t>:</w:t>
      </w:r>
      <w:r w:rsidR="00491DE6">
        <w:rPr>
          <w:sz w:val="22"/>
          <w:szCs w:val="22"/>
        </w:rPr>
        <w:t xml:space="preserve">  </w:t>
      </w:r>
      <w:r w:rsidRPr="00B64896">
        <w:rPr>
          <w:sz w:val="22"/>
          <w:szCs w:val="22"/>
        </w:rPr>
        <w:t>&lt; 5% by visual count.</w:t>
      </w:r>
      <w:proofErr w:type="gramEnd"/>
      <w:r w:rsidRPr="00B64896">
        <w:rPr>
          <w:sz w:val="22"/>
          <w:szCs w:val="22"/>
        </w:rPr>
        <w:t xml:space="preserve"> </w:t>
      </w:r>
    </w:p>
    <w:p w:rsidR="00B8080D" w:rsidRPr="00B8080D" w:rsidRDefault="00B8080D" w:rsidP="00B8080D">
      <w:pPr>
        <w:pStyle w:val="Default"/>
        <w:ind w:right="-10"/>
      </w:pPr>
    </w:p>
    <w:p w:rsidR="00EA68F7" w:rsidRDefault="00EA68F7" w:rsidP="00B8080D">
      <w:pPr>
        <w:pStyle w:val="CM9"/>
        <w:tabs>
          <w:tab w:val="left" w:pos="1350"/>
        </w:tabs>
        <w:spacing w:after="0"/>
        <w:ind w:left="1350" w:right="-10" w:hanging="360"/>
        <w:rPr>
          <w:sz w:val="22"/>
          <w:szCs w:val="22"/>
        </w:rPr>
      </w:pPr>
      <w:r w:rsidRPr="00B64896">
        <w:rPr>
          <w:sz w:val="22"/>
          <w:szCs w:val="22"/>
          <w:u w:val="single"/>
        </w:rPr>
        <w:t>Hardness</w:t>
      </w:r>
      <w:r w:rsidR="00B64896" w:rsidRPr="00B64896">
        <w:rPr>
          <w:sz w:val="22"/>
          <w:szCs w:val="22"/>
        </w:rPr>
        <w:t>:</w:t>
      </w:r>
      <w:r w:rsidRPr="00B64896">
        <w:rPr>
          <w:sz w:val="22"/>
          <w:szCs w:val="22"/>
        </w:rPr>
        <w:t xml:space="preserve">  All beads above the 20 sieve shall exhibit an average hardness of C70.5 when measured using the Rockwell C scale method and with a minimum sampling of 100 glass beads. </w:t>
      </w:r>
    </w:p>
    <w:p w:rsidR="00B8080D" w:rsidRPr="00B8080D" w:rsidRDefault="00B8080D" w:rsidP="00B8080D">
      <w:pPr>
        <w:pStyle w:val="Default"/>
        <w:ind w:right="-10"/>
      </w:pPr>
    </w:p>
    <w:p w:rsidR="00EA68F7" w:rsidRDefault="00EA68F7" w:rsidP="00B8080D">
      <w:pPr>
        <w:pStyle w:val="CM9"/>
        <w:spacing w:after="0"/>
        <w:ind w:left="1354" w:right="-10" w:hanging="364"/>
        <w:rPr>
          <w:sz w:val="22"/>
          <w:szCs w:val="22"/>
        </w:rPr>
      </w:pPr>
      <w:r w:rsidRPr="00B64896">
        <w:rPr>
          <w:sz w:val="22"/>
          <w:szCs w:val="22"/>
          <w:u w:val="single"/>
        </w:rPr>
        <w:t>Crushing Strength</w:t>
      </w:r>
      <w:r w:rsidR="00B64896" w:rsidRPr="00B64896">
        <w:rPr>
          <w:sz w:val="22"/>
          <w:szCs w:val="22"/>
        </w:rPr>
        <w:t>:</w:t>
      </w:r>
      <w:r w:rsidRPr="00B64896">
        <w:rPr>
          <w:sz w:val="22"/>
          <w:szCs w:val="22"/>
        </w:rPr>
        <w:t xml:space="preserve"> Beads above the 20 sieve shall exhibit an average crushing strength of not less than 60,000 psi when measured with the L/D</w:t>
      </w:r>
      <w:r w:rsidRPr="00B64896">
        <w:rPr>
          <w:position w:val="10"/>
          <w:sz w:val="22"/>
          <w:szCs w:val="22"/>
          <w:vertAlign w:val="superscript"/>
        </w:rPr>
        <w:t>2</w:t>
      </w:r>
      <w:r w:rsidRPr="00B64896">
        <w:rPr>
          <w:sz w:val="22"/>
          <w:szCs w:val="22"/>
        </w:rPr>
        <w:t xml:space="preserve"> method and with a minimum sampling of 100 glass beads. </w:t>
      </w:r>
    </w:p>
    <w:p w:rsidR="00491DE6" w:rsidRPr="00491DE6" w:rsidRDefault="00491DE6" w:rsidP="00B8080D">
      <w:pPr>
        <w:pStyle w:val="Default"/>
        <w:ind w:right="-10"/>
      </w:pPr>
    </w:p>
    <w:p w:rsidR="00B8080D" w:rsidRDefault="00EA68F7" w:rsidP="00B8080D">
      <w:pPr>
        <w:pStyle w:val="CM9"/>
        <w:spacing w:after="0"/>
        <w:ind w:left="1350" w:right="-10" w:hanging="360"/>
        <w:rPr>
          <w:sz w:val="22"/>
          <w:szCs w:val="22"/>
        </w:rPr>
      </w:pPr>
      <w:r w:rsidRPr="00B64896">
        <w:rPr>
          <w:sz w:val="22"/>
          <w:szCs w:val="22"/>
          <w:u w:val="single"/>
        </w:rPr>
        <w:t>Coatings</w:t>
      </w:r>
      <w:r w:rsidR="00B64896" w:rsidRPr="00B64896">
        <w:rPr>
          <w:sz w:val="22"/>
          <w:szCs w:val="22"/>
        </w:rPr>
        <w:t>:</w:t>
      </w:r>
      <w:r w:rsidRPr="00B64896">
        <w:rPr>
          <w:sz w:val="22"/>
          <w:szCs w:val="22"/>
        </w:rPr>
        <w:t xml:space="preserve">  Shall use manufacturer’s recommended adhesion coating for optimum adhesion and embedment.</w:t>
      </w:r>
    </w:p>
    <w:p w:rsidR="00EA68F7" w:rsidRPr="00B64896" w:rsidRDefault="00EA68F7" w:rsidP="00B8080D">
      <w:pPr>
        <w:pStyle w:val="CM9"/>
        <w:spacing w:after="0"/>
        <w:ind w:left="360" w:right="-10" w:firstLine="270"/>
        <w:rPr>
          <w:sz w:val="22"/>
          <w:szCs w:val="22"/>
        </w:rPr>
      </w:pPr>
      <w:r w:rsidRPr="00B64896">
        <w:rPr>
          <w:sz w:val="22"/>
          <w:szCs w:val="22"/>
        </w:rPr>
        <w:t xml:space="preserve"> </w:t>
      </w:r>
    </w:p>
    <w:p w:rsidR="00EA68F7" w:rsidRPr="00B64896" w:rsidRDefault="00EA68F7" w:rsidP="00B8080D">
      <w:pPr>
        <w:pStyle w:val="CM4"/>
        <w:spacing w:line="240" w:lineRule="auto"/>
        <w:ind w:left="1350" w:right="-10" w:hanging="360"/>
        <w:rPr>
          <w:sz w:val="22"/>
          <w:szCs w:val="22"/>
        </w:rPr>
      </w:pPr>
      <w:r w:rsidRPr="00B64896">
        <w:rPr>
          <w:sz w:val="22"/>
          <w:szCs w:val="22"/>
          <w:u w:val="single"/>
        </w:rPr>
        <w:t>Chemical Resistance</w:t>
      </w:r>
      <w:r w:rsidR="00B64896" w:rsidRPr="00B64896">
        <w:rPr>
          <w:sz w:val="22"/>
          <w:szCs w:val="22"/>
          <w:u w:val="single"/>
        </w:rPr>
        <w:t>:</w:t>
      </w:r>
      <w:r w:rsidRPr="00B64896">
        <w:rPr>
          <w:sz w:val="22"/>
          <w:szCs w:val="22"/>
        </w:rPr>
        <w:t xml:space="preserve"> Both the primary and secondary beads shall be resistant to hydrochloric acid, water, calcium chloride, sodium sulfide, acid, </w:t>
      </w:r>
      <w:r w:rsidR="00491DE6">
        <w:rPr>
          <w:sz w:val="22"/>
          <w:szCs w:val="22"/>
        </w:rPr>
        <w:t xml:space="preserve">and </w:t>
      </w:r>
      <w:r w:rsidRPr="00B64896">
        <w:rPr>
          <w:sz w:val="22"/>
          <w:szCs w:val="22"/>
        </w:rPr>
        <w:t>mag</w:t>
      </w:r>
      <w:r w:rsidR="00491DE6">
        <w:rPr>
          <w:sz w:val="22"/>
          <w:szCs w:val="22"/>
        </w:rPr>
        <w:t>nesium</w:t>
      </w:r>
      <w:r w:rsidRPr="00B64896">
        <w:rPr>
          <w:sz w:val="22"/>
          <w:szCs w:val="22"/>
        </w:rPr>
        <w:t xml:space="preserve"> chloride</w:t>
      </w:r>
      <w:r w:rsidR="00491DE6">
        <w:rPr>
          <w:sz w:val="22"/>
          <w:szCs w:val="22"/>
        </w:rPr>
        <w:t>,</w:t>
      </w:r>
      <w:r w:rsidRPr="00B64896">
        <w:rPr>
          <w:sz w:val="22"/>
          <w:szCs w:val="22"/>
        </w:rPr>
        <w:t xml:space="preserve"> and shall not develop any haze, dulling or darkening of the bead as tested per methods outlined in sections 4.3</w:t>
      </w:r>
      <w:r w:rsidR="004C7B20">
        <w:rPr>
          <w:sz w:val="22"/>
          <w:szCs w:val="22"/>
        </w:rPr>
        <w:t xml:space="preserve">.6 to 4.3.9 of the TT-B Federal </w:t>
      </w:r>
      <w:r w:rsidRPr="00B64896">
        <w:rPr>
          <w:sz w:val="22"/>
          <w:szCs w:val="22"/>
        </w:rPr>
        <w:t>Spec.</w:t>
      </w:r>
      <w:r w:rsidR="004C7B20">
        <w:rPr>
          <w:sz w:val="22"/>
          <w:szCs w:val="22"/>
        </w:rPr>
        <w:t xml:space="preserve"> 1325C</w:t>
      </w:r>
      <w:r w:rsidRPr="00B64896">
        <w:rPr>
          <w:sz w:val="22"/>
          <w:szCs w:val="22"/>
        </w:rPr>
        <w:t xml:space="preserve">. </w:t>
      </w:r>
    </w:p>
    <w:p w:rsidR="00EA68F7" w:rsidRPr="00B64896" w:rsidRDefault="00EA68F7" w:rsidP="00B8080D">
      <w:pPr>
        <w:ind w:right="-10"/>
        <w:jc w:val="center"/>
        <w:rPr>
          <w:b/>
          <w:sz w:val="22"/>
          <w:szCs w:val="22"/>
        </w:rPr>
      </w:pPr>
    </w:p>
    <w:p w:rsidR="00EA68F7" w:rsidRDefault="00990CC6" w:rsidP="00B8080D">
      <w:pPr>
        <w:pStyle w:val="CM9"/>
        <w:spacing w:after="0"/>
        <w:ind w:left="990" w:right="-10" w:hanging="270"/>
        <w:rPr>
          <w:sz w:val="22"/>
          <w:szCs w:val="22"/>
        </w:rPr>
      </w:pPr>
      <w:r>
        <w:rPr>
          <w:sz w:val="22"/>
          <w:szCs w:val="22"/>
        </w:rPr>
        <w:t>3</w:t>
      </w:r>
      <w:r w:rsidR="00EA68F7" w:rsidRPr="00B64896">
        <w:rPr>
          <w:sz w:val="22"/>
          <w:szCs w:val="22"/>
        </w:rPr>
        <w:t xml:space="preserve">) Primary and </w:t>
      </w:r>
      <w:r w:rsidR="00491DE6">
        <w:rPr>
          <w:sz w:val="22"/>
          <w:szCs w:val="22"/>
        </w:rPr>
        <w:t>s</w:t>
      </w:r>
      <w:r w:rsidR="00EA68F7" w:rsidRPr="00B64896">
        <w:rPr>
          <w:sz w:val="22"/>
          <w:szCs w:val="22"/>
        </w:rPr>
        <w:t>econdary glass beads shall be furnished in fully identified</w:t>
      </w:r>
      <w:r w:rsidR="00E25100">
        <w:rPr>
          <w:sz w:val="22"/>
          <w:szCs w:val="22"/>
        </w:rPr>
        <w:t xml:space="preserve">, </w:t>
      </w:r>
      <w:r w:rsidR="00EA68F7" w:rsidRPr="00B64896">
        <w:rPr>
          <w:sz w:val="22"/>
          <w:szCs w:val="22"/>
        </w:rPr>
        <w:t xml:space="preserve">separate containers and shall be free of extraneous materials or clumps. If the use of recycled post consumer glass is used in manufacturing of beads those recycled glass beads shall be manufactured from North American glass waste streams. The bead manufacturer shall submit a notarized certification to the department stating that North American glass waste streams were used in the manufacture of this specification. </w:t>
      </w:r>
    </w:p>
    <w:p w:rsidR="00B8080D" w:rsidRPr="00B8080D" w:rsidRDefault="00B8080D" w:rsidP="00B8080D">
      <w:pPr>
        <w:pStyle w:val="Default"/>
        <w:ind w:right="-10"/>
      </w:pPr>
    </w:p>
    <w:p w:rsidR="009520AD" w:rsidRDefault="00EA68F7" w:rsidP="00B8080D">
      <w:pPr>
        <w:ind w:right="-10"/>
        <w:rPr>
          <w:sz w:val="22"/>
          <w:szCs w:val="22"/>
        </w:rPr>
      </w:pPr>
      <w:r w:rsidRPr="00B64896">
        <w:rPr>
          <w:sz w:val="22"/>
          <w:szCs w:val="22"/>
        </w:rPr>
        <w:t>Products will be accepted on the project by certificates of compliance (COC).  The COC shall be in conform</w:t>
      </w:r>
      <w:r w:rsidR="00B64896">
        <w:rPr>
          <w:sz w:val="22"/>
          <w:szCs w:val="22"/>
        </w:rPr>
        <w:t>ance with subsection 106.02</w:t>
      </w:r>
      <w:r w:rsidRPr="00B64896">
        <w:rPr>
          <w:sz w:val="22"/>
          <w:szCs w:val="22"/>
        </w:rPr>
        <w:t xml:space="preserve">, and shall include that the materials conform to the following:  </w:t>
      </w:r>
    </w:p>
    <w:p w:rsidR="009520AD" w:rsidRDefault="009520AD" w:rsidP="00B8080D">
      <w:pPr>
        <w:ind w:right="-10"/>
        <w:rPr>
          <w:sz w:val="22"/>
          <w:szCs w:val="22"/>
        </w:rPr>
      </w:pPr>
    </w:p>
    <w:p w:rsidR="009520AD" w:rsidRPr="00B64896" w:rsidRDefault="009520AD" w:rsidP="00B8080D">
      <w:pPr>
        <w:ind w:right="-10"/>
        <w:jc w:val="center"/>
        <w:rPr>
          <w:b/>
          <w:sz w:val="22"/>
          <w:szCs w:val="22"/>
        </w:rPr>
      </w:pPr>
      <w:r w:rsidRPr="00B64896">
        <w:rPr>
          <w:b/>
          <w:sz w:val="22"/>
          <w:szCs w:val="22"/>
        </w:rPr>
        <w:lastRenderedPageBreak/>
        <w:t>- 3 –</w:t>
      </w:r>
    </w:p>
    <w:p w:rsidR="009520AD" w:rsidRPr="00B64896" w:rsidRDefault="009520AD" w:rsidP="00B8080D">
      <w:pPr>
        <w:ind w:right="-10"/>
        <w:jc w:val="center"/>
        <w:rPr>
          <w:b/>
          <w:sz w:val="22"/>
          <w:szCs w:val="22"/>
        </w:rPr>
      </w:pPr>
      <w:r w:rsidRPr="00B64896">
        <w:rPr>
          <w:b/>
          <w:sz w:val="22"/>
          <w:szCs w:val="22"/>
        </w:rPr>
        <w:t>REVISION OF SECTION 627</w:t>
      </w:r>
    </w:p>
    <w:p w:rsidR="00EA68F7" w:rsidRDefault="009520AD" w:rsidP="00B8080D">
      <w:pPr>
        <w:pStyle w:val="CM9"/>
        <w:spacing w:after="0"/>
        <w:ind w:left="360" w:right="-10" w:hanging="360"/>
        <w:jc w:val="center"/>
        <w:rPr>
          <w:b/>
          <w:sz w:val="22"/>
          <w:szCs w:val="22"/>
        </w:rPr>
      </w:pPr>
      <w:r w:rsidRPr="009520AD">
        <w:rPr>
          <w:b/>
          <w:sz w:val="22"/>
          <w:szCs w:val="22"/>
        </w:rPr>
        <w:t>EPOXY PAVEMENT MARKING (SPECIAL)</w:t>
      </w:r>
    </w:p>
    <w:p w:rsidR="004C1A81" w:rsidRPr="00B00DF3" w:rsidRDefault="004C1A81" w:rsidP="00B00DF3">
      <w:pPr>
        <w:pStyle w:val="Default"/>
      </w:pPr>
    </w:p>
    <w:p w:rsidR="00EA68F7" w:rsidRPr="009520AD" w:rsidRDefault="00491DE6" w:rsidP="00B8080D">
      <w:pPr>
        <w:numPr>
          <w:ilvl w:val="0"/>
          <w:numId w:val="2"/>
        </w:numPr>
        <w:tabs>
          <w:tab w:val="left" w:pos="630"/>
        </w:tabs>
        <w:ind w:right="-10"/>
        <w:rPr>
          <w:sz w:val="22"/>
          <w:szCs w:val="22"/>
        </w:rPr>
      </w:pPr>
      <w:proofErr w:type="spellStart"/>
      <w:r w:rsidRPr="009520AD">
        <w:rPr>
          <w:sz w:val="22"/>
          <w:szCs w:val="22"/>
        </w:rPr>
        <w:t>Retro</w:t>
      </w:r>
      <w:r w:rsidR="00EA68F7" w:rsidRPr="009520AD">
        <w:rPr>
          <w:sz w:val="22"/>
          <w:szCs w:val="22"/>
        </w:rPr>
        <w:t>reflectivity</w:t>
      </w:r>
      <w:proofErr w:type="spellEnd"/>
      <w:r w:rsidR="00EA68F7" w:rsidRPr="009520AD">
        <w:rPr>
          <w:sz w:val="22"/>
          <w:szCs w:val="22"/>
        </w:rPr>
        <w:t xml:space="preserve">.  The applied finish system </w:t>
      </w:r>
      <w:r w:rsidR="00B8080D">
        <w:rPr>
          <w:sz w:val="22"/>
          <w:szCs w:val="22"/>
        </w:rPr>
        <w:t>shall</w:t>
      </w:r>
      <w:r w:rsidR="00B8080D" w:rsidRPr="009520AD">
        <w:rPr>
          <w:sz w:val="22"/>
          <w:szCs w:val="22"/>
        </w:rPr>
        <w:t xml:space="preserve"> </w:t>
      </w:r>
      <w:r w:rsidR="00EA68F7" w:rsidRPr="009520AD">
        <w:rPr>
          <w:sz w:val="22"/>
          <w:szCs w:val="22"/>
        </w:rPr>
        <w:t xml:space="preserve">have an initial minimum dry </w:t>
      </w:r>
      <w:proofErr w:type="spellStart"/>
      <w:r w:rsidR="00B8080D">
        <w:rPr>
          <w:sz w:val="22"/>
          <w:szCs w:val="22"/>
        </w:rPr>
        <w:t>retro</w:t>
      </w:r>
      <w:r w:rsidR="00EA68F7" w:rsidRPr="009520AD">
        <w:rPr>
          <w:sz w:val="22"/>
          <w:szCs w:val="22"/>
        </w:rPr>
        <w:t>reflectivity</w:t>
      </w:r>
      <w:proofErr w:type="spellEnd"/>
      <w:r w:rsidR="00EA68F7" w:rsidRPr="009520AD">
        <w:rPr>
          <w:sz w:val="22"/>
          <w:szCs w:val="22"/>
        </w:rPr>
        <w:t xml:space="preserve"> reading of </w:t>
      </w:r>
      <w:r w:rsidR="00665216" w:rsidRPr="009520AD">
        <w:rPr>
          <w:sz w:val="22"/>
          <w:szCs w:val="22"/>
        </w:rPr>
        <w:t>7</w:t>
      </w:r>
      <w:r w:rsidR="00EA68F7" w:rsidRPr="009520AD">
        <w:rPr>
          <w:sz w:val="22"/>
          <w:szCs w:val="22"/>
        </w:rPr>
        <w:t xml:space="preserve">00 mcd·m-2·1x-1 for white and 500 mcd·m-2·1x-1for yellow. The Contractor shall use an industry accepted and available Retro-meter for </w:t>
      </w:r>
      <w:proofErr w:type="spellStart"/>
      <w:r w:rsidR="00B8080D">
        <w:rPr>
          <w:sz w:val="22"/>
          <w:szCs w:val="22"/>
        </w:rPr>
        <w:t>retro</w:t>
      </w:r>
      <w:r w:rsidR="00EA68F7" w:rsidRPr="009520AD">
        <w:rPr>
          <w:sz w:val="22"/>
          <w:szCs w:val="22"/>
        </w:rPr>
        <w:t>reflectivity</w:t>
      </w:r>
      <w:proofErr w:type="spellEnd"/>
      <w:r w:rsidR="00EA68F7" w:rsidRPr="009520AD">
        <w:rPr>
          <w:sz w:val="22"/>
          <w:szCs w:val="22"/>
        </w:rPr>
        <w:t xml:space="preserve"> readings and it shall be calibrated each day testing occurs.  For information: (CDOT </w:t>
      </w:r>
      <w:r w:rsidRPr="009520AD">
        <w:rPr>
          <w:sz w:val="22"/>
          <w:szCs w:val="22"/>
        </w:rPr>
        <w:t>wi</w:t>
      </w:r>
      <w:r w:rsidR="00EA68F7" w:rsidRPr="009520AD">
        <w:rPr>
          <w:sz w:val="22"/>
          <w:szCs w:val="22"/>
        </w:rPr>
        <w:t xml:space="preserve">ll be using a Delta </w:t>
      </w:r>
      <w:proofErr w:type="spellStart"/>
      <w:r w:rsidR="00EA68F7" w:rsidRPr="009520AD">
        <w:rPr>
          <w:sz w:val="22"/>
          <w:szCs w:val="22"/>
        </w:rPr>
        <w:t>LTL</w:t>
      </w:r>
      <w:proofErr w:type="spellEnd"/>
      <w:r w:rsidR="00EA68F7" w:rsidRPr="009520AD">
        <w:rPr>
          <w:sz w:val="22"/>
          <w:szCs w:val="22"/>
        </w:rPr>
        <w:t xml:space="preserve">-X Retro-meter for </w:t>
      </w:r>
      <w:proofErr w:type="spellStart"/>
      <w:r w:rsidR="00B8080D">
        <w:rPr>
          <w:sz w:val="22"/>
          <w:szCs w:val="22"/>
        </w:rPr>
        <w:t>retro</w:t>
      </w:r>
      <w:r w:rsidR="00EA68F7" w:rsidRPr="009520AD">
        <w:rPr>
          <w:sz w:val="22"/>
          <w:szCs w:val="22"/>
        </w:rPr>
        <w:t>reflectivity</w:t>
      </w:r>
      <w:proofErr w:type="spellEnd"/>
      <w:r w:rsidR="00EA68F7" w:rsidRPr="009520AD">
        <w:rPr>
          <w:sz w:val="22"/>
          <w:szCs w:val="22"/>
        </w:rPr>
        <w:t xml:space="preserve"> readings).  CDOT will obtain </w:t>
      </w:r>
      <w:proofErr w:type="spellStart"/>
      <w:r w:rsidR="00EA68F7" w:rsidRPr="009520AD">
        <w:rPr>
          <w:sz w:val="22"/>
          <w:szCs w:val="22"/>
        </w:rPr>
        <w:t>r</w:t>
      </w:r>
      <w:r w:rsidRPr="009520AD">
        <w:rPr>
          <w:sz w:val="22"/>
          <w:szCs w:val="22"/>
        </w:rPr>
        <w:t>etror</w:t>
      </w:r>
      <w:r w:rsidR="00EA68F7" w:rsidRPr="009520AD">
        <w:rPr>
          <w:sz w:val="22"/>
          <w:szCs w:val="22"/>
        </w:rPr>
        <w:t>eflectivity</w:t>
      </w:r>
      <w:proofErr w:type="spellEnd"/>
      <w:r w:rsidR="00EA68F7" w:rsidRPr="009520AD">
        <w:rPr>
          <w:sz w:val="22"/>
          <w:szCs w:val="22"/>
        </w:rPr>
        <w:t xml:space="preserve"> readings from the Contractor for each 1 mile of line placed or fraction thereof.  CDOT will determine a random testing location for each 1 mile section of line placed or fraction thereof.  Each test location shall represent that 1 mile of line placed or fraction thereof.  At each random testing location two reflectivity readings will be taken on 11 different skip lines or 22 readings will be taken with a 440 foot section of the continuous line.  Of those 22 readings the highest and lowest will be disregarded and the remaining 20 readings will be averaged and that average value will represent the reflectivity of that 1 mile section or fraction thereof.  The contractor shall remove and replace at their expense each 1 mile of line placed or fraction thereof where the test result from that random location fails the minimum retro reflectivity reading. </w:t>
      </w:r>
    </w:p>
    <w:p w:rsidR="009520AD" w:rsidRPr="009520AD" w:rsidRDefault="009520AD" w:rsidP="00B8080D">
      <w:pPr>
        <w:tabs>
          <w:tab w:val="left" w:pos="630"/>
        </w:tabs>
        <w:ind w:left="360" w:right="-10"/>
        <w:rPr>
          <w:b/>
          <w:sz w:val="22"/>
          <w:szCs w:val="22"/>
        </w:rPr>
      </w:pPr>
    </w:p>
    <w:p w:rsidR="00EA68F7" w:rsidRDefault="00EA68F7" w:rsidP="00B8080D">
      <w:pPr>
        <w:pStyle w:val="CM9"/>
        <w:spacing w:after="0"/>
        <w:ind w:left="720" w:right="-10"/>
        <w:rPr>
          <w:sz w:val="22"/>
          <w:szCs w:val="22"/>
        </w:rPr>
      </w:pPr>
      <w:r w:rsidRPr="00B64896">
        <w:rPr>
          <w:sz w:val="22"/>
          <w:szCs w:val="22"/>
        </w:rPr>
        <w:t xml:space="preserve">The </w:t>
      </w:r>
      <w:proofErr w:type="spellStart"/>
      <w:r w:rsidRPr="00B64896">
        <w:rPr>
          <w:sz w:val="22"/>
          <w:szCs w:val="22"/>
        </w:rPr>
        <w:t>re</w:t>
      </w:r>
      <w:r w:rsidR="00491DE6">
        <w:rPr>
          <w:sz w:val="22"/>
          <w:szCs w:val="22"/>
        </w:rPr>
        <w:t>trore</w:t>
      </w:r>
      <w:r w:rsidRPr="00B64896">
        <w:rPr>
          <w:sz w:val="22"/>
          <w:szCs w:val="22"/>
        </w:rPr>
        <w:t>flectivity</w:t>
      </w:r>
      <w:proofErr w:type="spellEnd"/>
      <w:r w:rsidRPr="00B64896">
        <w:rPr>
          <w:sz w:val="22"/>
          <w:szCs w:val="22"/>
        </w:rPr>
        <w:t xml:space="preserve"> readings shall be taken </w:t>
      </w:r>
      <w:r w:rsidR="00665216">
        <w:rPr>
          <w:sz w:val="22"/>
          <w:szCs w:val="22"/>
        </w:rPr>
        <w:t xml:space="preserve">between two and three days after the marking is </w:t>
      </w:r>
      <w:r w:rsidRPr="00B64896">
        <w:rPr>
          <w:sz w:val="22"/>
          <w:szCs w:val="22"/>
        </w:rPr>
        <w:t>tack free</w:t>
      </w:r>
      <w:r w:rsidR="00665216">
        <w:rPr>
          <w:sz w:val="22"/>
          <w:szCs w:val="22"/>
        </w:rPr>
        <w:t xml:space="preserve">.  </w:t>
      </w:r>
      <w:r w:rsidRPr="00B64896">
        <w:rPr>
          <w:sz w:val="22"/>
          <w:szCs w:val="22"/>
        </w:rPr>
        <w:t xml:space="preserve"> Prior to taking reflectivity readings, the Contractor shall remove at the </w:t>
      </w:r>
      <w:proofErr w:type="spellStart"/>
      <w:r w:rsidRPr="00B64896">
        <w:rPr>
          <w:sz w:val="22"/>
          <w:szCs w:val="22"/>
        </w:rPr>
        <w:t>r</w:t>
      </w:r>
      <w:r w:rsidR="00516654">
        <w:rPr>
          <w:sz w:val="22"/>
          <w:szCs w:val="22"/>
        </w:rPr>
        <w:t>etror</w:t>
      </w:r>
      <w:r w:rsidRPr="00B64896">
        <w:rPr>
          <w:sz w:val="22"/>
          <w:szCs w:val="22"/>
        </w:rPr>
        <w:t>eflectivity</w:t>
      </w:r>
      <w:proofErr w:type="spellEnd"/>
      <w:r w:rsidRPr="00B64896">
        <w:rPr>
          <w:sz w:val="22"/>
          <w:szCs w:val="22"/>
        </w:rPr>
        <w:t xml:space="preserve"> reading locations any excess beads placed during marking application. </w:t>
      </w:r>
    </w:p>
    <w:p w:rsidR="00B8080D" w:rsidRPr="00B8080D" w:rsidRDefault="00B8080D" w:rsidP="00B8080D">
      <w:pPr>
        <w:pStyle w:val="Default"/>
      </w:pPr>
    </w:p>
    <w:p w:rsidR="00EA68F7" w:rsidRDefault="00EA68F7" w:rsidP="00B8080D">
      <w:pPr>
        <w:pStyle w:val="CM9"/>
        <w:spacing w:after="0"/>
        <w:ind w:right="-10"/>
        <w:rPr>
          <w:sz w:val="22"/>
          <w:szCs w:val="22"/>
        </w:rPr>
      </w:pPr>
      <w:r w:rsidRPr="00B64896">
        <w:rPr>
          <w:sz w:val="22"/>
          <w:szCs w:val="22"/>
        </w:rPr>
        <w:t xml:space="preserve">Applied markings shall have uniform mil thickness and bead distribution across the entire width of the line. Unless otherwise shown on the plans, typical pavement markings shall conform to the shapes and sizes as shown on Standard Plan S-627-1. </w:t>
      </w:r>
    </w:p>
    <w:p w:rsidR="00B8080D" w:rsidRPr="00B8080D" w:rsidRDefault="00B8080D" w:rsidP="00B8080D">
      <w:pPr>
        <w:pStyle w:val="Default"/>
      </w:pPr>
    </w:p>
    <w:p w:rsidR="00EA68F7" w:rsidRPr="00B64896" w:rsidRDefault="00EA68F7" w:rsidP="00B8080D">
      <w:pPr>
        <w:pStyle w:val="CM2"/>
        <w:spacing w:line="240" w:lineRule="auto"/>
        <w:ind w:right="-10"/>
        <w:rPr>
          <w:sz w:val="22"/>
          <w:szCs w:val="22"/>
        </w:rPr>
      </w:pPr>
      <w:r w:rsidRPr="00B64896">
        <w:rPr>
          <w:sz w:val="22"/>
          <w:szCs w:val="22"/>
        </w:rPr>
        <w:t xml:space="preserve">The Contractor </w:t>
      </w:r>
      <w:r w:rsidR="00B8080D">
        <w:rPr>
          <w:sz w:val="22"/>
          <w:szCs w:val="22"/>
        </w:rPr>
        <w:t>wi</w:t>
      </w:r>
      <w:r w:rsidR="00B8080D" w:rsidRPr="00B64896">
        <w:rPr>
          <w:sz w:val="22"/>
          <w:szCs w:val="22"/>
        </w:rPr>
        <w:t xml:space="preserve">ll </w:t>
      </w:r>
      <w:r w:rsidRPr="00B64896">
        <w:rPr>
          <w:sz w:val="22"/>
          <w:szCs w:val="22"/>
        </w:rPr>
        <w:t xml:space="preserve">be required to submit to CDOT </w:t>
      </w:r>
      <w:r w:rsidR="00B8080D">
        <w:rPr>
          <w:sz w:val="22"/>
          <w:szCs w:val="22"/>
        </w:rPr>
        <w:t>certification</w:t>
      </w:r>
      <w:r w:rsidRPr="00B64896">
        <w:rPr>
          <w:sz w:val="22"/>
          <w:szCs w:val="22"/>
        </w:rPr>
        <w:t xml:space="preserve"> from the manufacture</w:t>
      </w:r>
      <w:r w:rsidR="00395C3E" w:rsidRPr="00B64896">
        <w:rPr>
          <w:sz w:val="22"/>
          <w:szCs w:val="22"/>
        </w:rPr>
        <w:t>r</w:t>
      </w:r>
      <w:r w:rsidRPr="00B64896">
        <w:rPr>
          <w:sz w:val="22"/>
          <w:szCs w:val="22"/>
        </w:rPr>
        <w:t xml:space="preserve"> that the installed </w:t>
      </w:r>
      <w:r w:rsidR="00665216">
        <w:rPr>
          <w:sz w:val="22"/>
          <w:szCs w:val="22"/>
        </w:rPr>
        <w:t>e</w:t>
      </w:r>
      <w:r w:rsidRPr="00B64896">
        <w:rPr>
          <w:sz w:val="22"/>
          <w:szCs w:val="22"/>
        </w:rPr>
        <w:t xml:space="preserve">poxy binder and both the primary and secondary beads have been installed in accordance with this specification and with their recommendations and has achieved the minimal </w:t>
      </w:r>
      <w:proofErr w:type="spellStart"/>
      <w:r w:rsidRPr="00B64896">
        <w:rPr>
          <w:sz w:val="22"/>
          <w:szCs w:val="22"/>
        </w:rPr>
        <w:t>r</w:t>
      </w:r>
      <w:r w:rsidR="00665216">
        <w:rPr>
          <w:sz w:val="22"/>
          <w:szCs w:val="22"/>
        </w:rPr>
        <w:t>etror</w:t>
      </w:r>
      <w:r w:rsidRPr="00B64896">
        <w:rPr>
          <w:sz w:val="22"/>
          <w:szCs w:val="22"/>
        </w:rPr>
        <w:t>eflectance</w:t>
      </w:r>
      <w:proofErr w:type="spellEnd"/>
      <w:r w:rsidRPr="00B64896">
        <w:rPr>
          <w:sz w:val="22"/>
          <w:szCs w:val="22"/>
        </w:rPr>
        <w:t xml:space="preserve"> values stated herein. If the pavement marking system is comprised of multiple manufacture</w:t>
      </w:r>
      <w:r w:rsidR="00665216">
        <w:rPr>
          <w:sz w:val="22"/>
          <w:szCs w:val="22"/>
        </w:rPr>
        <w:t>r</w:t>
      </w:r>
      <w:r w:rsidRPr="00B64896">
        <w:rPr>
          <w:sz w:val="22"/>
          <w:szCs w:val="22"/>
        </w:rPr>
        <w:t>s, then all manufacture</w:t>
      </w:r>
      <w:r w:rsidR="00665216">
        <w:rPr>
          <w:sz w:val="22"/>
          <w:szCs w:val="22"/>
        </w:rPr>
        <w:t>r</w:t>
      </w:r>
      <w:r w:rsidRPr="00B64896">
        <w:rPr>
          <w:sz w:val="22"/>
          <w:szCs w:val="22"/>
        </w:rPr>
        <w:t xml:space="preserve">s will be required to affirm to the </w:t>
      </w:r>
      <w:r w:rsidR="00B8080D">
        <w:rPr>
          <w:sz w:val="22"/>
          <w:szCs w:val="22"/>
        </w:rPr>
        <w:t>certification</w:t>
      </w:r>
      <w:r w:rsidRPr="00B64896">
        <w:rPr>
          <w:sz w:val="22"/>
          <w:szCs w:val="22"/>
        </w:rPr>
        <w:t xml:space="preserve">. </w:t>
      </w:r>
      <w:r w:rsidR="00C20B35">
        <w:rPr>
          <w:sz w:val="22"/>
          <w:szCs w:val="22"/>
        </w:rPr>
        <w:t>A manufacturer’s representative</w:t>
      </w:r>
      <w:r w:rsidRPr="00B64896">
        <w:rPr>
          <w:sz w:val="22"/>
          <w:szCs w:val="22"/>
        </w:rPr>
        <w:t xml:space="preserve"> shall be onsite at the installation of the epoxy binder, primary bead, and secondary bead materials to identify areas of the installation falling below the minimum manufacture</w:t>
      </w:r>
      <w:r w:rsidR="00665216">
        <w:rPr>
          <w:sz w:val="22"/>
          <w:szCs w:val="22"/>
        </w:rPr>
        <w:t>r</w:t>
      </w:r>
      <w:r w:rsidR="00C20B35">
        <w:rPr>
          <w:sz w:val="22"/>
          <w:szCs w:val="22"/>
        </w:rPr>
        <w:t>’</w:t>
      </w:r>
      <w:r w:rsidRPr="00B64896">
        <w:rPr>
          <w:sz w:val="22"/>
          <w:szCs w:val="22"/>
        </w:rPr>
        <w:t xml:space="preserve">s recommendations and these specifications to assist in the calibration of equipment, set up of equipment and the proper adjustment of equipment during installation to achieve the minimums outlined herein. The cost of the manufacturer(s) representation will not be measured and paid for separately but shall be included in the cost of the work. </w:t>
      </w:r>
    </w:p>
    <w:p w:rsidR="00EA68F7" w:rsidRPr="00B64896" w:rsidRDefault="00EA68F7" w:rsidP="00B8080D">
      <w:pPr>
        <w:ind w:right="-10"/>
        <w:rPr>
          <w:b/>
          <w:sz w:val="22"/>
          <w:szCs w:val="22"/>
        </w:rPr>
      </w:pPr>
    </w:p>
    <w:p w:rsidR="00EA68F7" w:rsidRPr="00B64896" w:rsidRDefault="00EA68F7" w:rsidP="00B8080D">
      <w:pPr>
        <w:pStyle w:val="CM9"/>
        <w:spacing w:after="0"/>
        <w:ind w:right="-10"/>
        <w:jc w:val="center"/>
        <w:rPr>
          <w:sz w:val="22"/>
          <w:szCs w:val="22"/>
        </w:rPr>
        <w:sectPr w:rsidR="00EA68F7" w:rsidRPr="00B64896" w:rsidSect="00B8080D">
          <w:type w:val="continuous"/>
          <w:pgSz w:w="12240" w:h="15840"/>
          <w:pgMar w:top="680" w:right="990" w:bottom="640" w:left="940" w:header="720" w:footer="720" w:gutter="0"/>
          <w:cols w:space="720"/>
          <w:noEndnote/>
        </w:sectPr>
      </w:pPr>
    </w:p>
    <w:p w:rsidR="00EA68F7" w:rsidRPr="00B00DF3" w:rsidRDefault="00516654" w:rsidP="00B8080D">
      <w:pPr>
        <w:pStyle w:val="Default"/>
        <w:ind w:right="-10"/>
        <w:rPr>
          <w:b/>
          <w:color w:val="auto"/>
          <w:sz w:val="22"/>
          <w:szCs w:val="22"/>
        </w:rPr>
      </w:pPr>
      <w:r w:rsidRPr="00B00DF3">
        <w:rPr>
          <w:b/>
          <w:color w:val="auto"/>
          <w:sz w:val="22"/>
          <w:szCs w:val="22"/>
        </w:rPr>
        <w:lastRenderedPageBreak/>
        <w:t>Subsection 627.13 shall include the following:</w:t>
      </w:r>
    </w:p>
    <w:p w:rsidR="00516654" w:rsidRPr="00B64896" w:rsidRDefault="00516654" w:rsidP="00B8080D">
      <w:pPr>
        <w:pStyle w:val="Default"/>
        <w:ind w:right="-10"/>
        <w:rPr>
          <w:color w:val="auto"/>
          <w:sz w:val="22"/>
          <w:szCs w:val="22"/>
        </w:rPr>
      </w:pPr>
    </w:p>
    <w:p w:rsidR="00EA68F7" w:rsidRPr="00B64896" w:rsidRDefault="00EA68F7" w:rsidP="00B8080D">
      <w:pPr>
        <w:pStyle w:val="CM8"/>
        <w:spacing w:line="240" w:lineRule="auto"/>
        <w:ind w:right="-10"/>
        <w:jc w:val="both"/>
        <w:rPr>
          <w:sz w:val="22"/>
          <w:szCs w:val="22"/>
        </w:rPr>
      </w:pPr>
      <w:r w:rsidRPr="00491DE6">
        <w:rPr>
          <w:bCs/>
          <w:sz w:val="22"/>
          <w:szCs w:val="22"/>
          <w:u w:val="single"/>
        </w:rPr>
        <w:t>Pay Item</w:t>
      </w:r>
      <w:r w:rsidR="004C1A81">
        <w:rPr>
          <w:b/>
          <w:bCs/>
          <w:sz w:val="22"/>
          <w:szCs w:val="22"/>
        </w:rPr>
        <w:tab/>
      </w:r>
      <w:r w:rsidR="004C1A81">
        <w:rPr>
          <w:b/>
          <w:bCs/>
          <w:sz w:val="22"/>
          <w:szCs w:val="22"/>
        </w:rPr>
        <w:tab/>
      </w:r>
      <w:r w:rsidR="004C1A81">
        <w:rPr>
          <w:b/>
          <w:bCs/>
          <w:sz w:val="22"/>
          <w:szCs w:val="22"/>
        </w:rPr>
        <w:tab/>
      </w:r>
      <w:r w:rsidR="004C1A81">
        <w:rPr>
          <w:b/>
          <w:bCs/>
          <w:sz w:val="22"/>
          <w:szCs w:val="22"/>
        </w:rPr>
        <w:tab/>
      </w:r>
      <w:r w:rsidR="004C1A81">
        <w:rPr>
          <w:b/>
          <w:bCs/>
          <w:sz w:val="22"/>
          <w:szCs w:val="22"/>
        </w:rPr>
        <w:tab/>
      </w:r>
      <w:r w:rsidR="004C1A81">
        <w:rPr>
          <w:b/>
          <w:bCs/>
          <w:sz w:val="22"/>
          <w:szCs w:val="22"/>
        </w:rPr>
        <w:tab/>
      </w:r>
      <w:r w:rsidR="004C1A81">
        <w:rPr>
          <w:b/>
          <w:bCs/>
          <w:sz w:val="22"/>
          <w:szCs w:val="22"/>
        </w:rPr>
        <w:tab/>
      </w:r>
      <w:r w:rsidR="004C1A81">
        <w:rPr>
          <w:b/>
          <w:bCs/>
          <w:sz w:val="22"/>
          <w:szCs w:val="22"/>
        </w:rPr>
        <w:tab/>
      </w:r>
      <w:r w:rsidR="004C1A81">
        <w:rPr>
          <w:b/>
          <w:bCs/>
          <w:sz w:val="22"/>
          <w:szCs w:val="22"/>
        </w:rPr>
        <w:tab/>
      </w:r>
      <w:r w:rsidR="004C1A81">
        <w:rPr>
          <w:b/>
          <w:bCs/>
          <w:sz w:val="22"/>
          <w:szCs w:val="22"/>
        </w:rPr>
        <w:tab/>
      </w:r>
      <w:r w:rsidRPr="00491DE6">
        <w:rPr>
          <w:bCs/>
          <w:sz w:val="22"/>
          <w:szCs w:val="22"/>
          <w:u w:val="single"/>
        </w:rPr>
        <w:t>Pay Unit</w:t>
      </w:r>
      <w:r w:rsidRPr="00B64896">
        <w:rPr>
          <w:b/>
          <w:bCs/>
          <w:sz w:val="22"/>
          <w:szCs w:val="22"/>
        </w:rPr>
        <w:t xml:space="preserve"> </w:t>
      </w:r>
    </w:p>
    <w:p w:rsidR="00EA68F7" w:rsidRDefault="00EA68F7" w:rsidP="00B8080D">
      <w:pPr>
        <w:pStyle w:val="CM9"/>
        <w:spacing w:after="0"/>
        <w:ind w:right="-10"/>
        <w:jc w:val="both"/>
        <w:rPr>
          <w:sz w:val="22"/>
          <w:szCs w:val="22"/>
        </w:rPr>
      </w:pPr>
      <w:r w:rsidRPr="00B64896">
        <w:rPr>
          <w:sz w:val="22"/>
          <w:szCs w:val="22"/>
        </w:rPr>
        <w:t>Epoxy Pavement Marking (Special)</w:t>
      </w:r>
      <w:r w:rsidR="004C1A81">
        <w:rPr>
          <w:sz w:val="22"/>
          <w:szCs w:val="22"/>
        </w:rPr>
        <w:tab/>
      </w:r>
      <w:r w:rsidR="004C1A81">
        <w:rPr>
          <w:sz w:val="22"/>
          <w:szCs w:val="22"/>
        </w:rPr>
        <w:tab/>
      </w:r>
      <w:r w:rsidR="004C1A81">
        <w:rPr>
          <w:sz w:val="22"/>
          <w:szCs w:val="22"/>
        </w:rPr>
        <w:tab/>
      </w:r>
      <w:r w:rsidR="004C1A81">
        <w:rPr>
          <w:sz w:val="22"/>
          <w:szCs w:val="22"/>
        </w:rPr>
        <w:tab/>
      </w:r>
      <w:r w:rsidR="004C1A81">
        <w:rPr>
          <w:sz w:val="22"/>
          <w:szCs w:val="22"/>
        </w:rPr>
        <w:tab/>
      </w:r>
      <w:r w:rsidR="004C1A81">
        <w:rPr>
          <w:sz w:val="22"/>
          <w:szCs w:val="22"/>
        </w:rPr>
        <w:tab/>
      </w:r>
      <w:r w:rsidR="004C1A81">
        <w:rPr>
          <w:sz w:val="22"/>
          <w:szCs w:val="22"/>
        </w:rPr>
        <w:tab/>
      </w:r>
      <w:r w:rsidRPr="00B64896">
        <w:rPr>
          <w:sz w:val="22"/>
          <w:szCs w:val="22"/>
        </w:rPr>
        <w:t xml:space="preserve">Gallon </w:t>
      </w:r>
    </w:p>
    <w:p w:rsidR="00B8080D" w:rsidRPr="00B8080D" w:rsidRDefault="00B8080D" w:rsidP="00B8080D">
      <w:pPr>
        <w:pStyle w:val="Default"/>
      </w:pPr>
    </w:p>
    <w:p w:rsidR="00EA68F7" w:rsidRDefault="00EA68F7" w:rsidP="00B8080D">
      <w:pPr>
        <w:pStyle w:val="CM9"/>
        <w:spacing w:after="0"/>
        <w:ind w:right="-10"/>
        <w:jc w:val="both"/>
        <w:rPr>
          <w:sz w:val="22"/>
          <w:szCs w:val="22"/>
        </w:rPr>
      </w:pPr>
      <w:r w:rsidRPr="00B64896">
        <w:rPr>
          <w:sz w:val="22"/>
          <w:szCs w:val="22"/>
        </w:rPr>
        <w:t xml:space="preserve">The work to groove the asphalt or concrete and clean the grooving residual or debris will not measured and paid for </w:t>
      </w:r>
      <w:r w:rsidRPr="00990CC6">
        <w:rPr>
          <w:sz w:val="22"/>
          <w:szCs w:val="22"/>
        </w:rPr>
        <w:t xml:space="preserve">separately but shall be included in the work. </w:t>
      </w:r>
    </w:p>
    <w:p w:rsidR="00B8080D" w:rsidRPr="00B8080D" w:rsidRDefault="00B8080D" w:rsidP="00B8080D">
      <w:pPr>
        <w:pStyle w:val="Default"/>
      </w:pPr>
    </w:p>
    <w:p w:rsidR="00990CC6" w:rsidRPr="00990CC6" w:rsidRDefault="00EA68F7" w:rsidP="00B8080D">
      <w:pPr>
        <w:pStyle w:val="Default"/>
        <w:ind w:right="-10"/>
        <w:jc w:val="both"/>
        <w:rPr>
          <w:color w:val="auto"/>
          <w:sz w:val="22"/>
          <w:szCs w:val="22"/>
        </w:rPr>
      </w:pPr>
      <w:r w:rsidRPr="00990CC6">
        <w:rPr>
          <w:color w:val="auto"/>
          <w:sz w:val="22"/>
          <w:szCs w:val="22"/>
        </w:rPr>
        <w:t xml:space="preserve">The </w:t>
      </w:r>
      <w:r w:rsidR="004C7B20" w:rsidRPr="00990CC6">
        <w:rPr>
          <w:color w:val="auto"/>
          <w:sz w:val="22"/>
          <w:szCs w:val="22"/>
        </w:rPr>
        <w:t>p</w:t>
      </w:r>
      <w:r w:rsidRPr="00990CC6">
        <w:rPr>
          <w:color w:val="auto"/>
          <w:sz w:val="22"/>
          <w:szCs w:val="22"/>
        </w:rPr>
        <w:t xml:space="preserve">rimary and </w:t>
      </w:r>
      <w:r w:rsidR="004C7B20" w:rsidRPr="00990CC6">
        <w:rPr>
          <w:color w:val="auto"/>
          <w:sz w:val="22"/>
          <w:szCs w:val="22"/>
        </w:rPr>
        <w:t>s</w:t>
      </w:r>
      <w:r w:rsidRPr="00990CC6">
        <w:rPr>
          <w:color w:val="auto"/>
          <w:sz w:val="22"/>
          <w:szCs w:val="22"/>
        </w:rPr>
        <w:t xml:space="preserve">econdary beads will not be measured and paid for separately but shall be included in the </w:t>
      </w:r>
      <w:r w:rsidR="00B64896" w:rsidRPr="00990CC6">
        <w:rPr>
          <w:color w:val="auto"/>
          <w:sz w:val="22"/>
          <w:szCs w:val="22"/>
        </w:rPr>
        <w:t>cost</w:t>
      </w:r>
      <w:r w:rsidRPr="00990CC6">
        <w:rPr>
          <w:color w:val="auto"/>
          <w:sz w:val="22"/>
          <w:szCs w:val="22"/>
        </w:rPr>
        <w:t xml:space="preserve"> of the Epoxy Pavement Marking (Special). </w:t>
      </w:r>
    </w:p>
    <w:p w:rsidR="00990CC6" w:rsidRPr="00990CC6" w:rsidRDefault="00990CC6" w:rsidP="00B8080D">
      <w:pPr>
        <w:pStyle w:val="Default"/>
        <w:ind w:right="-10"/>
        <w:jc w:val="both"/>
        <w:rPr>
          <w:sz w:val="22"/>
          <w:szCs w:val="22"/>
        </w:rPr>
      </w:pPr>
    </w:p>
    <w:p w:rsidR="00EA68F7" w:rsidRPr="00990CC6" w:rsidRDefault="00990CC6" w:rsidP="00B8080D">
      <w:pPr>
        <w:pStyle w:val="CM9"/>
        <w:spacing w:after="0"/>
        <w:ind w:right="-10"/>
        <w:rPr>
          <w:color w:val="000000"/>
          <w:sz w:val="22"/>
          <w:szCs w:val="22"/>
        </w:rPr>
      </w:pPr>
      <w:r w:rsidRPr="00990CC6">
        <w:rPr>
          <w:sz w:val="22"/>
          <w:szCs w:val="22"/>
        </w:rPr>
        <w:t>Temporary markings will not be measured and paid separately, but shall be included in the cost of work.</w:t>
      </w:r>
      <w:bookmarkEnd w:id="0"/>
      <w:bookmarkEnd w:id="1"/>
      <w:bookmarkEnd w:id="2"/>
    </w:p>
    <w:sectPr w:rsidR="00EA68F7" w:rsidRPr="00990CC6" w:rsidSect="00B8080D">
      <w:type w:val="continuous"/>
      <w:pgSz w:w="12240" w:h="15840"/>
      <w:pgMar w:top="680" w:right="990" w:bottom="640" w:left="9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83" w:rsidRDefault="00E60E83">
      <w:r>
        <w:separator/>
      </w:r>
    </w:p>
  </w:endnote>
  <w:endnote w:type="continuationSeparator" w:id="0">
    <w:p w:rsidR="00E60E83" w:rsidRDefault="00E6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83" w:rsidRDefault="00E60E83">
      <w:r>
        <w:separator/>
      </w:r>
    </w:p>
  </w:footnote>
  <w:footnote w:type="continuationSeparator" w:id="0">
    <w:p w:rsidR="00E60E83" w:rsidRDefault="00E60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F5FD9"/>
    <w:multiLevelType w:val="hybridMultilevel"/>
    <w:tmpl w:val="44549C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E82C52"/>
    <w:multiLevelType w:val="hybridMultilevel"/>
    <w:tmpl w:val="4AC6FE0E"/>
    <w:lvl w:ilvl="0" w:tplc="3EE2B11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F7"/>
    <w:rsid w:val="00060C6A"/>
    <w:rsid w:val="000E48A5"/>
    <w:rsid w:val="00141CCA"/>
    <w:rsid w:val="001D0D73"/>
    <w:rsid w:val="001F4EB7"/>
    <w:rsid w:val="002E71AD"/>
    <w:rsid w:val="00356BF1"/>
    <w:rsid w:val="00376EE4"/>
    <w:rsid w:val="00395C3E"/>
    <w:rsid w:val="003B1796"/>
    <w:rsid w:val="00402D7C"/>
    <w:rsid w:val="00444256"/>
    <w:rsid w:val="00453AB3"/>
    <w:rsid w:val="00491DE6"/>
    <w:rsid w:val="004C1A81"/>
    <w:rsid w:val="004C7B20"/>
    <w:rsid w:val="00516654"/>
    <w:rsid w:val="00597BE8"/>
    <w:rsid w:val="005F72A3"/>
    <w:rsid w:val="00665216"/>
    <w:rsid w:val="006B4016"/>
    <w:rsid w:val="006C7D50"/>
    <w:rsid w:val="00791CC7"/>
    <w:rsid w:val="007C5C88"/>
    <w:rsid w:val="008040FB"/>
    <w:rsid w:val="00904BBF"/>
    <w:rsid w:val="009520AD"/>
    <w:rsid w:val="009760D2"/>
    <w:rsid w:val="00990CC6"/>
    <w:rsid w:val="009D3876"/>
    <w:rsid w:val="00A05285"/>
    <w:rsid w:val="00A74FD7"/>
    <w:rsid w:val="00A97B60"/>
    <w:rsid w:val="00AF65BD"/>
    <w:rsid w:val="00B00DF3"/>
    <w:rsid w:val="00B64896"/>
    <w:rsid w:val="00B73675"/>
    <w:rsid w:val="00B8080D"/>
    <w:rsid w:val="00C20B35"/>
    <w:rsid w:val="00CC5A9E"/>
    <w:rsid w:val="00D074A9"/>
    <w:rsid w:val="00D232CD"/>
    <w:rsid w:val="00D32476"/>
    <w:rsid w:val="00D34123"/>
    <w:rsid w:val="00DF1062"/>
    <w:rsid w:val="00E25100"/>
    <w:rsid w:val="00E60E83"/>
    <w:rsid w:val="00E955DE"/>
    <w:rsid w:val="00EA6285"/>
    <w:rsid w:val="00EA68F7"/>
    <w:rsid w:val="00EB5129"/>
    <w:rsid w:val="00EE7DB3"/>
    <w:rsid w:val="00E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253" w:lineRule="atLeast"/>
    </w:pPr>
    <w:rPr>
      <w:color w:val="auto"/>
    </w:rPr>
  </w:style>
  <w:style w:type="paragraph" w:customStyle="1" w:styleId="CM9">
    <w:name w:val="CM9"/>
    <w:basedOn w:val="Default"/>
    <w:next w:val="Default"/>
    <w:pPr>
      <w:spacing w:after="255"/>
    </w:pPr>
    <w:rPr>
      <w:color w:val="auto"/>
    </w:rPr>
  </w:style>
  <w:style w:type="paragraph" w:customStyle="1" w:styleId="CM2">
    <w:name w:val="CM2"/>
    <w:basedOn w:val="Default"/>
    <w:next w:val="Default"/>
    <w:pPr>
      <w:spacing w:line="253" w:lineRule="atLeast"/>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5">
    <w:name w:val="CM5"/>
    <w:basedOn w:val="Default"/>
    <w:next w:val="Default"/>
    <w:pPr>
      <w:spacing w:line="253"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8">
    <w:name w:val="CM8"/>
    <w:basedOn w:val="Default"/>
    <w:next w:val="Default"/>
    <w:pPr>
      <w:spacing w:line="253" w:lineRule="atLeast"/>
    </w:pPr>
    <w:rPr>
      <w:color w:val="auto"/>
    </w:rPr>
  </w:style>
  <w:style w:type="paragraph" w:styleId="Header">
    <w:name w:val="header"/>
    <w:basedOn w:val="Normal"/>
    <w:rsid w:val="00EA68F7"/>
    <w:pPr>
      <w:tabs>
        <w:tab w:val="center" w:pos="4320"/>
        <w:tab w:val="right" w:pos="8640"/>
      </w:tabs>
    </w:pPr>
  </w:style>
  <w:style w:type="paragraph" w:styleId="Footer">
    <w:name w:val="footer"/>
    <w:basedOn w:val="Normal"/>
    <w:rsid w:val="00EA68F7"/>
    <w:pPr>
      <w:tabs>
        <w:tab w:val="center" w:pos="4320"/>
        <w:tab w:val="right" w:pos="8640"/>
      </w:tabs>
    </w:pPr>
  </w:style>
  <w:style w:type="table" w:styleId="TableGrid">
    <w:name w:val="Table Grid"/>
    <w:basedOn w:val="TableNormal"/>
    <w:rsid w:val="00D34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74FD7"/>
    <w:pPr>
      <w:shd w:val="clear" w:color="auto" w:fill="000080"/>
    </w:pPr>
    <w:rPr>
      <w:rFonts w:ascii="Tahoma" w:hAnsi="Tahoma" w:cs="Tahoma"/>
      <w:sz w:val="20"/>
      <w:szCs w:val="20"/>
    </w:rPr>
  </w:style>
  <w:style w:type="paragraph" w:styleId="BalloonText">
    <w:name w:val="Balloon Text"/>
    <w:basedOn w:val="Normal"/>
    <w:semiHidden/>
    <w:rsid w:val="00A74FD7"/>
    <w:rPr>
      <w:rFonts w:ascii="Tahoma" w:hAnsi="Tahoma" w:cs="Tahoma"/>
      <w:sz w:val="16"/>
      <w:szCs w:val="16"/>
    </w:rPr>
  </w:style>
  <w:style w:type="character" w:styleId="CommentReference">
    <w:name w:val="annotation reference"/>
    <w:semiHidden/>
    <w:rsid w:val="00D32476"/>
    <w:rPr>
      <w:sz w:val="16"/>
      <w:szCs w:val="16"/>
    </w:rPr>
  </w:style>
  <w:style w:type="paragraph" w:styleId="CommentText">
    <w:name w:val="annotation text"/>
    <w:basedOn w:val="Normal"/>
    <w:semiHidden/>
    <w:rsid w:val="00D32476"/>
    <w:rPr>
      <w:sz w:val="20"/>
      <w:szCs w:val="20"/>
    </w:rPr>
  </w:style>
  <w:style w:type="paragraph" w:styleId="CommentSubject">
    <w:name w:val="annotation subject"/>
    <w:basedOn w:val="CommentText"/>
    <w:next w:val="CommentText"/>
    <w:semiHidden/>
    <w:rsid w:val="00D324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253" w:lineRule="atLeast"/>
    </w:pPr>
    <w:rPr>
      <w:color w:val="auto"/>
    </w:rPr>
  </w:style>
  <w:style w:type="paragraph" w:customStyle="1" w:styleId="CM9">
    <w:name w:val="CM9"/>
    <w:basedOn w:val="Default"/>
    <w:next w:val="Default"/>
    <w:pPr>
      <w:spacing w:after="255"/>
    </w:pPr>
    <w:rPr>
      <w:color w:val="auto"/>
    </w:rPr>
  </w:style>
  <w:style w:type="paragraph" w:customStyle="1" w:styleId="CM2">
    <w:name w:val="CM2"/>
    <w:basedOn w:val="Default"/>
    <w:next w:val="Default"/>
    <w:pPr>
      <w:spacing w:line="253" w:lineRule="atLeast"/>
    </w:pPr>
    <w:rPr>
      <w:color w:val="auto"/>
    </w:rPr>
  </w:style>
  <w:style w:type="paragraph" w:customStyle="1" w:styleId="CM3">
    <w:name w:val="CM3"/>
    <w:basedOn w:val="Default"/>
    <w:next w:val="Default"/>
    <w:pPr>
      <w:spacing w:line="253" w:lineRule="atLeast"/>
    </w:pPr>
    <w:rPr>
      <w:color w:val="auto"/>
    </w:rPr>
  </w:style>
  <w:style w:type="paragraph" w:customStyle="1" w:styleId="CM4">
    <w:name w:val="CM4"/>
    <w:basedOn w:val="Default"/>
    <w:next w:val="Default"/>
    <w:pPr>
      <w:spacing w:line="253" w:lineRule="atLeast"/>
    </w:pPr>
    <w:rPr>
      <w:color w:val="auto"/>
    </w:rPr>
  </w:style>
  <w:style w:type="paragraph" w:customStyle="1" w:styleId="CM5">
    <w:name w:val="CM5"/>
    <w:basedOn w:val="Default"/>
    <w:next w:val="Default"/>
    <w:pPr>
      <w:spacing w:line="253" w:lineRule="atLeast"/>
    </w:pPr>
    <w:rPr>
      <w:color w:val="auto"/>
    </w:rPr>
  </w:style>
  <w:style w:type="paragraph" w:customStyle="1" w:styleId="CM6">
    <w:name w:val="CM6"/>
    <w:basedOn w:val="Default"/>
    <w:next w:val="Default"/>
    <w:pPr>
      <w:spacing w:line="253" w:lineRule="atLeast"/>
    </w:pPr>
    <w:rPr>
      <w:color w:val="auto"/>
    </w:rPr>
  </w:style>
  <w:style w:type="paragraph" w:customStyle="1" w:styleId="CM7">
    <w:name w:val="CM7"/>
    <w:basedOn w:val="Default"/>
    <w:next w:val="Default"/>
    <w:pPr>
      <w:spacing w:line="253" w:lineRule="atLeast"/>
    </w:pPr>
    <w:rPr>
      <w:color w:val="auto"/>
    </w:rPr>
  </w:style>
  <w:style w:type="paragraph" w:customStyle="1" w:styleId="CM8">
    <w:name w:val="CM8"/>
    <w:basedOn w:val="Default"/>
    <w:next w:val="Default"/>
    <w:pPr>
      <w:spacing w:line="253" w:lineRule="atLeast"/>
    </w:pPr>
    <w:rPr>
      <w:color w:val="auto"/>
    </w:rPr>
  </w:style>
  <w:style w:type="paragraph" w:styleId="Header">
    <w:name w:val="header"/>
    <w:basedOn w:val="Normal"/>
    <w:rsid w:val="00EA68F7"/>
    <w:pPr>
      <w:tabs>
        <w:tab w:val="center" w:pos="4320"/>
        <w:tab w:val="right" w:pos="8640"/>
      </w:tabs>
    </w:pPr>
  </w:style>
  <w:style w:type="paragraph" w:styleId="Footer">
    <w:name w:val="footer"/>
    <w:basedOn w:val="Normal"/>
    <w:rsid w:val="00EA68F7"/>
    <w:pPr>
      <w:tabs>
        <w:tab w:val="center" w:pos="4320"/>
        <w:tab w:val="right" w:pos="8640"/>
      </w:tabs>
    </w:pPr>
  </w:style>
  <w:style w:type="table" w:styleId="TableGrid">
    <w:name w:val="Table Grid"/>
    <w:basedOn w:val="TableNormal"/>
    <w:rsid w:val="00D34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74FD7"/>
    <w:pPr>
      <w:shd w:val="clear" w:color="auto" w:fill="000080"/>
    </w:pPr>
    <w:rPr>
      <w:rFonts w:ascii="Tahoma" w:hAnsi="Tahoma" w:cs="Tahoma"/>
      <w:sz w:val="20"/>
      <w:szCs w:val="20"/>
    </w:rPr>
  </w:style>
  <w:style w:type="paragraph" w:styleId="BalloonText">
    <w:name w:val="Balloon Text"/>
    <w:basedOn w:val="Normal"/>
    <w:semiHidden/>
    <w:rsid w:val="00A74FD7"/>
    <w:rPr>
      <w:rFonts w:ascii="Tahoma" w:hAnsi="Tahoma" w:cs="Tahoma"/>
      <w:sz w:val="16"/>
      <w:szCs w:val="16"/>
    </w:rPr>
  </w:style>
  <w:style w:type="character" w:styleId="CommentReference">
    <w:name w:val="annotation reference"/>
    <w:semiHidden/>
    <w:rsid w:val="00D32476"/>
    <w:rPr>
      <w:sz w:val="16"/>
      <w:szCs w:val="16"/>
    </w:rPr>
  </w:style>
  <w:style w:type="paragraph" w:styleId="CommentText">
    <w:name w:val="annotation text"/>
    <w:basedOn w:val="Normal"/>
    <w:semiHidden/>
    <w:rsid w:val="00D32476"/>
    <w:rPr>
      <w:sz w:val="20"/>
      <w:szCs w:val="20"/>
    </w:rPr>
  </w:style>
  <w:style w:type="paragraph" w:styleId="CommentSubject">
    <w:name w:val="annotation subject"/>
    <w:basedOn w:val="CommentText"/>
    <w:next w:val="CommentText"/>
    <w:semiHidden/>
    <w:rsid w:val="00D32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B836-BCC6-4C05-A6FE-F1FE1973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- 17724_FY2011 Pavement Marking Spec.doc</vt:lpstr>
    </vt:vector>
  </TitlesOfParts>
  <Company>CDOT</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- 17724_FY2011 Pavement Marking Spec.doc</dc:title>
  <dc:creator>gonzalesar</dc:creator>
  <cp:lastModifiedBy>Dinardo, Thomas</cp:lastModifiedBy>
  <cp:revision>8</cp:revision>
  <cp:lastPrinted>2010-04-14T15:33:00Z</cp:lastPrinted>
  <dcterms:created xsi:type="dcterms:W3CDTF">2011-04-14T22:29:00Z</dcterms:created>
  <dcterms:modified xsi:type="dcterms:W3CDTF">2013-02-06T21:16:00Z</dcterms:modified>
</cp:coreProperties>
</file>