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08" w:rsidRPr="001D5870" w:rsidRDefault="00057C08" w:rsidP="00DC47C5">
      <w:pPr>
        <w:pStyle w:val="NoSpacing"/>
        <w:jc w:val="center"/>
        <w:rPr>
          <w:rFonts w:ascii="Times New Roman" w:hAnsi="Times New Roman"/>
        </w:rPr>
      </w:pPr>
      <w:bookmarkStart w:id="0" w:name="_GoBack"/>
      <w:bookmarkEnd w:id="0"/>
      <w:r w:rsidRPr="001D5870">
        <w:rPr>
          <w:rFonts w:ascii="Times New Roman" w:hAnsi="Times New Roman"/>
        </w:rPr>
        <w:t xml:space="preserve">REVISION OF SECTION </w:t>
      </w:r>
      <w:r w:rsidR="001D5870">
        <w:rPr>
          <w:rFonts w:ascii="Times New Roman" w:hAnsi="Times New Roman"/>
        </w:rPr>
        <w:t xml:space="preserve">627 AND </w:t>
      </w:r>
      <w:r w:rsidRPr="001D5870">
        <w:rPr>
          <w:rFonts w:ascii="Times New Roman" w:hAnsi="Times New Roman"/>
        </w:rPr>
        <w:t>713</w:t>
      </w:r>
    </w:p>
    <w:p w:rsidR="00057C08" w:rsidRDefault="001D5870" w:rsidP="00DC47C5">
      <w:pPr>
        <w:pStyle w:val="NoSpacing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MODIFIED </w:t>
      </w:r>
      <w:r w:rsidR="00057C08" w:rsidRPr="001D5870">
        <w:rPr>
          <w:rFonts w:ascii="Times New Roman" w:hAnsi="Times New Roman"/>
        </w:rPr>
        <w:t xml:space="preserve">EPOXY PAVEMENT MARKING </w:t>
      </w:r>
    </w:p>
    <w:p w:rsidR="001D5870" w:rsidRDefault="001D5870" w:rsidP="00DC47C5">
      <w:pPr>
        <w:pStyle w:val="NoSpacing"/>
        <w:jc w:val="center"/>
        <w:rPr>
          <w:rFonts w:ascii="Times New Roman" w:hAnsi="Times New Roman"/>
        </w:rPr>
      </w:pPr>
    </w:p>
    <w:p w:rsidR="001D5870" w:rsidRDefault="001D5870" w:rsidP="001D587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Sections 627 and 713 of the Standard Specifications are hereby revised for this project as follows:</w:t>
      </w:r>
    </w:p>
    <w:p w:rsidR="001D5870" w:rsidRDefault="001D5870" w:rsidP="001D5870">
      <w:pPr>
        <w:pStyle w:val="NoSpacing"/>
        <w:rPr>
          <w:rFonts w:ascii="Times New Roman" w:hAnsi="Times New Roman"/>
        </w:rPr>
      </w:pPr>
    </w:p>
    <w:p w:rsidR="001D5870" w:rsidRDefault="001D5870" w:rsidP="001D587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Section 627.05 shall include the following: </w:t>
      </w:r>
    </w:p>
    <w:p w:rsidR="001D5870" w:rsidRDefault="001D5870" w:rsidP="001D5870">
      <w:pPr>
        <w:pStyle w:val="NoSpacing"/>
        <w:rPr>
          <w:rFonts w:ascii="Times New Roman" w:hAnsi="Times New Roman"/>
        </w:rPr>
      </w:pPr>
    </w:p>
    <w:p w:rsidR="001D5870" w:rsidRDefault="001D5870" w:rsidP="001D587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Modified Epoxy Pavement Marking shall conform to subsection 713.17.</w:t>
      </w:r>
    </w:p>
    <w:p w:rsidR="001D5870" w:rsidRDefault="001D5870" w:rsidP="001D5870">
      <w:pPr>
        <w:pStyle w:val="NoSpacing"/>
        <w:rPr>
          <w:rFonts w:ascii="Times New Roman" w:hAnsi="Times New Roman"/>
        </w:rPr>
      </w:pPr>
    </w:p>
    <w:p w:rsidR="001D5870" w:rsidRDefault="001D5870" w:rsidP="001D587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Subsection 627.13 shall include the following:</w:t>
      </w:r>
    </w:p>
    <w:p w:rsidR="001D5870" w:rsidRDefault="001D5870" w:rsidP="001D5870">
      <w:pPr>
        <w:pStyle w:val="NoSpacing"/>
        <w:rPr>
          <w:rFonts w:ascii="Times New Roman" w:hAnsi="Times New Roman"/>
        </w:rPr>
      </w:pPr>
    </w:p>
    <w:p w:rsidR="001D5870" w:rsidRDefault="001D5870" w:rsidP="001D5870">
      <w:pPr>
        <w:pStyle w:val="NoSpacing"/>
        <w:rPr>
          <w:rFonts w:ascii="Times New Roman" w:hAnsi="Times New Roman"/>
          <w:b/>
        </w:rPr>
      </w:pPr>
      <w:r w:rsidRPr="001D5870">
        <w:rPr>
          <w:rFonts w:ascii="Times New Roman" w:hAnsi="Times New Roman"/>
          <w:b/>
        </w:rPr>
        <w:t>Pay Item</w:t>
      </w:r>
      <w:r w:rsidRPr="001D5870">
        <w:rPr>
          <w:rFonts w:ascii="Times New Roman" w:hAnsi="Times New Roman"/>
          <w:b/>
        </w:rPr>
        <w:tab/>
      </w:r>
      <w:r w:rsidRPr="001D5870">
        <w:rPr>
          <w:rFonts w:ascii="Times New Roman" w:hAnsi="Times New Roman"/>
          <w:b/>
        </w:rPr>
        <w:tab/>
      </w:r>
      <w:r w:rsidRPr="001D5870">
        <w:rPr>
          <w:rFonts w:ascii="Times New Roman" w:hAnsi="Times New Roman"/>
          <w:b/>
        </w:rPr>
        <w:tab/>
      </w:r>
      <w:r w:rsidRPr="001D5870">
        <w:rPr>
          <w:rFonts w:ascii="Times New Roman" w:hAnsi="Times New Roman"/>
          <w:b/>
        </w:rPr>
        <w:tab/>
      </w:r>
      <w:r w:rsidRPr="001D587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1D5870">
        <w:rPr>
          <w:rFonts w:ascii="Times New Roman" w:hAnsi="Times New Roman"/>
          <w:b/>
        </w:rPr>
        <w:t>Pay Unit</w:t>
      </w:r>
    </w:p>
    <w:p w:rsidR="001D5870" w:rsidRPr="001D5870" w:rsidRDefault="001D5870" w:rsidP="001D5870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Modified Epoxy Pavement Marking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Gallon</w:t>
      </w:r>
    </w:p>
    <w:p w:rsidR="00057C08" w:rsidRPr="001D5870" w:rsidRDefault="00057C08" w:rsidP="00DC47C5">
      <w:pPr>
        <w:pStyle w:val="NoSpacing"/>
        <w:jc w:val="center"/>
        <w:rPr>
          <w:rFonts w:ascii="Times New Roman" w:hAnsi="Times New Roman"/>
        </w:rPr>
      </w:pPr>
    </w:p>
    <w:p w:rsidR="004E305D" w:rsidRPr="00D50047" w:rsidRDefault="001D5870" w:rsidP="004E305D">
      <w:pPr>
        <w:pStyle w:val="NoSpacing"/>
        <w:rPr>
          <w:rFonts w:ascii="Times New Roman" w:hAnsi="Times New Roman"/>
        </w:rPr>
      </w:pPr>
      <w:r w:rsidRPr="00D50047">
        <w:rPr>
          <w:rFonts w:ascii="Times New Roman" w:hAnsi="Times New Roman"/>
        </w:rPr>
        <w:t>In</w:t>
      </w:r>
      <w:r w:rsidR="004E305D" w:rsidRPr="00D50047">
        <w:rPr>
          <w:rFonts w:ascii="Times New Roman" w:hAnsi="Times New Roman"/>
        </w:rPr>
        <w:t xml:space="preserve"> subsection 713.17</w:t>
      </w:r>
      <w:r w:rsidRPr="00D50047">
        <w:rPr>
          <w:rFonts w:ascii="Times New Roman" w:hAnsi="Times New Roman"/>
        </w:rPr>
        <w:t xml:space="preserve">, delete </w:t>
      </w:r>
      <w:r w:rsidR="00D50047" w:rsidRPr="00D50047">
        <w:rPr>
          <w:rFonts w:ascii="Times New Roman" w:hAnsi="Times New Roman"/>
        </w:rPr>
        <w:t>(f) and (k</w:t>
      </w:r>
      <w:r w:rsidR="00B861D7" w:rsidRPr="00D50047">
        <w:rPr>
          <w:rFonts w:ascii="Times New Roman" w:hAnsi="Times New Roman"/>
        </w:rPr>
        <w:t>)</w:t>
      </w:r>
      <w:r w:rsidRPr="00D50047">
        <w:rPr>
          <w:rFonts w:ascii="Times New Roman" w:hAnsi="Times New Roman"/>
        </w:rPr>
        <w:t>,</w:t>
      </w:r>
      <w:r w:rsidR="004E305D" w:rsidRPr="00D50047">
        <w:rPr>
          <w:rFonts w:ascii="Times New Roman" w:hAnsi="Times New Roman"/>
        </w:rPr>
        <w:t xml:space="preserve"> and replace with the following:</w:t>
      </w:r>
    </w:p>
    <w:p w:rsidR="004E305D" w:rsidRPr="00D50047" w:rsidRDefault="004E305D" w:rsidP="004E305D">
      <w:pPr>
        <w:pStyle w:val="NoSpacing"/>
        <w:rPr>
          <w:rFonts w:ascii="Times New Roman" w:hAnsi="Times New Roman"/>
        </w:rPr>
      </w:pPr>
    </w:p>
    <w:p w:rsidR="00D50047" w:rsidRPr="00D50047" w:rsidRDefault="00D50047" w:rsidP="00D50047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spacing w:after="120" w:line="247" w:lineRule="auto"/>
        <w:rPr>
          <w:kern w:val="2"/>
          <w:sz w:val="22"/>
          <w:szCs w:val="22"/>
        </w:rPr>
      </w:pPr>
      <w:r w:rsidRPr="00D50047">
        <w:rPr>
          <w:i/>
          <w:kern w:val="2"/>
          <w:sz w:val="22"/>
          <w:szCs w:val="22"/>
        </w:rPr>
        <w:t xml:space="preserve">Color.  </w:t>
      </w:r>
      <w:r w:rsidRPr="00D50047">
        <w:rPr>
          <w:kern w:val="2"/>
          <w:sz w:val="22"/>
          <w:szCs w:val="22"/>
        </w:rPr>
        <w:t>The epoxy material, without drop-on beads, shall correspond following requirements:</w:t>
      </w:r>
    </w:p>
    <w:p w:rsidR="00D50047" w:rsidRPr="00D50047" w:rsidRDefault="00D50047" w:rsidP="00D50047">
      <w:pPr>
        <w:widowControl w:val="0"/>
        <w:autoSpaceDE w:val="0"/>
        <w:autoSpaceDN w:val="0"/>
        <w:spacing w:after="120" w:line="247" w:lineRule="auto"/>
        <w:ind w:left="1800" w:hanging="720"/>
        <w:rPr>
          <w:rFonts w:eastAsia="Calibri"/>
          <w:sz w:val="22"/>
          <w:szCs w:val="22"/>
          <w:shd w:val="clear" w:color="auto" w:fill="FFFFFF"/>
        </w:rPr>
      </w:pPr>
      <w:r w:rsidRPr="00D50047">
        <w:rPr>
          <w:iCs/>
          <w:kern w:val="2"/>
          <w:sz w:val="22"/>
          <w:szCs w:val="22"/>
        </w:rPr>
        <w:t>W</w:t>
      </w:r>
      <w:r w:rsidRPr="00D50047">
        <w:rPr>
          <w:kern w:val="2"/>
          <w:sz w:val="22"/>
          <w:szCs w:val="22"/>
        </w:rPr>
        <w:t xml:space="preserve">hite – Federal Standard No. 595B-17925.  </w:t>
      </w:r>
      <w:r w:rsidRPr="00D50047">
        <w:rPr>
          <w:rFonts w:eastAsia="Calibri"/>
          <w:sz w:val="22"/>
          <w:szCs w:val="22"/>
          <w:shd w:val="clear" w:color="auto" w:fill="FFFFFF"/>
        </w:rPr>
        <w:t>The Yellowness Index (YI)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 xml:space="preserve"> of white </w:t>
      </w:r>
      <w:r w:rsidRPr="00D50047">
        <w:rPr>
          <w:rFonts w:eastAsia="Calibri"/>
          <w:sz w:val="22"/>
          <w:szCs w:val="22"/>
          <w:shd w:val="clear" w:color="auto" w:fill="FFFFFF"/>
        </w:rPr>
        <w:t>shall not exceed 8.0 per ASTM E-313-10 initially.</w:t>
      </w:r>
    </w:p>
    <w:p w:rsidR="00D50047" w:rsidRPr="00D50047" w:rsidRDefault="00D50047" w:rsidP="00D50047">
      <w:pPr>
        <w:widowControl w:val="0"/>
        <w:autoSpaceDE w:val="0"/>
        <w:autoSpaceDN w:val="0"/>
        <w:spacing w:after="120" w:line="247" w:lineRule="auto"/>
        <w:ind w:left="1800"/>
        <w:rPr>
          <w:sz w:val="22"/>
          <w:szCs w:val="22"/>
          <w:shd w:val="clear" w:color="auto" w:fill="FFFFFF"/>
        </w:rPr>
      </w:pPr>
      <w:r w:rsidRPr="00D50047">
        <w:rPr>
          <w:rFonts w:eastAsia="Calibri"/>
          <w:sz w:val="22"/>
          <w:szCs w:val="22"/>
          <w:shd w:val="clear" w:color="auto" w:fill="FFFFFF"/>
        </w:rPr>
        <w:t xml:space="preserve">After 72 QUV exposure 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 xml:space="preserve">per ASTM G-154 </w:t>
      </w:r>
      <w:r w:rsidRPr="00D50047">
        <w:rPr>
          <w:rFonts w:eastAsia="Calibri"/>
          <w:sz w:val="22"/>
          <w:szCs w:val="22"/>
          <w:shd w:val="clear" w:color="auto" w:fill="FFFFFF"/>
        </w:rPr>
        <w:t>with a UVA-340 Lamp at an irradiance of 0.89 W/m2/nm with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alternating cycles of 4 hours U.V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@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140º F,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and 4 hours humidity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@ 122</w:t>
      </w:r>
      <w:r w:rsidRPr="00D50047">
        <w:rPr>
          <w:sz w:val="22"/>
          <w:szCs w:val="22"/>
          <w:shd w:val="clear" w:color="auto" w:fill="FFFFFF"/>
        </w:rPr>
        <w:t>º</w:t>
      </w:r>
      <w:r w:rsidRPr="00D50047">
        <w:rPr>
          <w:rFonts w:eastAsia="Calibri"/>
          <w:sz w:val="22"/>
          <w:szCs w:val="22"/>
          <w:shd w:val="clear" w:color="auto" w:fill="FFFFFF"/>
          <w:vertAlign w:val="superscript"/>
        </w:rPr>
        <w:t xml:space="preserve">  </w:t>
      </w:r>
      <w:r w:rsidRPr="00D50047">
        <w:rPr>
          <w:rFonts w:eastAsia="Calibri"/>
          <w:sz w:val="22"/>
          <w:szCs w:val="22"/>
          <w:shd w:val="clear" w:color="auto" w:fill="FFFFFF"/>
        </w:rPr>
        <w:t xml:space="preserve">F the </w:t>
      </w:r>
      <w:r w:rsidRPr="00D50047">
        <w:rPr>
          <w:sz w:val="22"/>
          <w:szCs w:val="22"/>
          <w:shd w:val="clear" w:color="auto" w:fill="FFFFFF"/>
        </w:rPr>
        <w:t>YI</w:t>
      </w:r>
      <w:r w:rsidRPr="00D50047">
        <w:rPr>
          <w:rStyle w:val="apple-converted-space"/>
          <w:sz w:val="22"/>
          <w:szCs w:val="22"/>
          <w:shd w:val="clear" w:color="auto" w:fill="FFFFFF"/>
        </w:rPr>
        <w:t> </w:t>
      </w:r>
      <w:r w:rsidRPr="00D50047">
        <w:rPr>
          <w:sz w:val="22"/>
          <w:szCs w:val="22"/>
          <w:shd w:val="clear" w:color="auto" w:fill="FFFFFF"/>
        </w:rPr>
        <w:t xml:space="preserve"> shall not exceed 15 when measured per ASTM E-313.</w:t>
      </w:r>
    </w:p>
    <w:p w:rsidR="00D50047" w:rsidRPr="00D50047" w:rsidRDefault="00D50047" w:rsidP="00D50047">
      <w:pPr>
        <w:widowControl w:val="0"/>
        <w:autoSpaceDE w:val="0"/>
        <w:autoSpaceDN w:val="0"/>
        <w:spacing w:after="120" w:line="247" w:lineRule="auto"/>
        <w:ind w:left="1800"/>
        <w:rPr>
          <w:kern w:val="2"/>
          <w:sz w:val="22"/>
          <w:szCs w:val="22"/>
        </w:rPr>
      </w:pPr>
      <w:r w:rsidRPr="00D50047">
        <w:rPr>
          <w:sz w:val="22"/>
          <w:szCs w:val="22"/>
          <w:shd w:val="clear" w:color="auto" w:fill="FFFFFF"/>
        </w:rPr>
        <w:t>The YI, after 500-hour QUV testing as above, shall not exceed 27.</w:t>
      </w:r>
    </w:p>
    <w:p w:rsidR="00D50047" w:rsidRPr="00D50047" w:rsidRDefault="00D50047" w:rsidP="00D50047">
      <w:pPr>
        <w:widowControl w:val="0"/>
        <w:autoSpaceDE w:val="0"/>
        <w:autoSpaceDN w:val="0"/>
        <w:spacing w:after="120" w:line="247" w:lineRule="auto"/>
        <w:ind w:left="1800" w:hanging="720"/>
        <w:rPr>
          <w:kern w:val="2"/>
          <w:sz w:val="22"/>
          <w:szCs w:val="22"/>
        </w:rPr>
      </w:pPr>
      <w:r w:rsidRPr="00D50047">
        <w:rPr>
          <w:kern w:val="2"/>
          <w:sz w:val="22"/>
          <w:szCs w:val="22"/>
        </w:rPr>
        <w:t>Yellow – Materials for pavement markings shall meet the initial daytime chromaticity that fall within the box created by the following corner points:</w:t>
      </w:r>
    </w:p>
    <w:p w:rsidR="00D50047" w:rsidRPr="00D50047" w:rsidRDefault="00D50047" w:rsidP="00D50047">
      <w:pPr>
        <w:widowControl w:val="0"/>
        <w:autoSpaceDE w:val="0"/>
        <w:autoSpaceDN w:val="0"/>
        <w:spacing w:after="120" w:line="247" w:lineRule="auto"/>
        <w:ind w:left="2160" w:firstLine="360"/>
        <w:jc w:val="both"/>
        <w:rPr>
          <w:kern w:val="2"/>
          <w:sz w:val="22"/>
          <w:szCs w:val="22"/>
        </w:rPr>
      </w:pPr>
      <w:r w:rsidRPr="00D50047">
        <w:rPr>
          <w:kern w:val="2"/>
          <w:sz w:val="22"/>
          <w:szCs w:val="22"/>
        </w:rPr>
        <w:t>Initial Daytime Chromaticity Coordinates (Corner Points)</w:t>
      </w:r>
    </w:p>
    <w:tbl>
      <w:tblPr>
        <w:tblpPr w:leftFromText="180" w:rightFromText="180" w:vertAnchor="text" w:tblpXSpec="center" w:tblpY="1"/>
        <w:tblOverlap w:val="never"/>
        <w:tblW w:w="65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1"/>
        <w:gridCol w:w="1301"/>
        <w:gridCol w:w="1301"/>
        <w:gridCol w:w="1301"/>
        <w:gridCol w:w="1301"/>
      </w:tblGrid>
      <w:tr w:rsidR="00D50047" w:rsidRPr="00D50047" w:rsidTr="00B9277F">
        <w:trPr>
          <w:cantSplit/>
        </w:trPr>
        <w:tc>
          <w:tcPr>
            <w:tcW w:w="1301" w:type="dxa"/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kern w:val="2"/>
                <w:sz w:val="22"/>
                <w:szCs w:val="22"/>
              </w:rPr>
            </w:pPr>
          </w:p>
        </w:tc>
        <w:tc>
          <w:tcPr>
            <w:tcW w:w="1301" w:type="dxa"/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D50047">
              <w:rPr>
                <w:b/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1301" w:type="dxa"/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D50047">
              <w:rPr>
                <w:b/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301" w:type="dxa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D50047">
              <w:rPr>
                <w:b/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1301" w:type="dxa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D50047">
              <w:rPr>
                <w:b/>
                <w:bCs/>
                <w:kern w:val="2"/>
                <w:sz w:val="22"/>
                <w:szCs w:val="22"/>
              </w:rPr>
              <w:t>4</w:t>
            </w:r>
          </w:p>
        </w:tc>
      </w:tr>
      <w:tr w:rsidR="00D50047" w:rsidRPr="00D50047" w:rsidTr="00B9277F">
        <w:trPr>
          <w:cantSplit/>
        </w:trPr>
        <w:tc>
          <w:tcPr>
            <w:tcW w:w="1301" w:type="dxa"/>
            <w:shd w:val="pct20" w:color="auto" w:fill="FFFFFF"/>
            <w:vAlign w:val="center"/>
          </w:tcPr>
          <w:p w:rsidR="00D50047" w:rsidRPr="00D50047" w:rsidRDefault="00D50047" w:rsidP="00B9277F">
            <w:pPr>
              <w:keepNext/>
              <w:widowControl w:val="0"/>
              <w:autoSpaceDE w:val="0"/>
              <w:autoSpaceDN w:val="0"/>
              <w:spacing w:line="247" w:lineRule="auto"/>
              <w:jc w:val="center"/>
              <w:outlineLvl w:val="6"/>
              <w:rPr>
                <w:bCs/>
                <w:kern w:val="2"/>
                <w:sz w:val="22"/>
                <w:szCs w:val="22"/>
              </w:rPr>
            </w:pPr>
            <w:r w:rsidRPr="00D50047">
              <w:rPr>
                <w:bCs/>
                <w:kern w:val="2"/>
                <w:sz w:val="22"/>
                <w:szCs w:val="22"/>
              </w:rPr>
              <w:t>x</w:t>
            </w:r>
          </w:p>
        </w:tc>
        <w:tc>
          <w:tcPr>
            <w:tcW w:w="1301" w:type="dxa"/>
            <w:shd w:val="pct20" w:color="auto" w:fill="FFFFFF"/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sz w:val="22"/>
                <w:szCs w:val="22"/>
              </w:rPr>
              <w:t>0.530</w:t>
            </w:r>
          </w:p>
        </w:tc>
        <w:tc>
          <w:tcPr>
            <w:tcW w:w="1301" w:type="dxa"/>
            <w:shd w:val="pct20" w:color="auto" w:fill="FFFFFF"/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0.510</w:t>
            </w:r>
          </w:p>
        </w:tc>
        <w:tc>
          <w:tcPr>
            <w:tcW w:w="1301" w:type="dxa"/>
            <w:shd w:val="pct20" w:color="auto" w:fill="FFFFFF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0.455</w:t>
            </w:r>
          </w:p>
        </w:tc>
        <w:tc>
          <w:tcPr>
            <w:tcW w:w="1301" w:type="dxa"/>
            <w:shd w:val="pct20" w:color="auto" w:fill="FFFFFF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0.472</w:t>
            </w:r>
          </w:p>
        </w:tc>
      </w:tr>
      <w:tr w:rsidR="00D50047" w:rsidRPr="00D50047" w:rsidTr="00B9277F">
        <w:trPr>
          <w:cantSplit/>
        </w:trPr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D50047" w:rsidRPr="00D50047" w:rsidRDefault="00D50047" w:rsidP="00B9277F">
            <w:pPr>
              <w:keepNext/>
              <w:widowControl w:val="0"/>
              <w:autoSpaceDE w:val="0"/>
              <w:autoSpaceDN w:val="0"/>
              <w:spacing w:line="247" w:lineRule="auto"/>
              <w:jc w:val="center"/>
              <w:outlineLvl w:val="6"/>
              <w:rPr>
                <w:bCs/>
                <w:kern w:val="2"/>
                <w:sz w:val="22"/>
                <w:szCs w:val="22"/>
              </w:rPr>
            </w:pPr>
            <w:r w:rsidRPr="00D50047">
              <w:rPr>
                <w:bCs/>
                <w:kern w:val="2"/>
                <w:sz w:val="22"/>
                <w:szCs w:val="22"/>
              </w:rPr>
              <w:t>y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0.456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vAlign w:val="center"/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0.485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0.444</w:t>
            </w:r>
          </w:p>
        </w:tc>
        <w:tc>
          <w:tcPr>
            <w:tcW w:w="1301" w:type="dxa"/>
            <w:tcBorders>
              <w:bottom w:val="single" w:sz="4" w:space="0" w:color="auto"/>
            </w:tcBorders>
          </w:tcPr>
          <w:p w:rsidR="00D50047" w:rsidRPr="00D50047" w:rsidRDefault="00D50047" w:rsidP="00B9277F">
            <w:pPr>
              <w:widowControl w:val="0"/>
              <w:autoSpaceDE w:val="0"/>
              <w:autoSpaceDN w:val="0"/>
              <w:spacing w:line="247" w:lineRule="auto"/>
              <w:jc w:val="center"/>
              <w:rPr>
                <w:kern w:val="2"/>
                <w:sz w:val="22"/>
                <w:szCs w:val="22"/>
              </w:rPr>
            </w:pPr>
            <w:r w:rsidRPr="00D50047">
              <w:rPr>
                <w:kern w:val="2"/>
                <w:sz w:val="22"/>
                <w:szCs w:val="22"/>
              </w:rPr>
              <w:t>0.400</w:t>
            </w:r>
          </w:p>
        </w:tc>
      </w:tr>
    </w:tbl>
    <w:p w:rsidR="00D50047" w:rsidRPr="00D50047" w:rsidRDefault="00D50047" w:rsidP="00D50047">
      <w:pPr>
        <w:rPr>
          <w:kern w:val="2"/>
          <w:sz w:val="22"/>
          <w:szCs w:val="22"/>
        </w:rPr>
      </w:pPr>
    </w:p>
    <w:p w:rsidR="00D50047" w:rsidRPr="00D50047" w:rsidRDefault="00D50047" w:rsidP="00D50047">
      <w:pPr>
        <w:rPr>
          <w:kern w:val="2"/>
          <w:sz w:val="22"/>
          <w:szCs w:val="22"/>
        </w:rPr>
      </w:pPr>
    </w:p>
    <w:p w:rsidR="00D50047" w:rsidRPr="00D50047" w:rsidRDefault="00D50047" w:rsidP="00D50047">
      <w:pPr>
        <w:rPr>
          <w:kern w:val="2"/>
          <w:sz w:val="22"/>
          <w:szCs w:val="22"/>
        </w:rPr>
      </w:pPr>
    </w:p>
    <w:p w:rsidR="00D50047" w:rsidRPr="00D50047" w:rsidRDefault="00D50047" w:rsidP="00D50047">
      <w:pPr>
        <w:rPr>
          <w:kern w:val="2"/>
          <w:sz w:val="22"/>
          <w:szCs w:val="22"/>
        </w:rPr>
      </w:pPr>
    </w:p>
    <w:p w:rsidR="00D50047" w:rsidRPr="00D50047" w:rsidRDefault="00D50047" w:rsidP="00D50047">
      <w:pPr>
        <w:widowControl w:val="0"/>
        <w:tabs>
          <w:tab w:val="left" w:pos="360"/>
        </w:tabs>
        <w:autoSpaceDE w:val="0"/>
        <w:autoSpaceDN w:val="0"/>
        <w:spacing w:after="120" w:line="247" w:lineRule="auto"/>
        <w:ind w:left="1800"/>
        <w:rPr>
          <w:kern w:val="2"/>
          <w:sz w:val="22"/>
          <w:szCs w:val="22"/>
        </w:rPr>
      </w:pPr>
      <w:r w:rsidRPr="00D50047">
        <w:rPr>
          <w:rFonts w:eastAsia="Calibri"/>
          <w:sz w:val="22"/>
          <w:szCs w:val="22"/>
          <w:shd w:val="clear" w:color="auto" w:fill="FFFFFF"/>
        </w:rPr>
        <w:t>After 72</w:t>
      </w:r>
      <w:r w:rsidRPr="00D50047">
        <w:rPr>
          <w:sz w:val="22"/>
          <w:szCs w:val="22"/>
          <w:shd w:val="clear" w:color="auto" w:fill="FFFFFF"/>
        </w:rPr>
        <w:t>-hour</w:t>
      </w:r>
      <w:r w:rsidRPr="00D50047">
        <w:rPr>
          <w:rFonts w:eastAsia="Calibri"/>
          <w:sz w:val="22"/>
          <w:szCs w:val="22"/>
          <w:shd w:val="clear" w:color="auto" w:fill="FFFFFF"/>
        </w:rPr>
        <w:t xml:space="preserve"> QUV exposure 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 xml:space="preserve">per ASTM G-154 </w:t>
      </w:r>
      <w:r w:rsidRPr="00D50047">
        <w:rPr>
          <w:rFonts w:eastAsia="Calibri"/>
          <w:sz w:val="22"/>
          <w:szCs w:val="22"/>
          <w:shd w:val="clear" w:color="auto" w:fill="FFFFFF"/>
        </w:rPr>
        <w:t>with a UVA-340 Lamp at an irradiance of 0.89 W/m2/nm with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alternating cycles of 4 hours U.V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@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140º F,</w:t>
      </w:r>
      <w:r w:rsidRPr="00D50047">
        <w:rPr>
          <w:rStyle w:val="apple-converted-space"/>
          <w:rFonts w:eastAsia="Calibri"/>
          <w:sz w:val="22"/>
          <w:szCs w:val="22"/>
          <w:shd w:val="clear" w:color="auto" w:fill="FFFFFF"/>
        </w:rPr>
        <w:t> </w:t>
      </w:r>
      <w:r w:rsidRPr="00D50047">
        <w:rPr>
          <w:rFonts w:eastAsia="Calibri"/>
          <w:sz w:val="22"/>
          <w:szCs w:val="22"/>
          <w:shd w:val="clear" w:color="auto" w:fill="FFFFFF"/>
        </w:rPr>
        <w:t>and</w:t>
      </w:r>
      <w:r w:rsidRPr="00D50047">
        <w:rPr>
          <w:sz w:val="22"/>
          <w:szCs w:val="22"/>
          <w:shd w:val="clear" w:color="auto" w:fill="FFFFFF"/>
        </w:rPr>
        <w:t> 4 hours humidity</w:t>
      </w:r>
      <w:r w:rsidRPr="00D50047">
        <w:rPr>
          <w:rStyle w:val="apple-converted-space"/>
          <w:sz w:val="22"/>
          <w:szCs w:val="22"/>
          <w:shd w:val="clear" w:color="auto" w:fill="FFFFFF"/>
        </w:rPr>
        <w:t> </w:t>
      </w:r>
      <w:r w:rsidRPr="00D50047">
        <w:rPr>
          <w:sz w:val="22"/>
          <w:szCs w:val="22"/>
          <w:shd w:val="clear" w:color="auto" w:fill="FFFFFF"/>
        </w:rPr>
        <w:t>@ 122º</w:t>
      </w:r>
      <w:r w:rsidRPr="00D50047">
        <w:rPr>
          <w:sz w:val="22"/>
          <w:szCs w:val="22"/>
          <w:shd w:val="clear" w:color="auto" w:fill="FFFFFF"/>
          <w:vertAlign w:val="superscript"/>
        </w:rPr>
        <w:t xml:space="preserve"> </w:t>
      </w:r>
      <w:r w:rsidRPr="00D50047">
        <w:rPr>
          <w:sz w:val="22"/>
          <w:szCs w:val="22"/>
          <w:shd w:val="clear" w:color="auto" w:fill="FFFFFF"/>
        </w:rPr>
        <w:t xml:space="preserve">F </w:t>
      </w:r>
      <w:r w:rsidRPr="00D50047">
        <w:rPr>
          <w:rFonts w:eastAsia="Calibri"/>
          <w:sz w:val="22"/>
          <w:szCs w:val="22"/>
          <w:shd w:val="clear" w:color="auto" w:fill="FFFFFF"/>
        </w:rPr>
        <w:t xml:space="preserve">the </w:t>
      </w:r>
      <w:r w:rsidRPr="00D50047">
        <w:rPr>
          <w:sz w:val="22"/>
          <w:szCs w:val="22"/>
          <w:shd w:val="clear" w:color="auto" w:fill="FFFFFF"/>
        </w:rPr>
        <w:t>Yellow shall fall within the initial chromaticity coordinates stated above.</w:t>
      </w:r>
    </w:p>
    <w:p w:rsidR="00D50047" w:rsidRPr="00D50047" w:rsidRDefault="00D50047" w:rsidP="00D50047">
      <w:pPr>
        <w:widowControl w:val="0"/>
        <w:tabs>
          <w:tab w:val="left" w:pos="360"/>
        </w:tabs>
        <w:autoSpaceDE w:val="0"/>
        <w:autoSpaceDN w:val="0"/>
        <w:spacing w:after="120" w:line="247" w:lineRule="auto"/>
        <w:ind w:left="45"/>
        <w:rPr>
          <w:kern w:val="2"/>
          <w:sz w:val="22"/>
          <w:szCs w:val="22"/>
        </w:rPr>
      </w:pPr>
    </w:p>
    <w:p w:rsidR="00057C08" w:rsidRPr="00D50047" w:rsidRDefault="00057C08" w:rsidP="00D50047">
      <w:pPr>
        <w:pStyle w:val="ListParagraph"/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120" w:line="247" w:lineRule="auto"/>
        <w:rPr>
          <w:rFonts w:ascii="Times New Roman" w:hAnsi="Times New Roman"/>
          <w:kern w:val="2"/>
        </w:rPr>
      </w:pPr>
      <w:r w:rsidRPr="00D50047">
        <w:rPr>
          <w:rFonts w:ascii="Times New Roman" w:hAnsi="Times New Roman"/>
          <w:i/>
          <w:iCs/>
          <w:kern w:val="2"/>
        </w:rPr>
        <w:t xml:space="preserve">Abrasion Resistance. </w:t>
      </w:r>
      <w:r w:rsidRPr="00D50047">
        <w:rPr>
          <w:rFonts w:ascii="Times New Roman" w:hAnsi="Times New Roman"/>
          <w:kern w:val="2"/>
        </w:rPr>
        <w:t xml:space="preserve"> The abrasion resistance shall be evaluated on Taber Abrader with a 1000 gram load and CS-17 wheels. The duration of the test shall be 1000 cycles. The wear index shall be calculated based on ASTM test method C-501 and the wear index for the catalyzed material shall not be more than </w:t>
      </w:r>
      <w:r w:rsidR="001D5870" w:rsidRPr="00D50047">
        <w:rPr>
          <w:rFonts w:ascii="Times New Roman" w:hAnsi="Times New Roman"/>
          <w:kern w:val="2"/>
        </w:rPr>
        <w:t>60</w:t>
      </w:r>
      <w:r w:rsidRPr="00D50047">
        <w:rPr>
          <w:rFonts w:ascii="Times New Roman" w:hAnsi="Times New Roman"/>
          <w:kern w:val="2"/>
        </w:rPr>
        <w:t xml:space="preserve">. The tests shall be run on cured samples of material which have been applied at film thickness of 15 ± ½ mils to code S-16 stainless steel plates. The samples shall be allowed to cure at 75 ± 2 °F for a minimum of </w:t>
      </w:r>
      <w:r w:rsidR="00EB70EE" w:rsidRPr="00D50047">
        <w:rPr>
          <w:rFonts w:ascii="Times New Roman" w:hAnsi="Times New Roman"/>
          <w:kern w:val="2"/>
        </w:rPr>
        <w:t xml:space="preserve">72 </w:t>
      </w:r>
      <w:r w:rsidRPr="00D50047">
        <w:rPr>
          <w:rFonts w:ascii="Times New Roman" w:hAnsi="Times New Roman"/>
          <w:kern w:val="2"/>
        </w:rPr>
        <w:t>hours prior to performing the indicated tests.</w:t>
      </w:r>
    </w:p>
    <w:sectPr w:rsidR="00057C08" w:rsidRPr="00D50047" w:rsidSect="003C3F1C">
      <w:pgSz w:w="12240" w:h="15840" w:code="1"/>
      <w:pgMar w:top="720" w:right="1080" w:bottom="72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2D" w:rsidRDefault="00EF0C2D" w:rsidP="00F878BD">
      <w:r>
        <w:separator/>
      </w:r>
    </w:p>
  </w:endnote>
  <w:endnote w:type="continuationSeparator" w:id="0">
    <w:p w:rsidR="00EF0C2D" w:rsidRDefault="00EF0C2D" w:rsidP="00F8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spac821 BT">
    <w:altName w:val="Consolas"/>
    <w:charset w:val="00"/>
    <w:family w:val="modern"/>
    <w:pitch w:val="fixed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2D" w:rsidRDefault="00EF0C2D" w:rsidP="00F878BD">
      <w:r>
        <w:separator/>
      </w:r>
    </w:p>
  </w:footnote>
  <w:footnote w:type="continuationSeparator" w:id="0">
    <w:p w:rsidR="00EF0C2D" w:rsidRDefault="00EF0C2D" w:rsidP="00F8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079A5"/>
    <w:multiLevelType w:val="singleLevel"/>
    <w:tmpl w:val="E1368ADC"/>
    <w:lvl w:ilvl="0">
      <w:start w:val="1"/>
      <w:numFmt w:val="lowerLetter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1FF481A"/>
    <w:multiLevelType w:val="hybridMultilevel"/>
    <w:tmpl w:val="3D16D100"/>
    <w:lvl w:ilvl="0" w:tplc="7496407C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04F6014E"/>
    <w:multiLevelType w:val="hybridMultilevel"/>
    <w:tmpl w:val="9A58CFCE"/>
    <w:lvl w:ilvl="0" w:tplc="EAF445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897927"/>
    <w:multiLevelType w:val="hybridMultilevel"/>
    <w:tmpl w:val="7E90C924"/>
    <w:lvl w:ilvl="0" w:tplc="C9321608">
      <w:start w:val="6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45D5BE8"/>
    <w:multiLevelType w:val="hybridMultilevel"/>
    <w:tmpl w:val="1BF049B4"/>
    <w:lvl w:ilvl="0" w:tplc="6764DDD8">
      <w:start w:val="12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1739C"/>
    <w:multiLevelType w:val="hybridMultilevel"/>
    <w:tmpl w:val="D03415C2"/>
    <w:lvl w:ilvl="0" w:tplc="5394AC06">
      <w:start w:val="1"/>
      <w:numFmt w:val="decimal"/>
      <w:lvlText w:val="(%1)"/>
      <w:lvlJc w:val="left"/>
      <w:pPr>
        <w:ind w:left="180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8DB72B1"/>
    <w:multiLevelType w:val="hybridMultilevel"/>
    <w:tmpl w:val="2BA6D616"/>
    <w:lvl w:ilvl="0" w:tplc="CE20291A">
      <w:start w:val="6"/>
      <w:numFmt w:val="lowerLetter"/>
      <w:lvlText w:val="(%1)"/>
      <w:lvlJc w:val="left"/>
      <w:pPr>
        <w:ind w:left="405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303FF"/>
    <w:multiLevelType w:val="hybridMultilevel"/>
    <w:tmpl w:val="FBC2DDB8"/>
    <w:lvl w:ilvl="0" w:tplc="1A742D38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47647B78"/>
    <w:multiLevelType w:val="singleLevel"/>
    <w:tmpl w:val="F0A4644E"/>
    <w:lvl w:ilvl="0">
      <w:start w:val="3"/>
      <w:numFmt w:val="upperLetter"/>
      <w:lvlText w:val="%1."/>
      <w:lvlJc w:val="left"/>
      <w:pPr>
        <w:tabs>
          <w:tab w:val="num" w:pos="1290"/>
        </w:tabs>
        <w:ind w:left="1290" w:hanging="420"/>
      </w:pPr>
      <w:rPr>
        <w:rFonts w:hint="default"/>
      </w:rPr>
    </w:lvl>
  </w:abstractNum>
  <w:abstractNum w:abstractNumId="9">
    <w:nsid w:val="50BD3B32"/>
    <w:multiLevelType w:val="hybridMultilevel"/>
    <w:tmpl w:val="9DCE7726"/>
    <w:lvl w:ilvl="0" w:tplc="8ABCB4AC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31AF9"/>
    <w:multiLevelType w:val="hybridMultilevel"/>
    <w:tmpl w:val="F5BE33B2"/>
    <w:lvl w:ilvl="0" w:tplc="04BC08B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6A41CC5"/>
    <w:multiLevelType w:val="hybridMultilevel"/>
    <w:tmpl w:val="7E760C22"/>
    <w:lvl w:ilvl="0" w:tplc="2F8EB7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209A7"/>
    <w:multiLevelType w:val="hybridMultilevel"/>
    <w:tmpl w:val="1FEAA762"/>
    <w:lvl w:ilvl="0" w:tplc="5F9AF640">
      <w:start w:val="1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03776"/>
    <w:multiLevelType w:val="hybridMultilevel"/>
    <w:tmpl w:val="3D28B9EE"/>
    <w:lvl w:ilvl="0" w:tplc="CE02AF36">
      <w:start w:val="6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85457"/>
    <w:multiLevelType w:val="hybridMultilevel"/>
    <w:tmpl w:val="22905BBE"/>
    <w:lvl w:ilvl="0" w:tplc="16BC99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C705AA"/>
    <w:multiLevelType w:val="hybridMultilevel"/>
    <w:tmpl w:val="F4F6048A"/>
    <w:lvl w:ilvl="0" w:tplc="89866AC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34ACA"/>
    <w:multiLevelType w:val="hybridMultilevel"/>
    <w:tmpl w:val="DEB434B0"/>
    <w:lvl w:ilvl="0" w:tplc="CE94BACC">
      <w:start w:val="7"/>
      <w:numFmt w:val="lowerLetter"/>
      <w:lvlText w:val="(%1)"/>
      <w:lvlJc w:val="left"/>
      <w:pPr>
        <w:ind w:left="405" w:hanging="360"/>
      </w:pPr>
      <w:rPr>
        <w:rFonts w:hint="default"/>
        <w:strike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3228E2"/>
    <w:multiLevelType w:val="hybridMultilevel"/>
    <w:tmpl w:val="2A22AFC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"/>
  </w:num>
  <w:num w:numId="5">
    <w:abstractNumId w:val="10"/>
  </w:num>
  <w:num w:numId="6">
    <w:abstractNumId w:val="14"/>
  </w:num>
  <w:num w:numId="7">
    <w:abstractNumId w:val="5"/>
  </w:num>
  <w:num w:numId="8">
    <w:abstractNumId w:val="11"/>
  </w:num>
  <w:num w:numId="9">
    <w:abstractNumId w:val="3"/>
  </w:num>
  <w:num w:numId="10">
    <w:abstractNumId w:val="17"/>
  </w:num>
  <w:num w:numId="11">
    <w:abstractNumId w:val="9"/>
  </w:num>
  <w:num w:numId="12">
    <w:abstractNumId w:val="6"/>
  </w:num>
  <w:num w:numId="13">
    <w:abstractNumId w:val="16"/>
  </w:num>
  <w:num w:numId="14">
    <w:abstractNumId w:val="4"/>
  </w:num>
  <w:num w:numId="15">
    <w:abstractNumId w:val="13"/>
  </w:num>
  <w:num w:numId="16">
    <w:abstractNumId w:val="2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A4"/>
    <w:rsid w:val="000225FA"/>
    <w:rsid w:val="00057C08"/>
    <w:rsid w:val="00084BC5"/>
    <w:rsid w:val="000A5937"/>
    <w:rsid w:val="000C3C6B"/>
    <w:rsid w:val="000E3C78"/>
    <w:rsid w:val="00165557"/>
    <w:rsid w:val="001C3F85"/>
    <w:rsid w:val="001D5870"/>
    <w:rsid w:val="00230276"/>
    <w:rsid w:val="00256ACC"/>
    <w:rsid w:val="0028667C"/>
    <w:rsid w:val="00312272"/>
    <w:rsid w:val="003162A2"/>
    <w:rsid w:val="0036283D"/>
    <w:rsid w:val="00372172"/>
    <w:rsid w:val="003823FC"/>
    <w:rsid w:val="0039121C"/>
    <w:rsid w:val="003C3F1C"/>
    <w:rsid w:val="003E3AE2"/>
    <w:rsid w:val="00423F47"/>
    <w:rsid w:val="004249F3"/>
    <w:rsid w:val="0043106B"/>
    <w:rsid w:val="0043236A"/>
    <w:rsid w:val="00441D2F"/>
    <w:rsid w:val="004B09DE"/>
    <w:rsid w:val="004D5893"/>
    <w:rsid w:val="004E3019"/>
    <w:rsid w:val="004E305D"/>
    <w:rsid w:val="0056039E"/>
    <w:rsid w:val="00572D1D"/>
    <w:rsid w:val="006B1A52"/>
    <w:rsid w:val="00706DF8"/>
    <w:rsid w:val="0071231C"/>
    <w:rsid w:val="00726A77"/>
    <w:rsid w:val="00771490"/>
    <w:rsid w:val="007735BF"/>
    <w:rsid w:val="007854AB"/>
    <w:rsid w:val="00814549"/>
    <w:rsid w:val="00870736"/>
    <w:rsid w:val="008B3BFC"/>
    <w:rsid w:val="008C59FF"/>
    <w:rsid w:val="008D4DE9"/>
    <w:rsid w:val="00923AF8"/>
    <w:rsid w:val="00935172"/>
    <w:rsid w:val="00935ABF"/>
    <w:rsid w:val="00973ADE"/>
    <w:rsid w:val="00973DFA"/>
    <w:rsid w:val="00987248"/>
    <w:rsid w:val="009B3EF3"/>
    <w:rsid w:val="009F3FE4"/>
    <w:rsid w:val="00A14275"/>
    <w:rsid w:val="00A52900"/>
    <w:rsid w:val="00A7142E"/>
    <w:rsid w:val="00A73269"/>
    <w:rsid w:val="00A76618"/>
    <w:rsid w:val="00A92397"/>
    <w:rsid w:val="00AA36CC"/>
    <w:rsid w:val="00AA5BEB"/>
    <w:rsid w:val="00AC7AF4"/>
    <w:rsid w:val="00B03922"/>
    <w:rsid w:val="00B25927"/>
    <w:rsid w:val="00B861D7"/>
    <w:rsid w:val="00B91FF1"/>
    <w:rsid w:val="00C260DE"/>
    <w:rsid w:val="00C93280"/>
    <w:rsid w:val="00CF79EE"/>
    <w:rsid w:val="00D16104"/>
    <w:rsid w:val="00D50047"/>
    <w:rsid w:val="00D965A3"/>
    <w:rsid w:val="00DC47C5"/>
    <w:rsid w:val="00DE7DCD"/>
    <w:rsid w:val="00E647BB"/>
    <w:rsid w:val="00E85CC9"/>
    <w:rsid w:val="00EA7A41"/>
    <w:rsid w:val="00EB70EE"/>
    <w:rsid w:val="00EF0C2D"/>
    <w:rsid w:val="00EF1243"/>
    <w:rsid w:val="00F605A4"/>
    <w:rsid w:val="00F878BD"/>
    <w:rsid w:val="00FA2E1A"/>
    <w:rsid w:val="00FE63DE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1FCC93D-9AA7-415A-AF78-572F503F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FFFFFF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76618"/>
    <w:pPr>
      <w:keepNext/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</w:tabs>
      <w:autoSpaceDE w:val="0"/>
      <w:autoSpaceDN w:val="0"/>
      <w:spacing w:line="264" w:lineRule="auto"/>
      <w:ind w:firstLine="2592"/>
      <w:jc w:val="both"/>
      <w:outlineLvl w:val="4"/>
    </w:pPr>
    <w:rPr>
      <w:rFonts w:ascii="Monospac821 BT" w:hAnsi="Monospac821 BT" w:cs="Monospac821 BT"/>
      <w:b/>
      <w:bCs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76618"/>
    <w:pPr>
      <w:widowControl w:val="0"/>
      <w:autoSpaceDE w:val="0"/>
      <w:autoSpaceDN w:val="0"/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 Narrow" w:hAnsi="Arial Narrow"/>
      <w:b/>
    </w:rPr>
  </w:style>
  <w:style w:type="paragraph" w:styleId="Title">
    <w:name w:val="Title"/>
    <w:basedOn w:val="Normal"/>
    <w:link w:val="TitleChar"/>
    <w:qFormat/>
    <w:pPr>
      <w:widowControl w:val="0"/>
      <w:tabs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  <w:tab w:val="left" w:pos="9072"/>
        <w:tab w:val="left" w:pos="9504"/>
        <w:tab w:val="left" w:pos="9936"/>
        <w:tab w:val="left" w:pos="10368"/>
        <w:tab w:val="left" w:pos="10800"/>
        <w:tab w:val="left" w:pos="11232"/>
      </w:tabs>
      <w:spacing w:line="240" w:lineRule="exact"/>
      <w:jc w:val="center"/>
    </w:pPr>
    <w:rPr>
      <w:b/>
      <w:noProof/>
      <w:sz w:val="22"/>
    </w:rPr>
  </w:style>
  <w:style w:type="paragraph" w:styleId="BodyTextIndent2">
    <w:name w:val="Body Text Indent 2"/>
    <w:basedOn w:val="Normal"/>
    <w:pPr>
      <w:ind w:left="360" w:hanging="432"/>
    </w:pPr>
    <w:rPr>
      <w:rFonts w:ascii="Arial" w:hAnsi="Arial"/>
    </w:rPr>
  </w:style>
  <w:style w:type="paragraph" w:styleId="BodyTextIndent">
    <w:name w:val="Body Text Indent"/>
    <w:basedOn w:val="Normal"/>
    <w:pPr>
      <w:tabs>
        <w:tab w:val="left" w:pos="450"/>
        <w:tab w:val="left" w:pos="864"/>
        <w:tab w:val="left" w:pos="1728"/>
        <w:tab w:val="left" w:pos="2160"/>
        <w:tab w:val="left" w:pos="2592"/>
        <w:tab w:val="left" w:pos="3024"/>
      </w:tabs>
      <w:ind w:left="450" w:hanging="450"/>
    </w:pPr>
    <w:rPr>
      <w:sz w:val="22"/>
    </w:rPr>
  </w:style>
  <w:style w:type="paragraph" w:styleId="BodyTextIndent3">
    <w:name w:val="Body Text Indent 3"/>
    <w:basedOn w:val="Normal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</w:tabs>
      <w:ind w:left="864" w:hanging="432"/>
      <w:jc w:val="both"/>
    </w:pPr>
    <w:rPr>
      <w:sz w:val="22"/>
    </w:rPr>
  </w:style>
  <w:style w:type="paragraph" w:styleId="Subtitle">
    <w:name w:val="Subtitle"/>
    <w:basedOn w:val="Normal"/>
    <w:qFormat/>
    <w:rsid w:val="00A76618"/>
    <w:pPr>
      <w:jc w:val="center"/>
    </w:pPr>
    <w:rPr>
      <w:b/>
      <w:bCs/>
      <w:sz w:val="24"/>
      <w:szCs w:val="24"/>
    </w:rPr>
  </w:style>
  <w:style w:type="paragraph" w:styleId="Header">
    <w:name w:val="header"/>
    <w:basedOn w:val="Normal"/>
    <w:rsid w:val="00A76618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Monospac821 BT" w:hAnsi="Monospac821 BT" w:cs="Monospac821 BT"/>
      <w:sz w:val="24"/>
      <w:szCs w:val="24"/>
    </w:rPr>
  </w:style>
  <w:style w:type="character" w:customStyle="1" w:styleId="TitleChar">
    <w:name w:val="Title Char"/>
    <w:link w:val="Title"/>
    <w:rsid w:val="00A76618"/>
    <w:rPr>
      <w:b/>
      <w:noProof/>
      <w:sz w:val="22"/>
      <w:lang w:val="en-US" w:eastAsia="en-US" w:bidi="ar-SA"/>
    </w:rPr>
  </w:style>
  <w:style w:type="paragraph" w:styleId="NoSpacing">
    <w:name w:val="No Spacing"/>
    <w:uiPriority w:val="1"/>
    <w:qFormat/>
    <w:rsid w:val="00D1610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32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rsid w:val="00057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57C08"/>
  </w:style>
  <w:style w:type="character" w:styleId="CommentReference">
    <w:name w:val="annotation reference"/>
    <w:rsid w:val="00057C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7C08"/>
  </w:style>
  <w:style w:type="character" w:customStyle="1" w:styleId="CommentTextChar">
    <w:name w:val="Comment Text Char"/>
    <w:basedOn w:val="DefaultParagraphFont"/>
    <w:link w:val="CommentText"/>
    <w:rsid w:val="00057C08"/>
  </w:style>
  <w:style w:type="paragraph" w:styleId="CommentSubject">
    <w:name w:val="annotation subject"/>
    <w:basedOn w:val="CommentText"/>
    <w:next w:val="CommentText"/>
    <w:link w:val="CommentSubjectChar"/>
    <w:rsid w:val="00057C08"/>
    <w:rPr>
      <w:b/>
      <w:bCs/>
    </w:rPr>
  </w:style>
  <w:style w:type="character" w:customStyle="1" w:styleId="CommentSubjectChar">
    <w:name w:val="Comment Subject Char"/>
    <w:link w:val="CommentSubject"/>
    <w:rsid w:val="00057C08"/>
    <w:rPr>
      <w:b/>
      <w:bCs/>
    </w:rPr>
  </w:style>
  <w:style w:type="paragraph" w:styleId="BalloonText">
    <w:name w:val="Balloon Text"/>
    <w:basedOn w:val="Normal"/>
    <w:link w:val="BalloonTextChar"/>
    <w:rsid w:val="00057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57C08"/>
    <w:rPr>
      <w:rFonts w:ascii="Tahoma" w:hAnsi="Tahoma" w:cs="Tahoma"/>
      <w:sz w:val="16"/>
      <w:szCs w:val="16"/>
    </w:rPr>
  </w:style>
  <w:style w:type="character" w:customStyle="1" w:styleId="Heading7Char">
    <w:name w:val="Heading 7 Char"/>
    <w:link w:val="Heading7"/>
    <w:rsid w:val="00057C08"/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D50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9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741F8-F532-499B-A400-18829BE6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REVIEW OF NEW SPECIFICATION OR SPECIFICATION CHANGE</vt:lpstr>
    </vt:vector>
  </TitlesOfParts>
  <Company>Staff Design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REVIEW OF NEW SPECIFICATION OR SPECIFICATION CHANGE</dc:title>
  <dc:creator>coyv</dc:creator>
  <cp:lastModifiedBy>Chevalier, Shane</cp:lastModifiedBy>
  <cp:revision>2</cp:revision>
  <cp:lastPrinted>2000-06-16T17:28:00Z</cp:lastPrinted>
  <dcterms:created xsi:type="dcterms:W3CDTF">2014-12-30T18:55:00Z</dcterms:created>
  <dcterms:modified xsi:type="dcterms:W3CDTF">2014-12-30T18:55:00Z</dcterms:modified>
</cp:coreProperties>
</file>