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A224" w14:textId="4DE63F51" w:rsidR="003B718B" w:rsidRDefault="003B718B" w:rsidP="00730C2C">
      <w:pPr>
        <w:jc w:val="center"/>
        <w:rPr>
          <w:b/>
        </w:rPr>
      </w:pPr>
      <w:r>
        <w:rPr>
          <w:b/>
        </w:rPr>
        <w:t>$</w:t>
      </w:r>
      <w:r w:rsidR="00ED66D0">
        <w:rPr>
          <w:b/>
        </w:rPr>
        <w:t>[___]</w:t>
      </w:r>
    </w:p>
    <w:p w14:paraId="754C3B9B" w14:textId="080376E8" w:rsidR="003B718B" w:rsidRDefault="003B718B" w:rsidP="003B718B">
      <w:pPr>
        <w:jc w:val="center"/>
        <w:rPr>
          <w:b/>
        </w:rPr>
      </w:pPr>
      <w:r>
        <w:rPr>
          <w:b/>
        </w:rPr>
        <w:t>Colorado Bridge and Tunnel Enterprise</w:t>
      </w:r>
      <w:r>
        <w:rPr>
          <w:b/>
        </w:rPr>
        <w:br/>
      </w:r>
      <w:r w:rsidR="00FA52E0">
        <w:rPr>
          <w:b/>
        </w:rPr>
        <w:t xml:space="preserve">Senior </w:t>
      </w:r>
      <w:r>
        <w:rPr>
          <w:b/>
        </w:rPr>
        <w:t>Revenue</w:t>
      </w:r>
      <w:r w:rsidR="00E15E03">
        <w:rPr>
          <w:b/>
        </w:rPr>
        <w:t xml:space="preserve"> Refunding</w:t>
      </w:r>
      <w:r>
        <w:rPr>
          <w:b/>
        </w:rPr>
        <w:t xml:space="preserve"> Bonds </w:t>
      </w:r>
    </w:p>
    <w:p w14:paraId="0897A52B" w14:textId="29648B77" w:rsidR="003B718B" w:rsidRDefault="00E15E03" w:rsidP="003B718B">
      <w:pPr>
        <w:jc w:val="center"/>
        <w:rPr>
          <w:b/>
        </w:rPr>
      </w:pPr>
      <w:r>
        <w:rPr>
          <w:b/>
        </w:rPr>
        <w:t>Series 2024B</w:t>
      </w:r>
    </w:p>
    <w:p w14:paraId="3CA81FD7" w14:textId="77777777" w:rsidR="003B718B" w:rsidRDefault="003B718B" w:rsidP="003B718B">
      <w:pPr>
        <w:jc w:val="center"/>
      </w:pPr>
    </w:p>
    <w:p w14:paraId="18DA3DF2" w14:textId="77777777" w:rsidR="003B718B" w:rsidRDefault="003B718B" w:rsidP="003B718B">
      <w:pPr>
        <w:jc w:val="center"/>
      </w:pPr>
      <w:r>
        <w:rPr>
          <w:b/>
        </w:rPr>
        <w:t>BOND PURCHASE AGREEMENT</w:t>
      </w:r>
    </w:p>
    <w:p w14:paraId="0787214B" w14:textId="77777777" w:rsidR="003B718B" w:rsidRDefault="003B718B" w:rsidP="003B718B">
      <w:pPr>
        <w:tabs>
          <w:tab w:val="center" w:pos="4680"/>
        </w:tabs>
      </w:pPr>
    </w:p>
    <w:p w14:paraId="6614EC72" w14:textId="1D5AFDCE" w:rsidR="003B718B" w:rsidRDefault="0079640A" w:rsidP="003B718B">
      <w:pPr>
        <w:spacing w:after="720"/>
        <w:jc w:val="center"/>
      </w:pPr>
      <w:r>
        <w:t>December [5]</w:t>
      </w:r>
      <w:r w:rsidR="003B718B">
        <w:t>, 2024</w:t>
      </w:r>
    </w:p>
    <w:p w14:paraId="4BBFC614" w14:textId="77777777" w:rsidR="003B718B" w:rsidRDefault="003B718B" w:rsidP="003B718B">
      <w:pPr>
        <w:rPr>
          <w:bCs/>
        </w:rPr>
      </w:pPr>
      <w:r>
        <w:rPr>
          <w:bCs/>
        </w:rPr>
        <w:t xml:space="preserve">Colorado Statewide Bridge </w:t>
      </w:r>
    </w:p>
    <w:p w14:paraId="171EBFFD" w14:textId="77777777" w:rsidR="003B718B" w:rsidRDefault="003B718B" w:rsidP="003B718B">
      <w:pPr>
        <w:rPr>
          <w:bCs/>
        </w:rPr>
      </w:pPr>
      <w:r>
        <w:rPr>
          <w:bCs/>
        </w:rPr>
        <w:t xml:space="preserve">  </w:t>
      </w:r>
      <w:proofErr w:type="gramStart"/>
      <w:r>
        <w:rPr>
          <w:bCs/>
        </w:rPr>
        <w:t>and</w:t>
      </w:r>
      <w:proofErr w:type="gramEnd"/>
      <w:r>
        <w:rPr>
          <w:bCs/>
        </w:rPr>
        <w:t xml:space="preserve"> Tunnel Enterprise</w:t>
      </w:r>
    </w:p>
    <w:p w14:paraId="11B814C5" w14:textId="77777777" w:rsidR="003B718B" w:rsidRDefault="003B718B" w:rsidP="003B718B">
      <w:r>
        <w:t xml:space="preserve">2829 W. Howard Place, </w:t>
      </w:r>
    </w:p>
    <w:p w14:paraId="5E018475" w14:textId="77777777" w:rsidR="003B718B" w:rsidRDefault="003B718B" w:rsidP="003B718B">
      <w:r>
        <w:t>Denver, Colorado 80204</w:t>
      </w:r>
    </w:p>
    <w:p w14:paraId="7B4373DD" w14:textId="77777777" w:rsidR="003B718B" w:rsidRDefault="003B718B" w:rsidP="003B718B">
      <w:pPr>
        <w:spacing w:after="240"/>
      </w:pPr>
    </w:p>
    <w:p w14:paraId="65C0CCAF" w14:textId="77777777" w:rsidR="003B718B" w:rsidRDefault="003B718B" w:rsidP="003B718B">
      <w:pPr>
        <w:spacing w:after="240"/>
      </w:pPr>
      <w:r>
        <w:t>Ladies and Gentlemen:</w:t>
      </w:r>
    </w:p>
    <w:p w14:paraId="307948E4" w14:textId="3C82F1E5" w:rsidR="003B718B" w:rsidRDefault="000707D0" w:rsidP="00813F44">
      <w:pPr>
        <w:pStyle w:val="BodyText"/>
      </w:pPr>
      <w:r w:rsidRPr="000707D0">
        <w:t xml:space="preserve">Wells Fargo </w:t>
      </w:r>
      <w:r w:rsidR="00813F44">
        <w:t>Bank, National Association</w:t>
      </w:r>
      <w:r w:rsidR="003B718B">
        <w:t xml:space="preserve"> on behalf of itself and as representative (the “</w:t>
      </w:r>
      <w:r w:rsidR="003B718B">
        <w:rPr>
          <w:u w:val="single"/>
        </w:rPr>
        <w:t>Representative</w:t>
      </w:r>
      <w:r w:rsidR="003B718B">
        <w:t xml:space="preserve">”) of </w:t>
      </w:r>
      <w:r w:rsidR="00A812BE" w:rsidRPr="00A812BE">
        <w:t>Jefferies LLC, Loop Capital Markets LLC, Piper Sandler &amp; Co., RBC Capital Markets LLC, and Siebert Williams Shank &amp; Co., LLC</w:t>
      </w:r>
      <w:r w:rsidR="003B718B">
        <w:t xml:space="preserve"> (collectively, with the Representative, the “</w:t>
      </w:r>
      <w:r w:rsidR="003B718B">
        <w:rPr>
          <w:u w:val="single"/>
        </w:rPr>
        <w:t>Underwriters</w:t>
      </w:r>
      <w:r w:rsidR="003B718B">
        <w:t>”) hereby offers to enter into this Bond Purchase Agreement (the “</w:t>
      </w:r>
      <w:r w:rsidR="003B718B">
        <w:rPr>
          <w:u w:val="single"/>
        </w:rPr>
        <w:t>Purchase</w:t>
      </w:r>
      <w:r w:rsidR="003B718B">
        <w:rPr>
          <w:i/>
          <w:u w:val="single"/>
        </w:rPr>
        <w:t xml:space="preserve"> </w:t>
      </w:r>
      <w:r w:rsidR="003B718B">
        <w:rPr>
          <w:u w:val="single"/>
        </w:rPr>
        <w:t>Agreement</w:t>
      </w:r>
      <w:r w:rsidR="003B718B">
        <w:t>”) with Colorado Statewide Bridge and Tunnel Enterprise</w:t>
      </w:r>
      <w:r w:rsidR="00813F44">
        <w:t>,</w:t>
      </w:r>
      <w:r w:rsidR="00813F44" w:rsidRPr="00A9196A">
        <w:rPr>
          <w:szCs w:val="24"/>
        </w:rPr>
        <w:t xml:space="preserve"> formerly known as the Colorado Bridge Enterprise</w:t>
      </w:r>
      <w:r w:rsidR="003B718B">
        <w:t xml:space="preserve"> (the “</w:t>
      </w:r>
      <w:r w:rsidR="003B718B">
        <w:rPr>
          <w:iCs/>
          <w:u w:val="single"/>
        </w:rPr>
        <w:t>Enterprise</w:t>
      </w:r>
      <w:r w:rsidR="003B718B">
        <w:t xml:space="preserve">”), a government-owned business within the Colorado Department of Transportation </w:t>
      </w:r>
      <w:r w:rsidR="009C7F3B">
        <w:t>(“</w:t>
      </w:r>
      <w:r w:rsidR="009C7F3B" w:rsidRPr="009C7F3B">
        <w:rPr>
          <w:u w:val="single"/>
        </w:rPr>
        <w:t>CDOT</w:t>
      </w:r>
      <w:r w:rsidR="009C7F3B">
        <w:t xml:space="preserve">”) </w:t>
      </w:r>
      <w:r w:rsidR="003B718B">
        <w:t>created by the Funding Advancements for Surface Transportation and Economic Recovery Act of 2009, C.R.S. title 43, article 4, part 8, as amended (“</w:t>
      </w:r>
      <w:r w:rsidR="003B718B">
        <w:rPr>
          <w:u w:val="single"/>
        </w:rPr>
        <w:t>FASTER</w:t>
      </w:r>
      <w:r w:rsidR="003B718B">
        <w:t>”)</w:t>
      </w:r>
      <w:r w:rsidR="00CB6406">
        <w:t>,</w:t>
      </w:r>
      <w:r w:rsidR="003B718B">
        <w:t xml:space="preserve"> existing under and pursuant to the laws of the State of Colorado (the “</w:t>
      </w:r>
      <w:r w:rsidR="003B718B">
        <w:rPr>
          <w:iCs/>
          <w:u w:val="single"/>
        </w:rPr>
        <w:t>State</w:t>
      </w:r>
      <w:r w:rsidR="003B718B">
        <w:t xml:space="preserve">”), whereby the Underwriters will purchase and the Enterprise will sell the Bonds (as defined and described below).  The Underwriters are making this offer subject to the acceptance </w:t>
      </w:r>
      <w:r w:rsidR="00675A62">
        <w:t>by the Enterprise at or before 5:00</w:t>
      </w:r>
      <w:r w:rsidR="003B718B">
        <w:t xml:space="preserve"> P.M., Mountain Standard Time, on the date hereof.  If the Enterprise accepts this Purchase Agreement, this Purchase Agreement shall be in full force and effect in accordance with its terms and shall bind both the Enterprise and the Underwriters.  The Underwriters may withdraw this Purchase Agreement upon written notice delivered by the Representative to the </w:t>
      </w:r>
      <w:r w:rsidR="003B718B" w:rsidRPr="006140F2">
        <w:t>Enterprise Representative</w:t>
      </w:r>
      <w:r w:rsidR="003B718B">
        <w:t xml:space="preserve"> at any time before the Enterprise accepts this Purchase Agreement.  Terms used but not defined in this Purchase Agreement </w:t>
      </w:r>
      <w:r w:rsidR="003B718B" w:rsidRPr="006140F2">
        <w:t xml:space="preserve">are defined in the </w:t>
      </w:r>
      <w:r w:rsidR="00294498">
        <w:t xml:space="preserve">Senior </w:t>
      </w:r>
      <w:r w:rsidR="003B718B" w:rsidRPr="006140F2">
        <w:t>Indenture (as defined below).</w:t>
      </w:r>
    </w:p>
    <w:p w14:paraId="37EE1B36" w14:textId="77777777" w:rsidR="003B718B" w:rsidRDefault="003B718B" w:rsidP="0080532E">
      <w:pPr>
        <w:pStyle w:val="Heading1"/>
        <w:keepNext w:val="0"/>
        <w:numPr>
          <w:ilvl w:val="0"/>
          <w:numId w:val="6"/>
        </w:numPr>
        <w:spacing w:before="0" w:after="240"/>
        <w:ind w:left="0"/>
        <w:jc w:val="both"/>
        <w:rPr>
          <w:rFonts w:cs="Times New Roman"/>
          <w:szCs w:val="20"/>
        </w:rPr>
      </w:pPr>
      <w:r>
        <w:rPr>
          <w:u w:val="single"/>
        </w:rPr>
        <w:t>Purchase and Sale</w:t>
      </w:r>
      <w:r>
        <w:t xml:space="preserve">.  </w:t>
      </w:r>
    </w:p>
    <w:p w14:paraId="1FC130A2" w14:textId="77777777" w:rsidR="00FC579A" w:rsidRDefault="003B718B" w:rsidP="003B718B">
      <w:pPr>
        <w:pStyle w:val="BodyText"/>
      </w:pPr>
      <w:r>
        <w:rPr>
          <w:rStyle w:val="BodyTextChar"/>
        </w:rPr>
        <w:t xml:space="preserve">Upon the terms and conditions and in reliance upon the representations, warranties and agreements herein set forth, the Underwriters hereby agree to purchase from the Enterprise, and the Enterprise hereby agrees to sell and deliver to the Underwriters, all (but not less than all) of the following bonds: </w:t>
      </w:r>
      <w:r>
        <w:t xml:space="preserve">Colorado Bridge and Tunnel Enterprise </w:t>
      </w:r>
      <w:r w:rsidR="00FA52E0">
        <w:t xml:space="preserve">Senior </w:t>
      </w:r>
      <w:r>
        <w:t xml:space="preserve">Revenue </w:t>
      </w:r>
      <w:r w:rsidR="00AE42D7">
        <w:t>Refunding Bonds, Series 2024B</w:t>
      </w:r>
      <w:r>
        <w:rPr>
          <w:rStyle w:val="BodyTextChar"/>
        </w:rPr>
        <w:t xml:space="preserve"> (the “</w:t>
      </w:r>
      <w:r>
        <w:rPr>
          <w:rStyle w:val="BodyTextChar"/>
          <w:u w:val="single"/>
        </w:rPr>
        <w:t>Bonds</w:t>
      </w:r>
      <w:r>
        <w:rPr>
          <w:rStyle w:val="BodyTextChar"/>
        </w:rPr>
        <w:t>”), at the purchase price of $</w:t>
      </w:r>
      <w:r w:rsidR="00AE42D7">
        <w:rPr>
          <w:rStyle w:val="BodyTextChar"/>
        </w:rPr>
        <w:t>[_____]</w:t>
      </w:r>
      <w:r>
        <w:rPr>
          <w:rStyle w:val="BodyTextChar"/>
        </w:rPr>
        <w:t>, representing the aggregate principal amount of the Bonds</w:t>
      </w:r>
      <w:r w:rsidR="0057625A">
        <w:rPr>
          <w:rStyle w:val="BodyTextChar"/>
        </w:rPr>
        <w:t>,</w:t>
      </w:r>
      <w:r>
        <w:rPr>
          <w:rStyle w:val="BodyTextChar"/>
        </w:rPr>
        <w:t xml:space="preserve"> </w:t>
      </w:r>
      <w:r w:rsidR="00AE42D7">
        <w:rPr>
          <w:rStyle w:val="BodyTextChar"/>
        </w:rPr>
        <w:t>[</w:t>
      </w:r>
      <w:r w:rsidR="001908F7">
        <w:rPr>
          <w:rStyle w:val="BodyTextChar"/>
        </w:rPr>
        <w:t>plus</w:t>
      </w:r>
      <w:r w:rsidR="00AE42D7">
        <w:rPr>
          <w:rStyle w:val="BodyTextChar"/>
        </w:rPr>
        <w:t>/less]</w:t>
      </w:r>
      <w:r w:rsidR="001908F7">
        <w:rPr>
          <w:rStyle w:val="BodyTextChar"/>
        </w:rPr>
        <w:t xml:space="preserve"> </w:t>
      </w:r>
      <w:r w:rsidR="00AE42D7">
        <w:rPr>
          <w:rStyle w:val="BodyTextChar"/>
        </w:rPr>
        <w:t xml:space="preserve">[net] </w:t>
      </w:r>
      <w:r w:rsidR="001908F7">
        <w:rPr>
          <w:rStyle w:val="BodyTextChar"/>
        </w:rPr>
        <w:t xml:space="preserve">original issue </w:t>
      </w:r>
      <w:r w:rsidR="00AE42D7">
        <w:rPr>
          <w:rStyle w:val="BodyTextChar"/>
        </w:rPr>
        <w:t>[</w:t>
      </w:r>
      <w:r w:rsidR="001908F7">
        <w:rPr>
          <w:rStyle w:val="BodyTextChar"/>
        </w:rPr>
        <w:t>premium</w:t>
      </w:r>
      <w:r w:rsidR="00AE42D7">
        <w:rPr>
          <w:rStyle w:val="BodyTextChar"/>
        </w:rPr>
        <w:t>/discount]</w:t>
      </w:r>
      <w:r w:rsidR="001908F7">
        <w:rPr>
          <w:rStyle w:val="BodyTextChar"/>
        </w:rPr>
        <w:t xml:space="preserve"> of $</w:t>
      </w:r>
      <w:r w:rsidR="00AE42D7">
        <w:rPr>
          <w:rStyle w:val="BodyTextChar"/>
        </w:rPr>
        <w:t>[_____]</w:t>
      </w:r>
      <w:r w:rsidR="001908F7">
        <w:rPr>
          <w:rStyle w:val="BodyTextChar"/>
        </w:rPr>
        <w:t xml:space="preserve"> </w:t>
      </w:r>
      <w:r w:rsidR="0057625A">
        <w:rPr>
          <w:rStyle w:val="BodyTextChar"/>
        </w:rPr>
        <w:t xml:space="preserve">and </w:t>
      </w:r>
      <w:r>
        <w:rPr>
          <w:rStyle w:val="BodyTextChar"/>
        </w:rPr>
        <w:t>less an Under</w:t>
      </w:r>
      <w:r w:rsidR="00730C2C">
        <w:rPr>
          <w:rStyle w:val="BodyTextChar"/>
        </w:rPr>
        <w:t>writer’s discount of $</w:t>
      </w:r>
      <w:r w:rsidR="00AE42D7">
        <w:rPr>
          <w:rStyle w:val="BodyTextChar"/>
        </w:rPr>
        <w:t>[_____]</w:t>
      </w:r>
      <w:r>
        <w:rPr>
          <w:rStyle w:val="BodyTextChar"/>
        </w:rPr>
        <w:t xml:space="preserve">.  </w:t>
      </w:r>
      <w:r>
        <w:t xml:space="preserve">The Underwriters intend to make an initial public offering of </w:t>
      </w:r>
      <w:r>
        <w:lastRenderedPageBreak/>
        <w:t xml:space="preserve">the Bonds at a price or prices described in </w:t>
      </w:r>
      <w:r w:rsidRPr="00352971">
        <w:rPr>
          <w:u w:val="single"/>
        </w:rPr>
        <w:t>Schedule I</w:t>
      </w:r>
      <w:r>
        <w:t xml:space="preserve"> hereto; provided, however, the Underwriters reserve the right to change such initial public offering prices as the Underwriters deem necessary or desirable, in their sole discretion, in connection with the marketing of the Bonds (but in all cases subject to the requirements of Section 4 hereof), and may offer and sell the Bonds to certain dealers, unit investment trusts and money market funds, certain of which may be sponsored or managed by one or more of the Underwriters at prices lower than the public offering prices or yields greater than the yields set forth therein (but in all cases subject to the requirements of Section 4 hereof). </w:t>
      </w:r>
      <w:r w:rsidR="00283366">
        <w:t>The Underwriters all reserve the right to (i) over-allot or effect transactions which stabilize or maintain the market price of the Bonds at levels above those that might otherwise prevail in the open market and (ii) discontinue such stabilizing, if commenced, at any time without prior notice.</w:t>
      </w:r>
    </w:p>
    <w:p w14:paraId="634E7D9C" w14:textId="33C821B0" w:rsidR="003B718B" w:rsidRDefault="003B718B" w:rsidP="003B718B">
      <w:pPr>
        <w:pStyle w:val="BodyText"/>
      </w:pPr>
      <w:r>
        <w:t xml:space="preserve">The Enterprise acknowledges and agrees that: (i) the Underwriters are not acting as a municipal advisor within the meaning of Section 15B of the Securities Exchange Act, as amended, (ii) the primary role of the Underwriters, as underwriters, is to purchase securities, for resale to investors, in an arm’s length commercial transaction between the Enterprise and the Underwriters and the Underwriters have financial and other interests that differ from those of the Enterprise; (iii) the Underwriters are acting solely as principals and are not acting as municipal advisors, financial advisors or fiduciaries to the Enterprise and have not assumed any advisory or fiduciary responsibility to the Enterprise with respect to the transaction contemplated hereby and the discussions, undertakings and procedures leading thereto (irrespective of whether the Underwriters </w:t>
      </w:r>
      <w:r w:rsidR="00BA5C59">
        <w:t xml:space="preserve">or any of their affiliates </w:t>
      </w:r>
      <w:r>
        <w:t xml:space="preserve">have provided other services or are currently providing other services to the Enterprise on other matters); (iv) the only obligations the Underwriters have to the Enterprise with respect to the transaction contemplated hereby are </w:t>
      </w:r>
      <w:r w:rsidR="00AE42D7">
        <w:t xml:space="preserve">expressly </w:t>
      </w:r>
      <w:r>
        <w:t xml:space="preserve">set forth in this Purchase Agreement; and (v) the Enterprise has consulted its own financial and/or municipal, legal, </w:t>
      </w:r>
      <w:proofErr w:type="gramStart"/>
      <w:r>
        <w:t>accounting</w:t>
      </w:r>
      <w:proofErr w:type="gramEnd"/>
      <w:r>
        <w:t>, tax and other advisors, as applicable, to the extent it has deemed appropriate.</w:t>
      </w:r>
    </w:p>
    <w:p w14:paraId="5535B3B2" w14:textId="77777777" w:rsidR="003B718B" w:rsidRDefault="003B718B" w:rsidP="0080532E">
      <w:pPr>
        <w:pStyle w:val="Heading1"/>
        <w:keepNext w:val="0"/>
        <w:numPr>
          <w:ilvl w:val="0"/>
          <w:numId w:val="6"/>
        </w:numPr>
        <w:spacing w:before="0" w:after="240"/>
        <w:ind w:left="0"/>
        <w:jc w:val="both"/>
        <w:rPr>
          <w:rFonts w:cs="Times New Roman"/>
          <w:szCs w:val="20"/>
        </w:rPr>
      </w:pPr>
      <w:r>
        <w:rPr>
          <w:u w:val="single"/>
        </w:rPr>
        <w:t>Description and Purpose of the Bonds</w:t>
      </w:r>
      <w:r>
        <w:t xml:space="preserve">.  </w:t>
      </w:r>
    </w:p>
    <w:p w14:paraId="51898129" w14:textId="79BC8199" w:rsidR="001E74CC" w:rsidRDefault="003B718B" w:rsidP="00054EFC">
      <w:pPr>
        <w:pStyle w:val="BodyText"/>
        <w:rPr>
          <w:rStyle w:val="BodyTextChar"/>
        </w:rPr>
      </w:pPr>
      <w:r>
        <w:rPr>
          <w:rStyle w:val="BodyTextChar"/>
        </w:rPr>
        <w:t>The Bonds have been authorized pursuant to FASTER</w:t>
      </w:r>
      <w:r w:rsidR="00AE42D7">
        <w:rPr>
          <w:rStyle w:val="BodyTextChar"/>
        </w:rPr>
        <w:t>,</w:t>
      </w:r>
      <w:r>
        <w:rPr>
          <w:rStyle w:val="BodyTextChar"/>
        </w:rPr>
        <w:t xml:space="preserve"> the </w:t>
      </w:r>
      <w:r>
        <w:t>Supplemental Public Securities Act, C.R.S. title 11, article 57, part 2, as amended (the “</w:t>
      </w:r>
      <w:r>
        <w:rPr>
          <w:rStyle w:val="BodyTextChar"/>
          <w:u w:val="single"/>
        </w:rPr>
        <w:t>Supplemental Securities Act</w:t>
      </w:r>
      <w:r>
        <w:rPr>
          <w:rStyle w:val="BodyTextChar"/>
        </w:rPr>
        <w:t>”</w:t>
      </w:r>
      <w:r w:rsidR="00AE42D7">
        <w:rPr>
          <w:rStyle w:val="BodyTextChar"/>
        </w:rPr>
        <w:t>),</w:t>
      </w:r>
      <w:r w:rsidR="00054EFC">
        <w:rPr>
          <w:rStyle w:val="BodyTextChar"/>
        </w:rPr>
        <w:t xml:space="preserve"> </w:t>
      </w:r>
      <w:r w:rsidR="00AE42D7">
        <w:rPr>
          <w:rStyle w:val="BodyTextChar"/>
        </w:rPr>
        <w:t>the Public Securities Refunding Act, C.R.S. title 11, article 56, as amended (the “</w:t>
      </w:r>
      <w:r w:rsidR="00AE42D7" w:rsidRPr="00054EFC">
        <w:rPr>
          <w:rStyle w:val="BodyTextChar"/>
          <w:u w:val="single"/>
        </w:rPr>
        <w:t>Refunding Act</w:t>
      </w:r>
      <w:r w:rsidR="00AE42D7">
        <w:rPr>
          <w:rStyle w:val="BodyTextChar"/>
        </w:rPr>
        <w:t>”</w:t>
      </w:r>
      <w:r w:rsidR="00CF2972">
        <w:rPr>
          <w:rStyle w:val="BodyTextChar"/>
        </w:rPr>
        <w:t xml:space="preserve"> </w:t>
      </w:r>
      <w:r w:rsidR="00054EFC" w:rsidRPr="00054EFC">
        <w:t>and together with FASTER, the “</w:t>
      </w:r>
      <w:r w:rsidR="00054EFC" w:rsidRPr="00054EFC">
        <w:rPr>
          <w:u w:val="single"/>
        </w:rPr>
        <w:t>Act</w:t>
      </w:r>
      <w:r w:rsidR="00054EFC" w:rsidRPr="00054EFC">
        <w:t>”)</w:t>
      </w:r>
      <w:r w:rsidR="00054EFC">
        <w:t xml:space="preserve"> </w:t>
      </w:r>
      <w:r w:rsidR="00AE42D7">
        <w:rPr>
          <w:rStyle w:val="BodyTextChar"/>
        </w:rPr>
        <w:t>and R</w:t>
      </w:r>
      <w:r>
        <w:rPr>
          <w:rStyle w:val="BodyTextChar"/>
        </w:rPr>
        <w:t>esolution</w:t>
      </w:r>
      <w:r w:rsidR="00AE42D7">
        <w:rPr>
          <w:rStyle w:val="BodyTextChar"/>
        </w:rPr>
        <w:t xml:space="preserve"> #B</w:t>
      </w:r>
      <w:r w:rsidR="00376C9F">
        <w:rPr>
          <w:rStyle w:val="BodyTextChar"/>
        </w:rPr>
        <w:t>E</w:t>
      </w:r>
      <w:r w:rsidR="00AE42D7">
        <w:rPr>
          <w:rStyle w:val="BodyTextChar"/>
        </w:rPr>
        <w:t>-2</w:t>
      </w:r>
      <w:r w:rsidR="00376C9F">
        <w:rPr>
          <w:rStyle w:val="BodyTextChar"/>
        </w:rPr>
        <w:t>4</w:t>
      </w:r>
      <w:r w:rsidR="00AE42D7">
        <w:rPr>
          <w:rStyle w:val="BodyTextChar"/>
        </w:rPr>
        <w:t>-[__]-[__]</w:t>
      </w:r>
      <w:r w:rsidR="00376C9F">
        <w:rPr>
          <w:rStyle w:val="BodyTextChar"/>
        </w:rPr>
        <w:t xml:space="preserve"> </w:t>
      </w:r>
      <w:r>
        <w:rPr>
          <w:rStyle w:val="BodyTextChar"/>
        </w:rPr>
        <w:t>adop</w:t>
      </w:r>
      <w:r w:rsidR="00FA52E0">
        <w:rPr>
          <w:rStyle w:val="BodyTextChar"/>
        </w:rPr>
        <w:t>ted by the</w:t>
      </w:r>
      <w:r w:rsidR="006140F2">
        <w:rPr>
          <w:rStyle w:val="BodyTextChar"/>
        </w:rPr>
        <w:t xml:space="preserve"> Board of Directors of the Enterprise (the “</w:t>
      </w:r>
      <w:r w:rsidR="00FA52E0" w:rsidRPr="006140F2">
        <w:rPr>
          <w:rStyle w:val="BodyTextChar"/>
          <w:u w:val="single"/>
        </w:rPr>
        <w:t>Enterprise Board</w:t>
      </w:r>
      <w:r w:rsidR="006140F2">
        <w:rPr>
          <w:rStyle w:val="BodyTextChar"/>
        </w:rPr>
        <w:t>”)</w:t>
      </w:r>
      <w:r w:rsidR="00FA52E0">
        <w:rPr>
          <w:rStyle w:val="BodyTextChar"/>
        </w:rPr>
        <w:t xml:space="preserve"> on </w:t>
      </w:r>
      <w:r w:rsidR="00AE42D7">
        <w:rPr>
          <w:rStyle w:val="BodyTextChar"/>
        </w:rPr>
        <w:t>November</w:t>
      </w:r>
      <w:r w:rsidR="0038383A">
        <w:rPr>
          <w:rStyle w:val="BodyTextChar"/>
        </w:rPr>
        <w:t xml:space="preserve"> </w:t>
      </w:r>
      <w:r w:rsidR="00AE42D7">
        <w:rPr>
          <w:rStyle w:val="BodyTextChar"/>
        </w:rPr>
        <w:t>[</w:t>
      </w:r>
      <w:r w:rsidR="00CF2972">
        <w:rPr>
          <w:rStyle w:val="BodyTextChar"/>
        </w:rPr>
        <w:t>21</w:t>
      </w:r>
      <w:r w:rsidR="00AE42D7">
        <w:rPr>
          <w:rStyle w:val="BodyTextChar"/>
        </w:rPr>
        <w:t>]</w:t>
      </w:r>
      <w:r>
        <w:rPr>
          <w:rStyle w:val="BodyTextChar"/>
        </w:rPr>
        <w:t>, 20</w:t>
      </w:r>
      <w:r w:rsidR="00335BDE">
        <w:rPr>
          <w:rStyle w:val="BodyTextChar"/>
        </w:rPr>
        <w:t xml:space="preserve">24 </w:t>
      </w:r>
      <w:r>
        <w:rPr>
          <w:rStyle w:val="BodyTextChar"/>
        </w:rPr>
        <w:t>(the “</w:t>
      </w:r>
      <w:r>
        <w:rPr>
          <w:rStyle w:val="BodyTextChar"/>
          <w:u w:val="single"/>
        </w:rPr>
        <w:t>Authorizing Resolution</w:t>
      </w:r>
      <w:r>
        <w:rPr>
          <w:rStyle w:val="BodyTextChar"/>
        </w:rPr>
        <w:t xml:space="preserve">”).  </w:t>
      </w:r>
    </w:p>
    <w:p w14:paraId="3863E7B7" w14:textId="07DB9132" w:rsidR="00054EFC" w:rsidRDefault="003B718B" w:rsidP="006140F2">
      <w:pPr>
        <w:pStyle w:val="BodyText"/>
      </w:pPr>
      <w:r>
        <w:rPr>
          <w:rStyle w:val="BodyTextChar"/>
        </w:rPr>
        <w:t>The Bonds shall be issued and secured under and pursuant to</w:t>
      </w:r>
      <w:r w:rsidR="00AE42D7">
        <w:rPr>
          <w:rStyle w:val="BodyTextChar"/>
        </w:rPr>
        <w:t xml:space="preserve"> that certain</w:t>
      </w:r>
      <w:r w:rsidR="00AE42D7" w:rsidRPr="00AE42D7">
        <w:rPr>
          <w:szCs w:val="24"/>
        </w:rPr>
        <w:t xml:space="preserve"> </w:t>
      </w:r>
      <w:r w:rsidR="00AE42D7" w:rsidRPr="00AE42D7">
        <w:t>Master Trust Indenture dated as of</w:t>
      </w:r>
      <w:r w:rsidR="00100D94">
        <w:t xml:space="preserve"> December 15, 2010</w:t>
      </w:r>
      <w:r w:rsidR="00CF2972">
        <w:t xml:space="preserve"> </w:t>
      </w:r>
      <w:r w:rsidR="00100D94" w:rsidRPr="00100D94">
        <w:t>(the “</w:t>
      </w:r>
      <w:r w:rsidR="00100D94" w:rsidRPr="00100D94">
        <w:rPr>
          <w:u w:val="single"/>
        </w:rPr>
        <w:t>2010 Master Indenture</w:t>
      </w:r>
      <w:r w:rsidR="00100D94" w:rsidRPr="00100D94">
        <w:t>”)</w:t>
      </w:r>
      <w:r w:rsidR="00AE42D7" w:rsidRPr="00AE42D7">
        <w:t xml:space="preserve"> </w:t>
      </w:r>
      <w:r w:rsidR="00AE42D7">
        <w:t xml:space="preserve">entered into between the Enterprise and </w:t>
      </w:r>
      <w:r w:rsidR="00AE42D7" w:rsidRPr="00AE42D7">
        <w:t xml:space="preserve">Wells Fargo Bank, </w:t>
      </w:r>
      <w:proofErr w:type="spellStart"/>
      <w:r w:rsidR="00AE42D7" w:rsidRPr="00AE42D7">
        <w:t>N.A</w:t>
      </w:r>
      <w:proofErr w:type="spellEnd"/>
      <w:r w:rsidR="00AE42D7" w:rsidRPr="00AE42D7">
        <w:t>.</w:t>
      </w:r>
      <w:r w:rsidR="006C05BF">
        <w:t xml:space="preserve"> </w:t>
      </w:r>
      <w:r w:rsidR="00AE42D7" w:rsidRPr="00AE42D7">
        <w:t>(as succeeded by Zions Bancorporation, National Association</w:t>
      </w:r>
      <w:r w:rsidR="006C05BF">
        <w:rPr>
          <w:u w:val="single"/>
        </w:rPr>
        <w:t>),</w:t>
      </w:r>
      <w:r w:rsidR="006C05BF" w:rsidRPr="00AE42D7">
        <w:t xml:space="preserve"> as trustee</w:t>
      </w:r>
      <w:r w:rsidR="00AE42D7" w:rsidRPr="00AE42D7">
        <w:t xml:space="preserve"> </w:t>
      </w:r>
      <w:r w:rsidR="006C05BF">
        <w:t>(</w:t>
      </w:r>
      <w:r w:rsidR="00AE42D7" w:rsidRPr="00AE42D7">
        <w:t>the “</w:t>
      </w:r>
      <w:r w:rsidR="00B95A29" w:rsidRPr="00294498">
        <w:rPr>
          <w:u w:val="single"/>
        </w:rPr>
        <w:t>Senior</w:t>
      </w:r>
      <w:r w:rsidR="00B95A29" w:rsidRPr="00AA3720" w:rsidDel="006C05BF">
        <w:rPr>
          <w:u w:val="single"/>
        </w:rPr>
        <w:t xml:space="preserve"> </w:t>
      </w:r>
      <w:r w:rsidR="00AE42D7" w:rsidRPr="00054EFC">
        <w:rPr>
          <w:u w:val="single"/>
        </w:rPr>
        <w:t>Trustee</w:t>
      </w:r>
      <w:r w:rsidR="00AE42D7" w:rsidRPr="00AE42D7">
        <w:t xml:space="preserve">”), </w:t>
      </w:r>
      <w:r w:rsidR="00AE42D7">
        <w:t xml:space="preserve">as </w:t>
      </w:r>
      <w:r w:rsidR="006466D0">
        <w:t xml:space="preserve">amended and </w:t>
      </w:r>
      <w:r w:rsidR="00AE42D7">
        <w:t xml:space="preserve">supplemented by </w:t>
      </w:r>
      <w:r w:rsidR="006C05BF">
        <w:t xml:space="preserve">the </w:t>
      </w:r>
      <w:r w:rsidR="00AE42D7" w:rsidRPr="00AE42D7">
        <w:t>2010 Supplemental Trust Indenture dated as of December 15, 2010</w:t>
      </w:r>
      <w:r w:rsidR="006C05BF">
        <w:t xml:space="preserve">, the </w:t>
      </w:r>
      <w:r w:rsidR="00AE42D7" w:rsidRPr="006140F2">
        <w:t>2017 Supplemental Trust Indenture</w:t>
      </w:r>
      <w:r w:rsidR="00AE42D7" w:rsidRPr="00AE42D7">
        <w:t xml:space="preserve"> dated as of December 21, 2017</w:t>
      </w:r>
      <w:r w:rsidR="00B95A29">
        <w:t xml:space="preserve"> (the “</w:t>
      </w:r>
      <w:r w:rsidR="00B95A29" w:rsidRPr="00A9196A">
        <w:rPr>
          <w:u w:val="single"/>
        </w:rPr>
        <w:t>2017 Supplemental Indenture</w:t>
      </w:r>
      <w:r w:rsidR="00B95A29">
        <w:t>”)</w:t>
      </w:r>
      <w:r w:rsidR="006C05BF">
        <w:t>,</w:t>
      </w:r>
      <w:r w:rsidR="00AE42D7" w:rsidRPr="00AE42D7">
        <w:t xml:space="preserve"> </w:t>
      </w:r>
      <w:r w:rsidR="006C05BF">
        <w:t xml:space="preserve">the </w:t>
      </w:r>
      <w:r w:rsidR="00AE42D7" w:rsidRPr="00AE42D7">
        <w:t>2019 Supplemental Trust Indenture dated as of December 3, 2019</w:t>
      </w:r>
      <w:r w:rsidR="00B95A29">
        <w:t xml:space="preserve"> (the “</w:t>
      </w:r>
      <w:r w:rsidR="00B95A29" w:rsidRPr="00A9196A">
        <w:rPr>
          <w:u w:val="single"/>
        </w:rPr>
        <w:t>2019 Supplemental Indenture</w:t>
      </w:r>
      <w:r w:rsidR="00B95A29">
        <w:t>”),</w:t>
      </w:r>
      <w:r w:rsidR="00AE42D7" w:rsidRPr="00AE42D7">
        <w:t xml:space="preserve"> </w:t>
      </w:r>
      <w:r w:rsidR="006C05BF">
        <w:t xml:space="preserve">the </w:t>
      </w:r>
      <w:r w:rsidR="00AE42D7" w:rsidRPr="00AE42D7">
        <w:t>2024 Sup</w:t>
      </w:r>
      <w:r w:rsidR="00AE42D7" w:rsidRPr="00A9196A">
        <w:t>plemental Trust Indenture</w:t>
      </w:r>
      <w:r w:rsidR="001E74CC" w:rsidRPr="00A9196A">
        <w:t xml:space="preserve"> dated as of April 16, 2024</w:t>
      </w:r>
      <w:r w:rsidR="0060602A" w:rsidRPr="00A9196A">
        <w:t xml:space="preserve"> (the “</w:t>
      </w:r>
      <w:r w:rsidR="0060602A" w:rsidRPr="00A9196A">
        <w:rPr>
          <w:u w:val="single"/>
        </w:rPr>
        <w:t>2024 Supplemental Trust Indenture</w:t>
      </w:r>
      <w:r w:rsidR="0060602A" w:rsidRPr="00A9196A">
        <w:t>”)</w:t>
      </w:r>
      <w:r w:rsidR="00B95A29" w:rsidRPr="00A9196A">
        <w:t>,</w:t>
      </w:r>
      <w:r w:rsidR="001E74CC" w:rsidRPr="00A9196A">
        <w:t xml:space="preserve"> </w:t>
      </w:r>
      <w:r w:rsidR="00217666">
        <w:t xml:space="preserve">and </w:t>
      </w:r>
      <w:r w:rsidR="006C05BF">
        <w:t xml:space="preserve">the </w:t>
      </w:r>
      <w:r w:rsidR="00217666">
        <w:t>2024B Supplemental Trust Indenture to be dated as of December [__], 2024 (the “</w:t>
      </w:r>
      <w:r w:rsidR="00217666" w:rsidRPr="00FF15EB">
        <w:rPr>
          <w:u w:val="single"/>
        </w:rPr>
        <w:t>2024B Supplemental Indenture</w:t>
      </w:r>
      <w:r w:rsidR="00217666">
        <w:t>”</w:t>
      </w:r>
      <w:r w:rsidR="00100D94">
        <w:t>)</w:t>
      </w:r>
      <w:r w:rsidR="006C05BF">
        <w:t>, each</w:t>
      </w:r>
      <w:r w:rsidR="0060602A">
        <w:t xml:space="preserve"> by and</w:t>
      </w:r>
      <w:r w:rsidR="006C05BF">
        <w:t xml:space="preserve"> between the Enterprise and the </w:t>
      </w:r>
      <w:r w:rsidR="00B95A29">
        <w:t xml:space="preserve">Senior </w:t>
      </w:r>
      <w:r w:rsidR="006C05BF">
        <w:t>Trustee</w:t>
      </w:r>
      <w:r w:rsidR="006140F2">
        <w:t xml:space="preserve"> (the 2010 Master Indenture</w:t>
      </w:r>
      <w:r w:rsidR="00100D94">
        <w:t>, as supplemented</w:t>
      </w:r>
      <w:r w:rsidR="006C05BF">
        <w:t xml:space="preserve"> </w:t>
      </w:r>
      <w:r w:rsidR="00D16EAF">
        <w:t>by</w:t>
      </w:r>
      <w:r w:rsidR="00100D94">
        <w:t xml:space="preserve"> the </w:t>
      </w:r>
      <w:r w:rsidR="006C05BF">
        <w:t>above-reference supplemental indentures</w:t>
      </w:r>
      <w:r w:rsidR="00D16EAF">
        <w:t xml:space="preserve">, </w:t>
      </w:r>
      <w:r w:rsidR="0060602A">
        <w:t xml:space="preserve">is </w:t>
      </w:r>
      <w:r w:rsidR="006C05BF">
        <w:t xml:space="preserve">referred to </w:t>
      </w:r>
      <w:r w:rsidR="0060602A">
        <w:t xml:space="preserve">as </w:t>
      </w:r>
      <w:r w:rsidR="00D16EAF">
        <w:t>the “</w:t>
      </w:r>
      <w:r w:rsidR="008037FE" w:rsidRPr="00294498">
        <w:rPr>
          <w:u w:val="single"/>
        </w:rPr>
        <w:t xml:space="preserve">Senior </w:t>
      </w:r>
      <w:r w:rsidR="00D16EAF" w:rsidRPr="00D16EAF">
        <w:rPr>
          <w:u w:val="single"/>
        </w:rPr>
        <w:t>Indenture</w:t>
      </w:r>
      <w:r w:rsidR="00D16EAF">
        <w:t>”).</w:t>
      </w:r>
    </w:p>
    <w:p w14:paraId="5481F4DE" w14:textId="5ADCD739" w:rsidR="00517BCE" w:rsidRDefault="003B718B" w:rsidP="009C7F3B">
      <w:pPr>
        <w:pStyle w:val="BodyText"/>
      </w:pPr>
      <w:r>
        <w:lastRenderedPageBreak/>
        <w:t>The proceeds of the sale of the Bon</w:t>
      </w:r>
      <w:r w:rsidR="00103749">
        <w:t>ds</w:t>
      </w:r>
      <w:r w:rsidR="00100D94">
        <w:t xml:space="preserve"> [along with certain moneys to be contributed by the Enterprise]</w:t>
      </w:r>
      <w:r w:rsidR="00103749">
        <w:t xml:space="preserve"> will be used</w:t>
      </w:r>
      <w:r w:rsidR="00EE7024" w:rsidRPr="00EE7024">
        <w:t xml:space="preserve"> for the purposes of (a) refunding and </w:t>
      </w:r>
      <w:proofErr w:type="spellStart"/>
      <w:r w:rsidR="00EE7024" w:rsidRPr="00EE7024">
        <w:t>defeasing</w:t>
      </w:r>
      <w:proofErr w:type="spellEnd"/>
      <w:r w:rsidR="00EE7024" w:rsidRPr="00EE7024">
        <w:t xml:space="preserve"> </w:t>
      </w:r>
      <w:r w:rsidR="00100D94">
        <w:t>all of the</w:t>
      </w:r>
      <w:r w:rsidR="006C05BF">
        <w:t xml:space="preserve"> outstanding</w:t>
      </w:r>
      <w:r w:rsidR="00100D94">
        <w:t xml:space="preserve"> </w:t>
      </w:r>
      <w:r w:rsidR="006C05BF" w:rsidRPr="00AE42D7">
        <w:t>Revenue Bonds, Senior Taxable Build America Series 2010A (the “</w:t>
      </w:r>
      <w:r w:rsidR="006C05BF" w:rsidRPr="00A9196A">
        <w:rPr>
          <w:u w:val="single"/>
        </w:rPr>
        <w:t>Refunded Bonds</w:t>
      </w:r>
      <w:r w:rsidR="006C05BF">
        <w:t>”)</w:t>
      </w:r>
      <w:r w:rsidR="00EE7024" w:rsidRPr="00EE7024">
        <w:t xml:space="preserve">, and (b) paying the costs of issuing the Bonds. </w:t>
      </w:r>
      <w:r w:rsidR="00B95A29">
        <w:t xml:space="preserve"> </w:t>
      </w:r>
    </w:p>
    <w:p w14:paraId="7F4238A7" w14:textId="28DF42A7" w:rsidR="006466D0" w:rsidRDefault="00EE7024" w:rsidP="00A9196A">
      <w:pPr>
        <w:pStyle w:val="BodyText"/>
      </w:pPr>
      <w:r w:rsidRPr="009C7F3B">
        <w:rPr>
          <w:bCs/>
        </w:rPr>
        <w:t xml:space="preserve">The Bonds are special, limited obligations of </w:t>
      </w:r>
      <w:r w:rsidR="009C7F3B">
        <w:rPr>
          <w:bCs/>
        </w:rPr>
        <w:t>the Enterprise</w:t>
      </w:r>
      <w:r w:rsidRPr="009C7F3B">
        <w:rPr>
          <w:bCs/>
        </w:rPr>
        <w:t xml:space="preserve"> payable solely from and secured by a pledge of and lien on the Trust Estate</w:t>
      </w:r>
      <w:r w:rsidR="00AA3720">
        <w:rPr>
          <w:bCs/>
        </w:rPr>
        <w:t xml:space="preserve"> established under the Senior Indenture</w:t>
      </w:r>
      <w:r w:rsidRPr="009C7F3B">
        <w:rPr>
          <w:bCs/>
        </w:rPr>
        <w:t xml:space="preserve">, which consists of Revenues and certain other amounts deposited in the Bridge Special Fund.  A substantial part of the Revenues will consist of the Bridge Surcharges imposed by </w:t>
      </w:r>
      <w:r w:rsidR="009C7F3B">
        <w:rPr>
          <w:bCs/>
        </w:rPr>
        <w:t>the Enterprise</w:t>
      </w:r>
      <w:r w:rsidRPr="009C7F3B">
        <w:rPr>
          <w:bCs/>
        </w:rPr>
        <w:t xml:space="preserve"> upon the registration of certain vehicles in the </w:t>
      </w:r>
      <w:r w:rsidRPr="009C7F3B">
        <w:rPr>
          <w:bCs/>
          <w:iCs/>
        </w:rPr>
        <w:t>State</w:t>
      </w:r>
      <w:r w:rsidRPr="009C7F3B">
        <w:rPr>
          <w:bCs/>
        </w:rPr>
        <w:t xml:space="preserve">.  </w:t>
      </w:r>
      <w:r w:rsidRPr="00EE7024">
        <w:t xml:space="preserve">The Bonds will be issued with a pledge of and lien on the Trust Estate on parity with the </w:t>
      </w:r>
      <w:proofErr w:type="spellStart"/>
      <w:r w:rsidR="006466D0">
        <w:t>BTE’s</w:t>
      </w:r>
      <w:proofErr w:type="spellEnd"/>
      <w:r w:rsidR="006466D0" w:rsidRPr="00DD65F7">
        <w:t xml:space="preserve"> </w:t>
      </w:r>
      <w:r w:rsidR="006466D0">
        <w:t xml:space="preserve">Senior Revenue Refunding Bonds, Series 2019A </w:t>
      </w:r>
      <w:r w:rsidR="00DE55EA">
        <w:t>(the “</w:t>
      </w:r>
      <w:r w:rsidR="00DE55EA" w:rsidRPr="00CD12C1">
        <w:rPr>
          <w:u w:val="single"/>
        </w:rPr>
        <w:t>Series 2019A Bonds</w:t>
      </w:r>
      <w:r w:rsidR="00DE55EA">
        <w:t xml:space="preserve">”) </w:t>
      </w:r>
      <w:r w:rsidR="006466D0">
        <w:t xml:space="preserve">issued pursuant to the </w:t>
      </w:r>
      <w:r w:rsidR="006466D0" w:rsidRPr="006466D0">
        <w:t>2019 Supplemental Indenture</w:t>
      </w:r>
      <w:r w:rsidR="006466D0">
        <w:t xml:space="preserve"> </w:t>
      </w:r>
      <w:r w:rsidRPr="00EE7024">
        <w:t xml:space="preserve">and any additional </w:t>
      </w:r>
      <w:r w:rsidRPr="00D16EAF">
        <w:t>Senior Bonds</w:t>
      </w:r>
      <w:r w:rsidRPr="00EE7024">
        <w:t xml:space="preserve"> issued by </w:t>
      </w:r>
      <w:r w:rsidR="009C7F3B">
        <w:t>the Enterprise</w:t>
      </w:r>
      <w:r w:rsidRPr="00EE7024">
        <w:t xml:space="preserve"> in the future.</w:t>
      </w:r>
      <w:r w:rsidR="00A9196A">
        <w:t xml:space="preserve"> </w:t>
      </w:r>
    </w:p>
    <w:p w14:paraId="195470F5" w14:textId="650E332C" w:rsidR="003B718B" w:rsidRDefault="00796D15" w:rsidP="003B718B">
      <w:pPr>
        <w:pStyle w:val="BodyText"/>
      </w:pPr>
      <w:r>
        <w:rPr>
          <w:rStyle w:val="BodyTextChar"/>
        </w:rPr>
        <w:t xml:space="preserve">The Bonds shall be dated the date of delivery, </w:t>
      </w:r>
      <w:r w:rsidR="003B718B">
        <w:t xml:space="preserve">shall mature in the years, bear interest, be purchased at the prices and be subject to optional and mandatory redemption at the times and in the amounts, all as set forth in </w:t>
      </w:r>
      <w:r w:rsidR="003B718B">
        <w:rPr>
          <w:u w:val="single"/>
        </w:rPr>
        <w:t>Schedule I</w:t>
      </w:r>
      <w:r w:rsidR="003B718B">
        <w:t xml:space="preserve"> attached hereto.  The Authorized Denominations, Record Dates, Interest Payment Dates, Sinking Fund Payment Dates, and other details and particulars of the Bonds shall be as described in the </w:t>
      </w:r>
      <w:r w:rsidR="00294498">
        <w:t xml:space="preserve">Senior </w:t>
      </w:r>
      <w:r w:rsidR="003B718B">
        <w:t xml:space="preserve">Indenture and the Official Statement (as defined below) of the Enterprise. </w:t>
      </w:r>
    </w:p>
    <w:p w14:paraId="577E3959" w14:textId="77777777" w:rsidR="003B718B" w:rsidRDefault="003B718B" w:rsidP="0080532E">
      <w:pPr>
        <w:pStyle w:val="Heading1"/>
        <w:keepLines/>
        <w:numPr>
          <w:ilvl w:val="0"/>
          <w:numId w:val="6"/>
        </w:numPr>
        <w:spacing w:before="0" w:after="240"/>
        <w:ind w:left="0"/>
        <w:jc w:val="both"/>
      </w:pPr>
      <w:r>
        <w:rPr>
          <w:u w:val="single"/>
        </w:rPr>
        <w:t>Delivery of the Official Statement and Other Documents</w:t>
      </w:r>
      <w:r>
        <w:t xml:space="preserve">.  </w:t>
      </w:r>
    </w:p>
    <w:p w14:paraId="206AFD13" w14:textId="0C8294CD" w:rsidR="003B718B" w:rsidRDefault="003B718B" w:rsidP="0080532E">
      <w:pPr>
        <w:pStyle w:val="Heading2"/>
        <w:numPr>
          <w:ilvl w:val="1"/>
          <w:numId w:val="6"/>
        </w:numPr>
        <w:tabs>
          <w:tab w:val="clear" w:pos="1699"/>
          <w:tab w:val="clear" w:pos="2016"/>
        </w:tabs>
        <w:spacing w:before="0" w:after="240"/>
        <w:rPr>
          <w:i w:val="0"/>
        </w:rPr>
      </w:pPr>
      <w:r>
        <w:rPr>
          <w:i w:val="0"/>
        </w:rPr>
        <w:t>The Enterprise has approved and delivered or caused to be delivered to the Underwriters copies of the Preliminary Offici</w:t>
      </w:r>
      <w:r w:rsidR="00DD6CA2">
        <w:rPr>
          <w:i w:val="0"/>
        </w:rPr>
        <w:t xml:space="preserve">al Statement dated </w:t>
      </w:r>
      <w:r w:rsidR="00C03B76">
        <w:rPr>
          <w:i w:val="0"/>
        </w:rPr>
        <w:t>November [22]</w:t>
      </w:r>
      <w:r w:rsidR="00DD6CA2">
        <w:rPr>
          <w:i w:val="0"/>
        </w:rPr>
        <w:t>, 2024</w:t>
      </w:r>
      <w:r>
        <w:rPr>
          <w:i w:val="0"/>
        </w:rPr>
        <w:t>, which, including the cover page and all appendices thereto, is herein referred to as the “</w:t>
      </w:r>
      <w:r>
        <w:rPr>
          <w:i w:val="0"/>
          <w:u w:val="single"/>
        </w:rPr>
        <w:t>Preliminary Official Statement</w:t>
      </w:r>
      <w:r>
        <w:rPr>
          <w:i w:val="0"/>
        </w:rPr>
        <w:t>.”  It is acknowledged by the Enterprise that the Underwriters may deliver the Preliminary Official Statement and a final Official Statement (as hereinafter defined) electronically over the internet and in printed paper form.  The Enterprise deems the Preliminary Official Statement final as of its date and as of the date hereof for purposes of Rule 15c2-12 promulgated under the Securities Exchange Act of 1934, as amended (“</w:t>
      </w:r>
      <w:r>
        <w:rPr>
          <w:i w:val="0"/>
          <w:iCs/>
          <w:u w:val="single"/>
        </w:rPr>
        <w:t>Rule 15c2-12</w:t>
      </w:r>
      <w:r>
        <w:rPr>
          <w:i w:val="0"/>
        </w:rPr>
        <w:t>”), except for any information which is permitted to be omitted therefrom in accordance with paragraph (b)(1) of Rule 15c2</w:t>
      </w:r>
      <w:r>
        <w:rPr>
          <w:i w:val="0"/>
        </w:rPr>
        <w:noBreakHyphen/>
        <w:t>12.</w:t>
      </w:r>
    </w:p>
    <w:p w14:paraId="437B9167" w14:textId="3FAA5114" w:rsidR="003B718B" w:rsidRDefault="003B718B" w:rsidP="0080532E">
      <w:pPr>
        <w:pStyle w:val="Heading2"/>
        <w:numPr>
          <w:ilvl w:val="1"/>
          <w:numId w:val="6"/>
        </w:numPr>
        <w:tabs>
          <w:tab w:val="clear" w:pos="1699"/>
          <w:tab w:val="clear" w:pos="2016"/>
        </w:tabs>
        <w:spacing w:before="0" w:after="240"/>
        <w:rPr>
          <w:i w:val="0"/>
        </w:rPr>
      </w:pPr>
      <w:r>
        <w:rPr>
          <w:i w:val="0"/>
        </w:rPr>
        <w:t>Within seven (7) business days from the date hereof, and in any event not later than two (2) business days before the Closing Date</w:t>
      </w:r>
      <w:r w:rsidR="00541C23">
        <w:rPr>
          <w:i w:val="0"/>
        </w:rPr>
        <w:t xml:space="preserve"> (defined below)</w:t>
      </w:r>
      <w:r>
        <w:rPr>
          <w:i w:val="0"/>
        </w:rPr>
        <w:t xml:space="preserve">, the Enterprise shall deliver to the Underwriters a final Official Statement relating to the Bonds dated the date hereof (such Official Statement, including the cover page, and all appendices attached thereto, together with all information previously permitted to have been omitted by Rule 15c2-12 and any amendments or supplements and statements incorporated by reference therein or attached thereto, as have been approved by the Enterprise, </w:t>
      </w:r>
      <w:r w:rsidRPr="00D16EAF">
        <w:rPr>
          <w:i w:val="0"/>
        </w:rPr>
        <w:t>Bond Counsel</w:t>
      </w:r>
      <w:r w:rsidR="00D16EAF" w:rsidRPr="00D16EAF">
        <w:rPr>
          <w:i w:val="0"/>
        </w:rPr>
        <w:t xml:space="preserve"> (as defined herein)</w:t>
      </w:r>
      <w:r w:rsidRPr="00D16EAF">
        <w:rPr>
          <w:i w:val="0"/>
        </w:rPr>
        <w:t>, Disclosure Counsel</w:t>
      </w:r>
      <w:r w:rsidR="00D16EAF">
        <w:rPr>
          <w:i w:val="0"/>
        </w:rPr>
        <w:t xml:space="preserve"> (as defined herein)</w:t>
      </w:r>
      <w:r>
        <w:rPr>
          <w:i w:val="0"/>
        </w:rPr>
        <w:t xml:space="preserve"> and the Representative, is referred to herein as the “</w:t>
      </w:r>
      <w:r>
        <w:rPr>
          <w:i w:val="0"/>
          <w:u w:val="single"/>
        </w:rPr>
        <w:t>Official Statement</w:t>
      </w:r>
      <w:r>
        <w:rPr>
          <w:i w:val="0"/>
        </w:rPr>
        <w:t>”) and such additional conformed copies thereof as the Representative may reasonably request in sufficient quantities to comply with Rule 15c2</w:t>
      </w:r>
      <w:r>
        <w:rPr>
          <w:i w:val="0"/>
        </w:rPr>
        <w:noBreakHyphen/>
        <w:t xml:space="preserve">12, rules of the </w:t>
      </w:r>
      <w:proofErr w:type="spellStart"/>
      <w:r>
        <w:rPr>
          <w:i w:val="0"/>
        </w:rPr>
        <w:t>MSRB</w:t>
      </w:r>
      <w:proofErr w:type="spellEnd"/>
      <w:r>
        <w:rPr>
          <w:i w:val="0"/>
        </w:rPr>
        <w:t xml:space="preserve"> and to meet potential customer requests for copies of the Official Statement.  The Underwriters agree to file a copy of the Official Statement, including any amendments or supplements thereto prepared by the Enterprise, with the </w:t>
      </w:r>
      <w:proofErr w:type="spellStart"/>
      <w:r>
        <w:rPr>
          <w:i w:val="0"/>
        </w:rPr>
        <w:t>MSRB</w:t>
      </w:r>
      <w:proofErr w:type="spellEnd"/>
      <w:r>
        <w:rPr>
          <w:i w:val="0"/>
        </w:rPr>
        <w:t xml:space="preserve"> on its Electronic Municipal Markets Access (“</w:t>
      </w:r>
      <w:r>
        <w:rPr>
          <w:i w:val="0"/>
          <w:u w:val="single"/>
        </w:rPr>
        <w:t>EMMA</w:t>
      </w:r>
      <w:r>
        <w:rPr>
          <w:i w:val="0"/>
        </w:rPr>
        <w:t xml:space="preserve">”) system.  The </w:t>
      </w:r>
      <w:r>
        <w:rPr>
          <w:i w:val="0"/>
        </w:rPr>
        <w:lastRenderedPageBreak/>
        <w:t xml:space="preserve">Official Statement shall be executed by and on behalf of the Enterprise by an authorized officer of the Enterprise.  The Official Statement shall be in substantially the same form as the Preliminary Official Statement and, other than information previously permitted to have been omitted by Rule 15c2-12, the Enterprise shall only make such other additions, deletions and revisions in the Official Statement which are approved by the Representative.  The Enterprise hereby agrees to deliver to the Underwriters an electronic copy of the Official Statement in a form that permits the Underwriters to satisfy their obligations under the rules and regulations of the </w:t>
      </w:r>
      <w:proofErr w:type="spellStart"/>
      <w:r>
        <w:rPr>
          <w:i w:val="0"/>
        </w:rPr>
        <w:t>MSRB</w:t>
      </w:r>
      <w:proofErr w:type="spellEnd"/>
      <w:r>
        <w:rPr>
          <w:i w:val="0"/>
        </w:rPr>
        <w:t xml:space="preserve"> and the U.S. Securities and Exchange Commission (“</w:t>
      </w:r>
      <w:r>
        <w:rPr>
          <w:i w:val="0"/>
          <w:u w:val="single"/>
        </w:rPr>
        <w:t>SEC</w:t>
      </w:r>
      <w:r>
        <w:rPr>
          <w:i w:val="0"/>
        </w:rPr>
        <w:t xml:space="preserve">”) including in a word-searchable pdf format including any amendments thereto.  The Enterprise hereby ratifies, confirms and consents to and approves the use and distribution by the Underwriters before the date hereof of the Preliminary Official Statement and hereby authorizes and consents to the use by the Underwriters of the Official Statement and the </w:t>
      </w:r>
      <w:r w:rsidR="00294498">
        <w:rPr>
          <w:i w:val="0"/>
        </w:rPr>
        <w:t xml:space="preserve">Senior </w:t>
      </w:r>
      <w:r>
        <w:rPr>
          <w:i w:val="0"/>
        </w:rPr>
        <w:t>Indenture in connection with the public offering and sale of the Bonds.</w:t>
      </w:r>
    </w:p>
    <w:p w14:paraId="7685EB8A" w14:textId="05332DD1" w:rsidR="003B718B" w:rsidRDefault="003B718B" w:rsidP="0080532E">
      <w:pPr>
        <w:pStyle w:val="Heading2"/>
        <w:numPr>
          <w:ilvl w:val="1"/>
          <w:numId w:val="6"/>
        </w:numPr>
        <w:tabs>
          <w:tab w:val="clear" w:pos="1699"/>
          <w:tab w:val="clear" w:pos="2016"/>
        </w:tabs>
        <w:spacing w:before="0" w:after="240"/>
        <w:rPr>
          <w:i w:val="0"/>
        </w:rPr>
      </w:pPr>
      <w:r>
        <w:rPr>
          <w:i w:val="0"/>
        </w:rPr>
        <w:t xml:space="preserve">In order to assist the Underwriters in complying with Rule 15c2-12, the Enterprise will undertake, pursuant to the Continuing Disclosure Undertaking, dated as of </w:t>
      </w:r>
      <w:r w:rsidR="00C03B76">
        <w:rPr>
          <w:i w:val="0"/>
        </w:rPr>
        <w:t>December [19]</w:t>
      </w:r>
      <w:r>
        <w:rPr>
          <w:i w:val="0"/>
        </w:rPr>
        <w:t>, 2024 (the “</w:t>
      </w:r>
      <w:r>
        <w:rPr>
          <w:i w:val="0"/>
          <w:u w:val="single"/>
        </w:rPr>
        <w:t>Undertaking</w:t>
      </w:r>
      <w:r>
        <w:rPr>
          <w:i w:val="0"/>
        </w:rPr>
        <w:t>”) to provide annual financial information and notices of the occurrence of specified events.  A description of the Undertaking is set forth in, and a form of such agr</w:t>
      </w:r>
      <w:r w:rsidR="00C03B76">
        <w:rPr>
          <w:i w:val="0"/>
        </w:rPr>
        <w:t>eement is attached as Appendix E</w:t>
      </w:r>
      <w:r>
        <w:rPr>
          <w:i w:val="0"/>
        </w:rPr>
        <w:t xml:space="preserve"> to, the Preliminary Official Statement and the Official Statement.</w:t>
      </w:r>
    </w:p>
    <w:p w14:paraId="0AAA0625" w14:textId="77777777" w:rsidR="003B718B" w:rsidRDefault="003B718B" w:rsidP="0080532E">
      <w:pPr>
        <w:pStyle w:val="Heading1"/>
        <w:keepLines/>
        <w:numPr>
          <w:ilvl w:val="0"/>
          <w:numId w:val="6"/>
        </w:numPr>
        <w:spacing w:before="0" w:after="240"/>
        <w:ind w:left="0"/>
        <w:jc w:val="both"/>
      </w:pPr>
      <w:r>
        <w:rPr>
          <w:u w:val="single"/>
        </w:rPr>
        <w:t>Establishment of Issue Price</w:t>
      </w:r>
      <w:r>
        <w:t xml:space="preserve">. </w:t>
      </w:r>
    </w:p>
    <w:p w14:paraId="37BA7A68" w14:textId="77777777" w:rsidR="003B718B" w:rsidRDefault="003B718B" w:rsidP="0080532E">
      <w:pPr>
        <w:pStyle w:val="Heading2"/>
        <w:numPr>
          <w:ilvl w:val="2"/>
          <w:numId w:val="4"/>
        </w:numPr>
        <w:spacing w:before="0" w:after="240"/>
        <w:rPr>
          <w:i w:val="0"/>
          <w:szCs w:val="24"/>
        </w:rPr>
      </w:pPr>
      <w:r>
        <w:rPr>
          <w:i w:val="0"/>
          <w:szCs w:val="24"/>
        </w:rPr>
        <w:t xml:space="preserve">The Representative, on behalf of the Underwriters, agrees to assist the Enterprise in establishing the issue price of the Bonds and shall execute and deliver to the Enterprise at Closing an “issue price” or similar certificate, substantially in the form attached hereto as </w:t>
      </w:r>
      <w:r w:rsidRPr="00234081">
        <w:rPr>
          <w:i w:val="0"/>
          <w:szCs w:val="24"/>
          <w:u w:val="single"/>
        </w:rPr>
        <w:t>Exhibit A</w:t>
      </w:r>
      <w:r>
        <w:rPr>
          <w:i w:val="0"/>
          <w:szCs w:val="24"/>
        </w:rPr>
        <w:t xml:space="preserve">, together with the supporting pricing wires or equivalent communications, with such modifications as may be deemed appropriate or necessary, in the reasonable judgment of the Representative, the Enterprise and Bond Counsel, to accurately reflect, as applicable, the sales price or prices or the initial offering price or prices to the public of the Bonds.  All actions to be taken by the Enterprise under this section to establish the issue price of the Bonds may be taken on behalf of the Enterprise by </w:t>
      </w:r>
      <w:proofErr w:type="spellStart"/>
      <w:r>
        <w:rPr>
          <w:i w:val="0"/>
          <w:szCs w:val="24"/>
        </w:rPr>
        <w:t>Stifel</w:t>
      </w:r>
      <w:proofErr w:type="spellEnd"/>
      <w:r>
        <w:rPr>
          <w:i w:val="0"/>
          <w:szCs w:val="24"/>
        </w:rPr>
        <w:t>, Nicolaus &amp; Company, Incorporated, Denver, Colorado</w:t>
      </w:r>
      <w:r>
        <w:rPr>
          <w:szCs w:val="24"/>
        </w:rPr>
        <w:t xml:space="preserve"> </w:t>
      </w:r>
      <w:r>
        <w:rPr>
          <w:i w:val="0"/>
          <w:szCs w:val="24"/>
        </w:rPr>
        <w:t>(the “</w:t>
      </w:r>
      <w:r>
        <w:rPr>
          <w:i w:val="0"/>
          <w:szCs w:val="24"/>
          <w:u w:val="single"/>
        </w:rPr>
        <w:t>Municipal Advisor</w:t>
      </w:r>
      <w:r>
        <w:rPr>
          <w:i w:val="0"/>
          <w:szCs w:val="24"/>
        </w:rPr>
        <w:t xml:space="preserve">”) and any notice or report to be provided to the Enterprise may be provided to the Municipal Advisor.   </w:t>
      </w:r>
    </w:p>
    <w:p w14:paraId="07F6ADC5" w14:textId="46A66D81" w:rsidR="003B718B" w:rsidRPr="00F0235A" w:rsidRDefault="0047360B" w:rsidP="00F0235A">
      <w:pPr>
        <w:pStyle w:val="ParagraphL3"/>
        <w:numPr>
          <w:ilvl w:val="2"/>
          <w:numId w:val="4"/>
        </w:numPr>
        <w:rPr>
          <w:rFonts w:ascii="Times New Roman" w:hAnsi="Times New Roman"/>
          <w:sz w:val="24"/>
          <w:szCs w:val="24"/>
        </w:rPr>
      </w:pPr>
      <w:r>
        <w:rPr>
          <w:rFonts w:ascii="Times New Roman" w:hAnsi="Times New Roman"/>
          <w:sz w:val="24"/>
          <w:szCs w:val="24"/>
        </w:rPr>
        <w:t>T</w:t>
      </w:r>
      <w:r w:rsidR="003B718B" w:rsidRPr="00F0235A">
        <w:rPr>
          <w:rFonts w:ascii="Times New Roman" w:hAnsi="Times New Roman"/>
          <w:sz w:val="24"/>
          <w:szCs w:val="24"/>
        </w:rPr>
        <w:t>he Enterprise represents that it will treat the first price at which 10% of each maturity of the Bonds (the “</w:t>
      </w:r>
      <w:r w:rsidR="003B718B" w:rsidRPr="00C03B76">
        <w:rPr>
          <w:rFonts w:ascii="Times New Roman" w:hAnsi="Times New Roman"/>
          <w:sz w:val="24"/>
          <w:szCs w:val="24"/>
          <w:u w:val="single"/>
        </w:rPr>
        <w:t>10% Test</w:t>
      </w:r>
      <w:r w:rsidR="003B718B" w:rsidRPr="00F0235A">
        <w:rPr>
          <w:rFonts w:ascii="Times New Roman" w:hAnsi="Times New Roman"/>
          <w:sz w:val="24"/>
          <w:szCs w:val="24"/>
        </w:rPr>
        <w:t xml:space="preserve">”) is sold to the public as the issue price of that maturity (if different interest rates apply within a maturity, each separate </w:t>
      </w:r>
      <w:proofErr w:type="spellStart"/>
      <w:r w:rsidR="003B718B" w:rsidRPr="00F0235A">
        <w:rPr>
          <w:rFonts w:ascii="Times New Roman" w:hAnsi="Times New Roman"/>
          <w:sz w:val="24"/>
          <w:szCs w:val="24"/>
        </w:rPr>
        <w:t>CUSIP</w:t>
      </w:r>
      <w:proofErr w:type="spellEnd"/>
      <w:r w:rsidR="003B718B" w:rsidRPr="00F0235A">
        <w:rPr>
          <w:rFonts w:ascii="Times New Roman" w:hAnsi="Times New Roman"/>
          <w:sz w:val="24"/>
          <w:szCs w:val="24"/>
        </w:rPr>
        <w:t xml:space="preserve"> number within that maturity will be subject to the 10% T</w:t>
      </w:r>
      <w:r>
        <w:rPr>
          <w:rFonts w:ascii="Times New Roman" w:hAnsi="Times New Roman"/>
          <w:sz w:val="24"/>
          <w:szCs w:val="24"/>
        </w:rPr>
        <w:t xml:space="preserve">est).  </w:t>
      </w:r>
    </w:p>
    <w:p w14:paraId="655135F8" w14:textId="1A9CFE5F" w:rsidR="003B718B" w:rsidRDefault="0047360B" w:rsidP="0047360B">
      <w:pPr>
        <w:pStyle w:val="BodyFL5"/>
        <w:ind w:left="0" w:firstLine="0"/>
        <w:rPr>
          <w:rFonts w:ascii="Times New Roman" w:hAnsi="Times New Roman"/>
          <w:sz w:val="24"/>
          <w:szCs w:val="24"/>
        </w:rPr>
      </w:pPr>
      <w:r>
        <w:rPr>
          <w:rFonts w:ascii="Times New Roman" w:hAnsi="Times New Roman"/>
          <w:sz w:val="24"/>
          <w:szCs w:val="24"/>
        </w:rPr>
        <w:tab/>
      </w:r>
      <w:r w:rsidR="003B718B">
        <w:rPr>
          <w:rFonts w:ascii="Times New Roman" w:hAnsi="Times New Roman"/>
          <w:sz w:val="24"/>
          <w:szCs w:val="24"/>
        </w:rPr>
        <w:t>(c)</w:t>
      </w:r>
      <w:r w:rsidR="003B718B">
        <w:rPr>
          <w:rFonts w:ascii="Times New Roman" w:hAnsi="Times New Roman"/>
          <w:sz w:val="24"/>
          <w:szCs w:val="24"/>
        </w:rPr>
        <w:tab/>
        <w:t>The Representative confirms that the Underwriters have offered the Bonds to the public on or before the date of this Purchase Agreement at the offering price or prices (the “</w:t>
      </w:r>
      <w:r w:rsidR="003B718B" w:rsidRPr="00C03B76">
        <w:rPr>
          <w:rFonts w:ascii="Times New Roman" w:hAnsi="Times New Roman"/>
          <w:sz w:val="24"/>
          <w:szCs w:val="24"/>
          <w:u w:val="single"/>
        </w:rPr>
        <w:t>initial offering price</w:t>
      </w:r>
      <w:r w:rsidR="003B718B">
        <w:rPr>
          <w:rFonts w:ascii="Times New Roman" w:hAnsi="Times New Roman"/>
          <w:sz w:val="24"/>
          <w:szCs w:val="24"/>
        </w:rPr>
        <w:t>”), or at the corresponding yield or yields, set fort</w:t>
      </w:r>
      <w:r w:rsidR="003A2CE7">
        <w:rPr>
          <w:rFonts w:ascii="Times New Roman" w:hAnsi="Times New Roman"/>
          <w:sz w:val="24"/>
          <w:szCs w:val="24"/>
        </w:rPr>
        <w:t xml:space="preserve">h in </w:t>
      </w:r>
      <w:r w:rsidR="003A2CE7" w:rsidRPr="00352971">
        <w:rPr>
          <w:rFonts w:ascii="Times New Roman" w:hAnsi="Times New Roman"/>
          <w:sz w:val="24"/>
          <w:szCs w:val="24"/>
          <w:u w:val="single"/>
        </w:rPr>
        <w:t>Schedule I</w:t>
      </w:r>
      <w:r w:rsidR="003A2CE7">
        <w:rPr>
          <w:rFonts w:ascii="Times New Roman" w:hAnsi="Times New Roman"/>
          <w:sz w:val="24"/>
          <w:szCs w:val="24"/>
        </w:rPr>
        <w:t xml:space="preserve"> attached hereto</w:t>
      </w:r>
      <w:r w:rsidR="003B718B">
        <w:rPr>
          <w:rFonts w:ascii="Times New Roman" w:hAnsi="Times New Roman"/>
          <w:sz w:val="24"/>
          <w:szCs w:val="24"/>
        </w:rPr>
        <w:t xml:space="preserve">.  </w:t>
      </w:r>
    </w:p>
    <w:p w14:paraId="779069B8" w14:textId="19A5E470" w:rsidR="003B718B" w:rsidRDefault="0047360B" w:rsidP="003B718B">
      <w:pPr>
        <w:pStyle w:val="ParagraphL3"/>
        <w:keepNext/>
        <w:numPr>
          <w:ilvl w:val="0"/>
          <w:numId w:val="0"/>
        </w:numPr>
        <w:tabs>
          <w:tab w:val="left" w:pos="720"/>
        </w:tabs>
        <w:rPr>
          <w:rFonts w:ascii="Times New Roman" w:hAnsi="Times New Roman" w:cs="Times New Roman"/>
          <w:sz w:val="24"/>
          <w:szCs w:val="24"/>
        </w:rPr>
      </w:pPr>
      <w:r>
        <w:rPr>
          <w:rFonts w:ascii="Times New Roman" w:hAnsi="Times New Roman" w:cs="Times New Roman"/>
          <w:sz w:val="24"/>
          <w:szCs w:val="24"/>
        </w:rPr>
        <w:lastRenderedPageBreak/>
        <w:tab/>
        <w:t>(d)</w:t>
      </w:r>
      <w:r w:rsidR="003B718B">
        <w:rPr>
          <w:rFonts w:ascii="Times New Roman" w:hAnsi="Times New Roman" w:cs="Times New Roman"/>
          <w:sz w:val="24"/>
          <w:szCs w:val="24"/>
        </w:rPr>
        <w:tab/>
        <w:t>The Representative confirms that:</w:t>
      </w:r>
    </w:p>
    <w:p w14:paraId="7A34B6FE" w14:textId="77777777" w:rsidR="003B718B" w:rsidRDefault="003B718B" w:rsidP="003B718B">
      <w:pPr>
        <w:pStyle w:val="Indent5"/>
        <w:ind w:left="0"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any agreement among underwriters, any selling group agreement and each third-party distribution agreement (to which the Representative is a party) relating to the initial sale of the Bonds to the public, together with the related pricing wires, contains or will contain language obligating each Underwriter, each dealer who is a member of the selling group and each broker-dealer that is a party to such third-party distribution agreement, as applicable:</w:t>
      </w:r>
    </w:p>
    <w:p w14:paraId="535D37EA" w14:textId="77777777" w:rsidR="003B718B" w:rsidRDefault="003B718B" w:rsidP="003B718B">
      <w:pPr>
        <w:pStyle w:val="Indent10"/>
        <w:ind w:left="0" w:firstLine="1440"/>
        <w:rPr>
          <w:rFonts w:ascii="Times New Roman" w:hAnsi="Times New Roman"/>
          <w:sz w:val="24"/>
          <w:szCs w:val="24"/>
        </w:rPr>
      </w:pPr>
      <w:r>
        <w:rPr>
          <w:rFonts w:ascii="Times New Roman" w:hAnsi="Times New Roman"/>
          <w:sz w:val="24"/>
          <w:szCs w:val="24"/>
        </w:rPr>
        <w:t>(A)(i) to report the prices at which it sells to the public the unsold Bonds of each maturity allocated to it until either all Bonds of that maturity allocated to it have been sold or it is notified by the Representative that the 10% Test has been satisfied as to the Bonds of that maturity and (ii) to comply with the hold-the-offering-price rule, if applicable, in each case if and for so long as directed by the Representative and as set forth in the related pricing wires, and</w:t>
      </w:r>
    </w:p>
    <w:p w14:paraId="3A36FFC6" w14:textId="77777777" w:rsidR="003B718B" w:rsidRDefault="003B718B" w:rsidP="003B718B">
      <w:pPr>
        <w:pStyle w:val="Indent10"/>
        <w:ind w:left="0" w:firstLine="1440"/>
        <w:rPr>
          <w:rFonts w:ascii="Times New Roman" w:hAnsi="Times New Roman"/>
          <w:sz w:val="24"/>
          <w:szCs w:val="24"/>
        </w:rPr>
      </w:pPr>
      <w:r>
        <w:rPr>
          <w:rFonts w:ascii="Times New Roman" w:hAnsi="Times New Roman"/>
          <w:sz w:val="24"/>
          <w:szCs w:val="24"/>
        </w:rPr>
        <w:t xml:space="preserve">(B) to promptly notify the Representative of any sales of Bonds that, to its knowledge, are made to a purchaser who is a related party to an underwriter participating in the initial sale of the Bonds to the public (each such term being used as defined below), </w:t>
      </w:r>
    </w:p>
    <w:p w14:paraId="6AFF1AC1" w14:textId="77777777" w:rsidR="003B718B" w:rsidRDefault="003B718B" w:rsidP="003B718B">
      <w:pPr>
        <w:pStyle w:val="Indent10"/>
        <w:ind w:left="0" w:firstLine="1440"/>
        <w:rPr>
          <w:rFonts w:ascii="Times New Roman" w:hAnsi="Times New Roman"/>
          <w:sz w:val="24"/>
          <w:szCs w:val="24"/>
        </w:rPr>
      </w:pPr>
      <w:r>
        <w:rPr>
          <w:rFonts w:ascii="Times New Roman" w:hAnsi="Times New Roman"/>
          <w:sz w:val="24"/>
          <w:szCs w:val="24"/>
        </w:rPr>
        <w:t xml:space="preserve">(C) </w:t>
      </w:r>
      <w:proofErr w:type="gramStart"/>
      <w:r>
        <w:rPr>
          <w:rFonts w:ascii="Times New Roman" w:hAnsi="Times New Roman"/>
          <w:sz w:val="24"/>
          <w:szCs w:val="24"/>
        </w:rPr>
        <w:t>to</w:t>
      </w:r>
      <w:proofErr w:type="gramEnd"/>
      <w:r>
        <w:rPr>
          <w:rFonts w:ascii="Times New Roman" w:hAnsi="Times New Roman"/>
          <w:sz w:val="24"/>
          <w:szCs w:val="24"/>
        </w:rPr>
        <w:t xml:space="preserve"> acknowledge that, unless otherwise advised by the Underwriter, dealer or broker-dealer, the Representative shall assume that each order submitted by the Underwriter, dealer or broker-dealer is a sale to the public.</w:t>
      </w:r>
    </w:p>
    <w:p w14:paraId="57B2576C" w14:textId="77777777" w:rsidR="003B718B" w:rsidRDefault="003B718B" w:rsidP="003B718B">
      <w:pPr>
        <w:pStyle w:val="BodyFL5"/>
        <w:ind w:left="0" w:firstLine="720"/>
        <w:rPr>
          <w:rFonts w:ascii="Times New Roman" w:hAnsi="Times New Roman"/>
          <w:sz w:val="24"/>
          <w:szCs w:val="24"/>
          <w:lang w:val="x-none"/>
        </w:rPr>
      </w:pPr>
      <w:r>
        <w:rPr>
          <w:rFonts w:ascii="Times New Roman" w:hAnsi="Times New Roman"/>
          <w:sz w:val="24"/>
          <w:szCs w:val="24"/>
        </w:rPr>
        <w:t>(ii)</w:t>
      </w:r>
      <w:r>
        <w:rPr>
          <w:rFonts w:ascii="Times New Roman" w:hAnsi="Times New Roman"/>
          <w:sz w:val="24"/>
          <w:szCs w:val="24"/>
        </w:rPr>
        <w:tab/>
        <w:t xml:space="preserve">any agreement among underwriters and any selling group agreement relating to the initial sale of the Bonds to the public, together with the related pricing wires, contains or will contain language obligating each Underwriter that is a party to a third-party distribution agreement to be employed in connection with the initial sale of the Bonds to the public to require each broker-dealer that is a party to such third-party distribution agreement to (A) report the prices at which it sells to the public the unsold Bonds of each maturity allocated to it until either all Bonds of that maturity allocated to it have been sold or it is notified by the Representative or such Underwriter that the 10% Test has been satisfied as to the Bonds of that maturity and (B) comply with the hold-the-offering-price rule, if applicable, in each case if and for so long as directed by the Representative or the Underwriters and as set forth in the related pricing wires.   </w:t>
      </w:r>
    </w:p>
    <w:p w14:paraId="6FD0A711" w14:textId="6F9175EF" w:rsidR="003B718B" w:rsidRDefault="003B718B" w:rsidP="003B718B">
      <w:pPr>
        <w:pStyle w:val="BodyFL5"/>
        <w:ind w:left="0" w:firstLine="720"/>
        <w:rPr>
          <w:rFonts w:ascii="Times New Roman" w:hAnsi="Times New Roman"/>
          <w:sz w:val="24"/>
          <w:szCs w:val="24"/>
        </w:rPr>
      </w:pPr>
      <w:r>
        <w:rPr>
          <w:rFonts w:ascii="Times New Roman" w:hAnsi="Times New Roman"/>
          <w:sz w:val="24"/>
          <w:szCs w:val="24"/>
          <w:lang w:val="x-none"/>
        </w:rPr>
        <w:t>The Enterprise acknowledges that, in making the representation</w:t>
      </w:r>
      <w:r>
        <w:rPr>
          <w:rFonts w:ascii="Times New Roman" w:hAnsi="Times New Roman"/>
          <w:sz w:val="24"/>
          <w:szCs w:val="24"/>
        </w:rPr>
        <w:t>s</w:t>
      </w:r>
      <w:r>
        <w:rPr>
          <w:rFonts w:ascii="Times New Roman" w:hAnsi="Times New Roman"/>
          <w:sz w:val="24"/>
          <w:szCs w:val="24"/>
          <w:lang w:val="x-none"/>
        </w:rPr>
        <w:t xml:space="preserve"> set forth in this section, the Representative </w:t>
      </w:r>
      <w:r>
        <w:rPr>
          <w:rFonts w:ascii="Times New Roman" w:hAnsi="Times New Roman"/>
          <w:sz w:val="24"/>
          <w:szCs w:val="24"/>
        </w:rPr>
        <w:t>will rely</w:t>
      </w:r>
      <w:r>
        <w:rPr>
          <w:rFonts w:ascii="Times New Roman" w:hAnsi="Times New Roman"/>
          <w:sz w:val="24"/>
          <w:szCs w:val="24"/>
          <w:lang w:val="x-none"/>
        </w:rPr>
        <w:t xml:space="preserve"> on (i) the agreement of each Underwriter to comply with</w:t>
      </w:r>
      <w:r>
        <w:rPr>
          <w:rFonts w:ascii="Times New Roman" w:hAnsi="Times New Roman"/>
          <w:sz w:val="24"/>
          <w:szCs w:val="24"/>
        </w:rPr>
        <w:t xml:space="preserve"> the requirements for establishing issue price of the Bonds, including, but not limited to, its agreement to comply with</w:t>
      </w:r>
      <w:r>
        <w:rPr>
          <w:rFonts w:ascii="Times New Roman" w:hAnsi="Times New Roman"/>
          <w:sz w:val="24"/>
          <w:szCs w:val="24"/>
          <w:lang w:val="x-none"/>
        </w:rPr>
        <w:t xml:space="preserve"> the </w:t>
      </w:r>
      <w:r>
        <w:rPr>
          <w:rFonts w:ascii="Times New Roman" w:hAnsi="Times New Roman"/>
          <w:sz w:val="24"/>
          <w:szCs w:val="24"/>
        </w:rPr>
        <w:t>hold-the-offering-price rule</w:t>
      </w:r>
      <w:r>
        <w:rPr>
          <w:rFonts w:ascii="Times New Roman" w:hAnsi="Times New Roman"/>
          <w:sz w:val="24"/>
          <w:szCs w:val="24"/>
          <w:lang w:val="x-none"/>
        </w:rPr>
        <w:t xml:space="preserve">, </w:t>
      </w:r>
      <w:r>
        <w:rPr>
          <w:rFonts w:ascii="Times New Roman" w:hAnsi="Times New Roman"/>
          <w:sz w:val="24"/>
          <w:szCs w:val="24"/>
        </w:rPr>
        <w:t xml:space="preserve">if applicable to the Bonds, </w:t>
      </w:r>
      <w:r>
        <w:rPr>
          <w:rFonts w:ascii="Times New Roman" w:hAnsi="Times New Roman"/>
          <w:sz w:val="24"/>
          <w:szCs w:val="24"/>
          <w:lang w:val="x-none"/>
        </w:rPr>
        <w:t xml:space="preserve">as set forth in an agreement among underwriters and the related pricing wires, (ii) in the event a selling group has been created in connection with the </w:t>
      </w:r>
      <w:r>
        <w:rPr>
          <w:rFonts w:ascii="Times New Roman" w:hAnsi="Times New Roman"/>
          <w:sz w:val="24"/>
          <w:szCs w:val="24"/>
        </w:rPr>
        <w:t xml:space="preserve">initial </w:t>
      </w:r>
      <w:r>
        <w:rPr>
          <w:rFonts w:ascii="Times New Roman" w:hAnsi="Times New Roman"/>
          <w:sz w:val="24"/>
          <w:szCs w:val="24"/>
          <w:lang w:val="x-none"/>
        </w:rPr>
        <w:t xml:space="preserve">sale of the </w:t>
      </w:r>
      <w:r>
        <w:rPr>
          <w:rFonts w:ascii="Times New Roman" w:hAnsi="Times New Roman"/>
          <w:sz w:val="24"/>
          <w:szCs w:val="24"/>
        </w:rPr>
        <w:t>Bonds to the public</w:t>
      </w:r>
      <w:r>
        <w:rPr>
          <w:rFonts w:ascii="Times New Roman" w:hAnsi="Times New Roman"/>
          <w:sz w:val="24"/>
          <w:szCs w:val="24"/>
          <w:lang w:val="x-none"/>
        </w:rPr>
        <w:t>, the agreement of each dealer who is a member of the selling group to comply with the</w:t>
      </w:r>
      <w:r>
        <w:rPr>
          <w:rFonts w:ascii="Times New Roman" w:hAnsi="Times New Roman"/>
          <w:sz w:val="24"/>
          <w:szCs w:val="24"/>
        </w:rPr>
        <w:t xml:space="preserve"> requirements for establishing issue price of the Bonds, including, but not limited to, its agreement to comply with</w:t>
      </w:r>
      <w:r>
        <w:rPr>
          <w:rFonts w:ascii="Times New Roman" w:hAnsi="Times New Roman"/>
          <w:sz w:val="24"/>
          <w:szCs w:val="24"/>
          <w:lang w:val="x-none"/>
        </w:rPr>
        <w:t xml:space="preserve"> the </w:t>
      </w:r>
      <w:r>
        <w:rPr>
          <w:rFonts w:ascii="Times New Roman" w:hAnsi="Times New Roman"/>
          <w:sz w:val="24"/>
          <w:szCs w:val="24"/>
        </w:rPr>
        <w:t>hold-the-offering-price rule</w:t>
      </w:r>
      <w:r>
        <w:rPr>
          <w:rFonts w:ascii="Times New Roman" w:hAnsi="Times New Roman"/>
          <w:sz w:val="24"/>
          <w:szCs w:val="24"/>
          <w:lang w:val="x-none"/>
        </w:rPr>
        <w:t xml:space="preserve">, </w:t>
      </w:r>
      <w:r>
        <w:rPr>
          <w:rFonts w:ascii="Times New Roman" w:hAnsi="Times New Roman"/>
          <w:sz w:val="24"/>
          <w:szCs w:val="24"/>
        </w:rPr>
        <w:t xml:space="preserve">if applicable to the Bonds, </w:t>
      </w:r>
      <w:r>
        <w:rPr>
          <w:rFonts w:ascii="Times New Roman" w:hAnsi="Times New Roman"/>
          <w:sz w:val="24"/>
          <w:szCs w:val="24"/>
          <w:lang w:val="x-none"/>
        </w:rPr>
        <w:t>as set forth in a selling group agreement and the related pricing wires</w:t>
      </w:r>
      <w:r>
        <w:rPr>
          <w:rFonts w:ascii="Times New Roman" w:hAnsi="Times New Roman"/>
          <w:sz w:val="24"/>
          <w:szCs w:val="24"/>
        </w:rPr>
        <w:t>,</w:t>
      </w:r>
      <w:r>
        <w:rPr>
          <w:rFonts w:ascii="Times New Roman" w:hAnsi="Times New Roman"/>
          <w:sz w:val="24"/>
          <w:szCs w:val="24"/>
          <w:lang w:val="x-none"/>
        </w:rPr>
        <w:t xml:space="preserve"> and (iii) in the event that an Underwriter</w:t>
      </w:r>
      <w:r>
        <w:rPr>
          <w:rFonts w:ascii="Times New Roman" w:hAnsi="Times New Roman"/>
          <w:sz w:val="24"/>
          <w:szCs w:val="24"/>
        </w:rPr>
        <w:t xml:space="preserve"> or dealer who is a member of the selling group</w:t>
      </w:r>
      <w:r>
        <w:rPr>
          <w:rFonts w:ascii="Times New Roman" w:hAnsi="Times New Roman"/>
          <w:sz w:val="24"/>
          <w:szCs w:val="24"/>
          <w:lang w:val="x-none"/>
        </w:rPr>
        <w:t xml:space="preserve"> is a party to a </w:t>
      </w:r>
      <w:r>
        <w:rPr>
          <w:rFonts w:ascii="Times New Roman" w:hAnsi="Times New Roman"/>
          <w:sz w:val="24"/>
          <w:szCs w:val="24"/>
        </w:rPr>
        <w:t>third-party</w:t>
      </w:r>
      <w:r>
        <w:rPr>
          <w:rFonts w:ascii="Times New Roman" w:hAnsi="Times New Roman"/>
          <w:sz w:val="24"/>
          <w:szCs w:val="24"/>
          <w:lang w:val="x-none"/>
        </w:rPr>
        <w:t xml:space="preserve"> distribution agreement that was employed in connection with the </w:t>
      </w:r>
      <w:r>
        <w:rPr>
          <w:rFonts w:ascii="Times New Roman" w:hAnsi="Times New Roman"/>
          <w:sz w:val="24"/>
          <w:szCs w:val="24"/>
        </w:rPr>
        <w:t xml:space="preserve">initial </w:t>
      </w:r>
      <w:r>
        <w:rPr>
          <w:rFonts w:ascii="Times New Roman" w:hAnsi="Times New Roman"/>
          <w:sz w:val="24"/>
          <w:szCs w:val="24"/>
          <w:lang w:val="x-none"/>
        </w:rPr>
        <w:t xml:space="preserve">sale of the </w:t>
      </w:r>
      <w:r>
        <w:rPr>
          <w:rFonts w:ascii="Times New Roman" w:hAnsi="Times New Roman"/>
          <w:sz w:val="24"/>
          <w:szCs w:val="24"/>
        </w:rPr>
        <w:t>Bonds to the public</w:t>
      </w:r>
      <w:r>
        <w:rPr>
          <w:rFonts w:ascii="Times New Roman" w:hAnsi="Times New Roman"/>
          <w:sz w:val="24"/>
          <w:szCs w:val="24"/>
          <w:lang w:val="x-none"/>
        </w:rPr>
        <w:t>, the agreement of each broker-dealer that is a party to such agreement</w:t>
      </w:r>
      <w:r>
        <w:rPr>
          <w:rFonts w:ascii="Times New Roman" w:hAnsi="Times New Roman"/>
          <w:sz w:val="24"/>
          <w:szCs w:val="24"/>
        </w:rPr>
        <w:t xml:space="preserve"> to comply with the requirements for establishing issue price of the Bonds, including, but not limited to, its agreement to comply with</w:t>
      </w:r>
      <w:r>
        <w:rPr>
          <w:rFonts w:ascii="Times New Roman" w:hAnsi="Times New Roman"/>
          <w:sz w:val="24"/>
          <w:szCs w:val="24"/>
          <w:lang w:val="x-none"/>
        </w:rPr>
        <w:t xml:space="preserve"> the</w:t>
      </w:r>
      <w:r>
        <w:rPr>
          <w:rFonts w:ascii="Times New Roman" w:hAnsi="Times New Roman"/>
          <w:sz w:val="24"/>
          <w:szCs w:val="24"/>
        </w:rPr>
        <w:t xml:space="preserve"> hold-the-offering-price rule</w:t>
      </w:r>
      <w:r>
        <w:rPr>
          <w:rFonts w:ascii="Times New Roman" w:hAnsi="Times New Roman"/>
          <w:sz w:val="24"/>
          <w:szCs w:val="24"/>
          <w:lang w:val="x-none"/>
        </w:rPr>
        <w:t xml:space="preserve">, </w:t>
      </w:r>
      <w:r>
        <w:rPr>
          <w:rFonts w:ascii="Times New Roman" w:hAnsi="Times New Roman"/>
          <w:sz w:val="24"/>
          <w:szCs w:val="24"/>
        </w:rPr>
        <w:t xml:space="preserve">if </w:t>
      </w:r>
      <w:r>
        <w:rPr>
          <w:rFonts w:ascii="Times New Roman" w:hAnsi="Times New Roman"/>
          <w:sz w:val="24"/>
          <w:szCs w:val="24"/>
        </w:rPr>
        <w:lastRenderedPageBreak/>
        <w:t xml:space="preserve">applicable, </w:t>
      </w:r>
      <w:r>
        <w:rPr>
          <w:rFonts w:ascii="Times New Roman" w:hAnsi="Times New Roman"/>
          <w:sz w:val="24"/>
          <w:szCs w:val="24"/>
          <w:lang w:val="x-none"/>
        </w:rPr>
        <w:t xml:space="preserve">as set forth in the  </w:t>
      </w:r>
      <w:r>
        <w:rPr>
          <w:rFonts w:ascii="Times New Roman" w:hAnsi="Times New Roman"/>
          <w:sz w:val="24"/>
          <w:szCs w:val="24"/>
        </w:rPr>
        <w:t xml:space="preserve">third-party </w:t>
      </w:r>
      <w:r>
        <w:rPr>
          <w:rFonts w:ascii="Times New Roman" w:hAnsi="Times New Roman"/>
          <w:sz w:val="24"/>
          <w:szCs w:val="24"/>
          <w:lang w:val="x-none"/>
        </w:rPr>
        <w:t xml:space="preserve">distribution agreement and the related pricing wires.  The Enterprise further acknowledges that each </w:t>
      </w:r>
      <w:r>
        <w:rPr>
          <w:rFonts w:ascii="Times New Roman" w:hAnsi="Times New Roman"/>
          <w:sz w:val="24"/>
          <w:szCs w:val="24"/>
        </w:rPr>
        <w:t xml:space="preserve">Underwriter </w:t>
      </w:r>
      <w:r>
        <w:rPr>
          <w:rFonts w:ascii="Times New Roman" w:hAnsi="Times New Roman"/>
          <w:sz w:val="24"/>
          <w:szCs w:val="24"/>
          <w:lang w:val="x-none"/>
        </w:rPr>
        <w:t xml:space="preserve">shall be solely liable for its failure to comply with </w:t>
      </w:r>
      <w:r>
        <w:rPr>
          <w:rFonts w:ascii="Times New Roman" w:hAnsi="Times New Roman"/>
          <w:sz w:val="24"/>
          <w:szCs w:val="24"/>
        </w:rPr>
        <w:t xml:space="preserve">its agreement </w:t>
      </w:r>
      <w:r>
        <w:rPr>
          <w:rFonts w:ascii="Times New Roman" w:hAnsi="Times New Roman"/>
          <w:sz w:val="24"/>
          <w:szCs w:val="24"/>
          <w:lang w:val="x-none"/>
        </w:rPr>
        <w:t xml:space="preserve">regarding </w:t>
      </w:r>
      <w:r>
        <w:rPr>
          <w:rFonts w:ascii="Times New Roman" w:hAnsi="Times New Roman"/>
          <w:sz w:val="24"/>
          <w:szCs w:val="24"/>
        </w:rPr>
        <w:t xml:space="preserve">the requirements for establishing issue price of the Bonds, including, but not limited to, its agreement to comply with </w:t>
      </w:r>
      <w:r>
        <w:rPr>
          <w:rFonts w:ascii="Times New Roman" w:hAnsi="Times New Roman"/>
          <w:sz w:val="24"/>
          <w:szCs w:val="24"/>
          <w:lang w:val="x-none"/>
        </w:rPr>
        <w:t>the hold-the-offering-price rule</w:t>
      </w:r>
      <w:r>
        <w:rPr>
          <w:rFonts w:ascii="Times New Roman" w:hAnsi="Times New Roman"/>
          <w:sz w:val="24"/>
          <w:szCs w:val="24"/>
        </w:rPr>
        <w:t xml:space="preserve">, if applicable to the Bonds, </w:t>
      </w:r>
      <w:r>
        <w:rPr>
          <w:rFonts w:ascii="Times New Roman" w:hAnsi="Times New Roman"/>
          <w:sz w:val="24"/>
          <w:szCs w:val="24"/>
          <w:lang w:val="x-none"/>
        </w:rPr>
        <w:t xml:space="preserve">and that no Underwriter shall be liable for the failure of any other Underwriter, </w:t>
      </w:r>
      <w:r>
        <w:rPr>
          <w:rFonts w:ascii="Times New Roman" w:hAnsi="Times New Roman"/>
          <w:sz w:val="24"/>
          <w:szCs w:val="24"/>
        </w:rPr>
        <w:t xml:space="preserve">or </w:t>
      </w:r>
      <w:r>
        <w:rPr>
          <w:rFonts w:ascii="Times New Roman" w:hAnsi="Times New Roman"/>
          <w:sz w:val="24"/>
          <w:szCs w:val="24"/>
          <w:lang w:val="x-none"/>
        </w:rPr>
        <w:t>of any dealer who is a member of a selling group</w:t>
      </w:r>
      <w:r>
        <w:rPr>
          <w:rFonts w:ascii="Times New Roman" w:hAnsi="Times New Roman"/>
          <w:sz w:val="24"/>
          <w:szCs w:val="24"/>
        </w:rPr>
        <w:t>,</w:t>
      </w:r>
      <w:r>
        <w:rPr>
          <w:rFonts w:ascii="Times New Roman" w:hAnsi="Times New Roman"/>
          <w:sz w:val="24"/>
          <w:szCs w:val="24"/>
          <w:lang w:val="x-none"/>
        </w:rPr>
        <w:t xml:space="preserve"> or of any broker-dealer that is a party to a </w:t>
      </w:r>
      <w:r>
        <w:rPr>
          <w:rFonts w:ascii="Times New Roman" w:hAnsi="Times New Roman"/>
          <w:sz w:val="24"/>
          <w:szCs w:val="24"/>
        </w:rPr>
        <w:t>third-party</w:t>
      </w:r>
      <w:r>
        <w:rPr>
          <w:rFonts w:ascii="Times New Roman" w:hAnsi="Times New Roman"/>
          <w:sz w:val="24"/>
          <w:szCs w:val="24"/>
          <w:lang w:val="x-none"/>
        </w:rPr>
        <w:t xml:space="preserve"> distribution agreement</w:t>
      </w:r>
      <w:r>
        <w:rPr>
          <w:rFonts w:ascii="Times New Roman" w:hAnsi="Times New Roman"/>
          <w:sz w:val="24"/>
          <w:szCs w:val="24"/>
        </w:rPr>
        <w:t>,</w:t>
      </w:r>
      <w:r>
        <w:rPr>
          <w:rFonts w:ascii="Times New Roman" w:hAnsi="Times New Roman"/>
          <w:sz w:val="24"/>
          <w:szCs w:val="24"/>
          <w:lang w:val="x-none"/>
        </w:rPr>
        <w:t xml:space="preserve"> to comply with its </w:t>
      </w:r>
      <w:r>
        <w:rPr>
          <w:rFonts w:ascii="Times New Roman" w:hAnsi="Times New Roman"/>
          <w:sz w:val="24"/>
          <w:szCs w:val="24"/>
        </w:rPr>
        <w:t xml:space="preserve">corresponding </w:t>
      </w:r>
      <w:r>
        <w:rPr>
          <w:rFonts w:ascii="Times New Roman" w:hAnsi="Times New Roman"/>
          <w:sz w:val="24"/>
          <w:szCs w:val="24"/>
          <w:lang w:val="x-none"/>
        </w:rPr>
        <w:t xml:space="preserve">agreement </w:t>
      </w:r>
      <w:r>
        <w:rPr>
          <w:rFonts w:ascii="Times New Roman" w:hAnsi="Times New Roman"/>
          <w:sz w:val="24"/>
          <w:szCs w:val="24"/>
        </w:rPr>
        <w:t>to comply with the requirements for establishing issue price of the Bonds, including, but not limited to, its agreement to comply with</w:t>
      </w:r>
      <w:r>
        <w:rPr>
          <w:rFonts w:ascii="Times New Roman" w:hAnsi="Times New Roman"/>
          <w:sz w:val="24"/>
          <w:szCs w:val="24"/>
          <w:lang w:val="x-none"/>
        </w:rPr>
        <w:t xml:space="preserve"> the hold-the-offering-price rule</w:t>
      </w:r>
      <w:r>
        <w:rPr>
          <w:rFonts w:ascii="Times New Roman" w:hAnsi="Times New Roman"/>
          <w:sz w:val="24"/>
          <w:szCs w:val="24"/>
        </w:rPr>
        <w:t>, if applicable to the Bonds</w:t>
      </w:r>
      <w:r>
        <w:rPr>
          <w:rFonts w:ascii="Times New Roman" w:hAnsi="Times New Roman"/>
          <w:sz w:val="24"/>
          <w:szCs w:val="24"/>
          <w:lang w:val="x-none"/>
        </w:rPr>
        <w:t>.</w:t>
      </w:r>
      <w:r>
        <w:rPr>
          <w:rFonts w:ascii="Times New Roman" w:hAnsi="Times New Roman"/>
          <w:sz w:val="24"/>
          <w:szCs w:val="24"/>
        </w:rPr>
        <w:t xml:space="preserve">  </w:t>
      </w:r>
    </w:p>
    <w:p w14:paraId="32A63967" w14:textId="33147D16" w:rsidR="003B718B" w:rsidRDefault="00047379" w:rsidP="003B718B">
      <w:pPr>
        <w:pStyle w:val="BodyFL5"/>
        <w:tabs>
          <w:tab w:val="left" w:pos="720"/>
        </w:tabs>
        <w:ind w:left="0" w:firstLine="0"/>
        <w:rPr>
          <w:rFonts w:ascii="Times New Roman" w:hAnsi="Times New Roman"/>
          <w:sz w:val="24"/>
          <w:szCs w:val="24"/>
        </w:rPr>
      </w:pPr>
      <w:r>
        <w:rPr>
          <w:rFonts w:ascii="Times New Roman" w:hAnsi="Times New Roman"/>
          <w:sz w:val="24"/>
          <w:szCs w:val="24"/>
        </w:rPr>
        <w:tab/>
        <w:t>(e)</w:t>
      </w:r>
      <w:r w:rsidR="003B718B">
        <w:rPr>
          <w:rFonts w:ascii="Times New Roman" w:hAnsi="Times New Roman"/>
          <w:sz w:val="24"/>
          <w:szCs w:val="24"/>
        </w:rPr>
        <w:tab/>
        <w:t>The Underwriters acknowledge that sales of any Bonds to any person that is a related party to an underwriter participating in the initial sale of the Bonds to the public (each such term being used as defined below) shall not constitute sales to the public for purposes of this section.  Further, for purposes of this section:</w:t>
      </w:r>
    </w:p>
    <w:p w14:paraId="2DF4F292" w14:textId="77777777" w:rsidR="003B718B" w:rsidRDefault="003B718B" w:rsidP="003B718B">
      <w:pPr>
        <w:pStyle w:val="BodyFL5"/>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w:t>
      </w:r>
      <w:proofErr w:type="gramStart"/>
      <w:r>
        <w:rPr>
          <w:rFonts w:ascii="Times New Roman" w:hAnsi="Times New Roman"/>
          <w:sz w:val="24"/>
          <w:szCs w:val="24"/>
        </w:rPr>
        <w:t>public</w:t>
      </w:r>
      <w:proofErr w:type="gramEnd"/>
      <w:r>
        <w:rPr>
          <w:rFonts w:ascii="Times New Roman" w:hAnsi="Times New Roman"/>
          <w:sz w:val="24"/>
          <w:szCs w:val="24"/>
        </w:rPr>
        <w:t>” means any person other than an underwriter or a related party to an underwriter,</w:t>
      </w:r>
    </w:p>
    <w:p w14:paraId="290A8FD3" w14:textId="77777777" w:rsidR="003B718B" w:rsidRDefault="003B718B" w:rsidP="003B718B">
      <w:pPr>
        <w:pStyle w:val="BodyFL5"/>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“underwriter” means (A) any person that agrees pursuant to a written contract with the Enterprise (or with the lead underwriter to form an underwriting syndicate) to participate in the initial sale of the Bonds to the public and (B) any person that agrees pursuant to a written contract directly or indirectly with a person described in clause (A) to participate in the initial sale of the Bonds to the public (including a member of a selling group or a party to a third-party distribution agreement participating in the initial sale of the Bonds to the public), </w:t>
      </w:r>
    </w:p>
    <w:p w14:paraId="153C61C1" w14:textId="77777777" w:rsidR="003B718B" w:rsidRDefault="003B718B" w:rsidP="003B718B">
      <w:pPr>
        <w:pStyle w:val="BodyFL5"/>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a purchaser of any of the Bonds is a “related party” to an underwriter if the underwriter and the purchaser are subject, directly or indirectly, to (i) more than 50% common ownership of the voting power or the total value of their stock, if both entities are corporations (including direct ownership by one corporation of another), (ii) more than 50% common ownership of their capital interests or profits interests, if both entities are partnerships (including direct ownership by one partnership of another), or (iii)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w:t>
      </w:r>
    </w:p>
    <w:p w14:paraId="487EE342" w14:textId="77777777" w:rsidR="003B718B" w:rsidRDefault="003B718B" w:rsidP="003B718B">
      <w:pPr>
        <w:pStyle w:val="BodyFL5"/>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w:t>
      </w:r>
      <w:proofErr w:type="gramStart"/>
      <w:r>
        <w:rPr>
          <w:rFonts w:ascii="Times New Roman" w:hAnsi="Times New Roman"/>
          <w:sz w:val="24"/>
          <w:szCs w:val="24"/>
        </w:rPr>
        <w:t>sale</w:t>
      </w:r>
      <w:proofErr w:type="gramEnd"/>
      <w:r>
        <w:rPr>
          <w:rFonts w:ascii="Times New Roman" w:hAnsi="Times New Roman"/>
          <w:sz w:val="24"/>
          <w:szCs w:val="24"/>
        </w:rPr>
        <w:t xml:space="preserve"> date” means the date of execution of this Purchase Agreement by all parties.</w:t>
      </w:r>
    </w:p>
    <w:p w14:paraId="46E13304" w14:textId="77777777" w:rsidR="003B718B" w:rsidRDefault="003B718B" w:rsidP="0080532E">
      <w:pPr>
        <w:pStyle w:val="Heading1"/>
        <w:keepLines/>
        <w:numPr>
          <w:ilvl w:val="0"/>
          <w:numId w:val="6"/>
        </w:numPr>
        <w:spacing w:before="0" w:after="240"/>
        <w:ind w:left="0"/>
        <w:jc w:val="both"/>
      </w:pPr>
      <w:r>
        <w:rPr>
          <w:u w:val="single"/>
        </w:rPr>
        <w:lastRenderedPageBreak/>
        <w:t>Representations</w:t>
      </w:r>
      <w:r>
        <w:t xml:space="preserve">.  The Enterprise represents to and agrees with the Underwriters that: </w:t>
      </w:r>
    </w:p>
    <w:p w14:paraId="0496F0C7" w14:textId="2C4CCC55" w:rsidR="004671B7" w:rsidRDefault="003B718B" w:rsidP="0080532E">
      <w:pPr>
        <w:pStyle w:val="Heading2"/>
        <w:numPr>
          <w:ilvl w:val="1"/>
          <w:numId w:val="6"/>
        </w:numPr>
        <w:tabs>
          <w:tab w:val="clear" w:pos="1699"/>
          <w:tab w:val="clear" w:pos="2016"/>
        </w:tabs>
        <w:spacing w:before="0" w:after="240"/>
        <w:rPr>
          <w:i w:val="0"/>
        </w:rPr>
      </w:pPr>
      <w:r>
        <w:rPr>
          <w:i w:val="0"/>
        </w:rPr>
        <w:t xml:space="preserve">The Enterprise is a government-owned business of the State </w:t>
      </w:r>
      <w:r w:rsidR="00EE657A" w:rsidRPr="00EE657A">
        <w:rPr>
          <w:i w:val="0"/>
        </w:rPr>
        <w:t xml:space="preserve">within </w:t>
      </w:r>
      <w:r w:rsidR="00EE657A" w:rsidRPr="00EE657A">
        <w:rPr>
          <w:i w:val="0"/>
          <w:u w:val="single"/>
        </w:rPr>
        <w:t>CDOT</w:t>
      </w:r>
      <w:r w:rsidR="00EE657A" w:rsidRPr="00EE657A">
        <w:rPr>
          <w:i w:val="0"/>
        </w:rPr>
        <w:t xml:space="preserve"> </w:t>
      </w:r>
      <w:r>
        <w:rPr>
          <w:i w:val="0"/>
        </w:rPr>
        <w:t xml:space="preserve">and an enterprise within the meaning of Article X, Section 20(2)(d) of the Colorado Constitution, duly created, organized and </w:t>
      </w:r>
      <w:r w:rsidR="004671B7">
        <w:rPr>
          <w:i w:val="0"/>
        </w:rPr>
        <w:t xml:space="preserve">validly </w:t>
      </w:r>
      <w:r>
        <w:rPr>
          <w:i w:val="0"/>
        </w:rPr>
        <w:t xml:space="preserve">existing under </w:t>
      </w:r>
      <w:r w:rsidR="004671B7">
        <w:rPr>
          <w:i w:val="0"/>
        </w:rPr>
        <w:t>FASTER with</w:t>
      </w:r>
      <w:r>
        <w:rPr>
          <w:i w:val="0"/>
        </w:rPr>
        <w:t xml:space="preserve"> full legal right, power and authority </w:t>
      </w:r>
      <w:r w:rsidR="004671B7">
        <w:rPr>
          <w:i w:val="0"/>
        </w:rPr>
        <w:t xml:space="preserve">to issue, sell and deliver the Bonds to the Underwriters pursuant to the </w:t>
      </w:r>
      <w:r w:rsidR="00294498">
        <w:rPr>
          <w:i w:val="0"/>
        </w:rPr>
        <w:t xml:space="preserve">Senior </w:t>
      </w:r>
      <w:r w:rsidR="004671B7">
        <w:rPr>
          <w:i w:val="0"/>
        </w:rPr>
        <w:t>Indenture, and execute, deliver and perform its obligations under this</w:t>
      </w:r>
      <w:r w:rsidR="004671B7" w:rsidRPr="004671B7">
        <w:rPr>
          <w:i w:val="0"/>
        </w:rPr>
        <w:t xml:space="preserve"> </w:t>
      </w:r>
      <w:r w:rsidR="004671B7">
        <w:rPr>
          <w:i w:val="0"/>
        </w:rPr>
        <w:t xml:space="preserve">Purchase Agreement, the Authorizing Resolution, the </w:t>
      </w:r>
      <w:r w:rsidR="00294498">
        <w:rPr>
          <w:i w:val="0"/>
        </w:rPr>
        <w:t xml:space="preserve">Senior </w:t>
      </w:r>
      <w:r w:rsidR="004671B7">
        <w:rPr>
          <w:i w:val="0"/>
        </w:rPr>
        <w:t>Indentu</w:t>
      </w:r>
      <w:r w:rsidR="00EE657A">
        <w:rPr>
          <w:i w:val="0"/>
        </w:rPr>
        <w:t>re, the Bonds, the Undertaking</w:t>
      </w:r>
      <w:r w:rsidR="000122EF">
        <w:rPr>
          <w:i w:val="0"/>
        </w:rPr>
        <w:t xml:space="preserve">, the </w:t>
      </w:r>
      <w:r w:rsidR="000122EF" w:rsidRPr="000122EF">
        <w:rPr>
          <w:i w:val="0"/>
        </w:rPr>
        <w:t>Defeasance Escrow Agreement dated [___], 2024</w:t>
      </w:r>
      <w:r w:rsidR="000122EF">
        <w:rPr>
          <w:i w:val="0"/>
        </w:rPr>
        <w:t xml:space="preserve"> </w:t>
      </w:r>
      <w:r w:rsidR="000122EF" w:rsidRPr="000122EF">
        <w:rPr>
          <w:i w:val="0"/>
        </w:rPr>
        <w:t>by and between the Enterprise and Zions Bancorporation, National Association, as escrow agent</w:t>
      </w:r>
      <w:r w:rsidR="000122EF" w:rsidRPr="000122EF">
        <w:t xml:space="preserve"> </w:t>
      </w:r>
      <w:r w:rsidR="000122EF" w:rsidRPr="000122EF">
        <w:rPr>
          <w:i w:val="0"/>
        </w:rPr>
        <w:t>(the “</w:t>
      </w:r>
      <w:r w:rsidR="000122EF" w:rsidRPr="000122EF">
        <w:rPr>
          <w:i w:val="0"/>
          <w:u w:val="single"/>
        </w:rPr>
        <w:t>Escrow Agreement</w:t>
      </w:r>
      <w:r w:rsidR="000122EF" w:rsidRPr="000122EF">
        <w:rPr>
          <w:i w:val="0"/>
        </w:rPr>
        <w:t xml:space="preserve">”) </w:t>
      </w:r>
      <w:r w:rsidR="004671B7">
        <w:rPr>
          <w:i w:val="0"/>
        </w:rPr>
        <w:t>and all documents required hereunder and thereunder to be executed and delivered by the Enterprise (collectively, the “</w:t>
      </w:r>
      <w:r w:rsidR="004671B7" w:rsidRPr="0071287E">
        <w:rPr>
          <w:i w:val="0"/>
          <w:u w:val="single"/>
        </w:rPr>
        <w:t>Enterprise Documents</w:t>
      </w:r>
      <w:r w:rsidR="004671B7">
        <w:rPr>
          <w:i w:val="0"/>
        </w:rPr>
        <w:t xml:space="preserve">”) and to perform and consummate all obligations and transactions required or contemplated by each of the Enterprise Documents and the </w:t>
      </w:r>
      <w:r w:rsidR="004671B7" w:rsidRPr="00D16EAF">
        <w:rPr>
          <w:i w:val="0"/>
        </w:rPr>
        <w:t>Official Statement.</w:t>
      </w:r>
      <w:r w:rsidR="004671B7">
        <w:rPr>
          <w:i w:val="0"/>
        </w:rPr>
        <w:t xml:space="preserve">  </w:t>
      </w:r>
    </w:p>
    <w:p w14:paraId="486F0AB4" w14:textId="27ED0C6D" w:rsidR="003B718B" w:rsidRDefault="0071287E" w:rsidP="0080532E">
      <w:pPr>
        <w:pStyle w:val="Heading2"/>
        <w:numPr>
          <w:ilvl w:val="1"/>
          <w:numId w:val="6"/>
        </w:numPr>
        <w:tabs>
          <w:tab w:val="clear" w:pos="1699"/>
          <w:tab w:val="clear" w:pos="2016"/>
        </w:tabs>
        <w:spacing w:before="0" w:after="240"/>
        <w:rPr>
          <w:i w:val="0"/>
        </w:rPr>
      </w:pPr>
      <w:r>
        <w:rPr>
          <w:i w:val="0"/>
        </w:rPr>
        <w:t>T</w:t>
      </w:r>
      <w:r w:rsidR="003B718B">
        <w:rPr>
          <w:i w:val="0"/>
        </w:rPr>
        <w:t>he Enterprise has complied, and will at the Closing</w:t>
      </w:r>
      <w:r w:rsidR="004671B7">
        <w:rPr>
          <w:i w:val="0"/>
        </w:rPr>
        <w:t xml:space="preserve"> (defined below)</w:t>
      </w:r>
      <w:r w:rsidR="003B718B">
        <w:rPr>
          <w:i w:val="0"/>
        </w:rPr>
        <w:t xml:space="preserve"> be in compliance in all respects, with applicable terms of the Constitution and laws of the State, including the Act, and the Enterprise Documents as they pertain to transactions</w:t>
      </w:r>
      <w:r w:rsidR="004671B7">
        <w:rPr>
          <w:i w:val="0"/>
        </w:rPr>
        <w:t xml:space="preserve"> contemplated therein</w:t>
      </w:r>
      <w:r>
        <w:rPr>
          <w:i w:val="0"/>
        </w:rPr>
        <w:t>.</w:t>
      </w:r>
    </w:p>
    <w:p w14:paraId="66FA6498" w14:textId="33B0AC56" w:rsidR="003B718B" w:rsidRDefault="003B718B" w:rsidP="0080532E">
      <w:pPr>
        <w:pStyle w:val="Heading2"/>
        <w:numPr>
          <w:ilvl w:val="1"/>
          <w:numId w:val="6"/>
        </w:numPr>
        <w:tabs>
          <w:tab w:val="clear" w:pos="1699"/>
          <w:tab w:val="clear" w:pos="2016"/>
        </w:tabs>
        <w:spacing w:before="0" w:after="240"/>
        <w:rPr>
          <w:i w:val="0"/>
        </w:rPr>
      </w:pPr>
      <w:r>
        <w:rPr>
          <w:i w:val="0"/>
        </w:rPr>
        <w:t>By all necessary official action of the Enterprise prior to or concurrently with the acceptance hereof, the Enterprise has duly authorized all action</w:t>
      </w:r>
      <w:r w:rsidR="00E455A9">
        <w:rPr>
          <w:i w:val="0"/>
        </w:rPr>
        <w:t>s</w:t>
      </w:r>
      <w:r>
        <w:rPr>
          <w:i w:val="0"/>
        </w:rPr>
        <w:t xml:space="preserve"> to be taken by it for (i) the issuance</w:t>
      </w:r>
      <w:r w:rsidR="00E455A9">
        <w:rPr>
          <w:i w:val="0"/>
        </w:rPr>
        <w:t>,</w:t>
      </w:r>
      <w:r>
        <w:rPr>
          <w:i w:val="0"/>
        </w:rPr>
        <w:t xml:space="preserve"> sale </w:t>
      </w:r>
      <w:r w:rsidR="00E455A9">
        <w:rPr>
          <w:i w:val="0"/>
        </w:rPr>
        <w:t xml:space="preserve">and delivery </w:t>
      </w:r>
      <w:r>
        <w:rPr>
          <w:i w:val="0"/>
        </w:rPr>
        <w:t xml:space="preserve">of the Bonds, </w:t>
      </w:r>
      <w:r w:rsidR="00676139">
        <w:rPr>
          <w:i w:val="0"/>
        </w:rPr>
        <w:t xml:space="preserve">(ii) the refunding of the Refunded Bonds, </w:t>
      </w:r>
      <w:r>
        <w:rPr>
          <w:i w:val="0"/>
        </w:rPr>
        <w:t>(</w:t>
      </w:r>
      <w:r w:rsidR="00676139">
        <w:rPr>
          <w:i w:val="0"/>
        </w:rPr>
        <w:t>i</w:t>
      </w:r>
      <w:r>
        <w:rPr>
          <w:i w:val="0"/>
        </w:rPr>
        <w:t>ii) the approval, execution and delivery of, and the performance by the Enterprise of the obligations on its part contained in, the Enterprise Documents, and (i</w:t>
      </w:r>
      <w:r w:rsidR="00676139">
        <w:rPr>
          <w:i w:val="0"/>
        </w:rPr>
        <w:t>v</w:t>
      </w:r>
      <w:r>
        <w:rPr>
          <w:i w:val="0"/>
        </w:rPr>
        <w:t>) the consummation by it of all other transactions contemplated by the Official Statement</w:t>
      </w:r>
      <w:r w:rsidR="00E455A9">
        <w:rPr>
          <w:i w:val="0"/>
        </w:rPr>
        <w:t xml:space="preserve"> and</w:t>
      </w:r>
      <w:r>
        <w:t xml:space="preserve"> </w:t>
      </w:r>
      <w:r>
        <w:rPr>
          <w:i w:val="0"/>
        </w:rPr>
        <w:t>the Enterprise Documents</w:t>
      </w:r>
      <w:r w:rsidR="0071287E">
        <w:rPr>
          <w:i w:val="0"/>
        </w:rPr>
        <w:t>.</w:t>
      </w:r>
    </w:p>
    <w:p w14:paraId="69A40AFE" w14:textId="28572C95" w:rsidR="00E455A9" w:rsidRPr="0014198E" w:rsidRDefault="00BB3C56" w:rsidP="0080532E">
      <w:pPr>
        <w:pStyle w:val="Heading2"/>
        <w:numPr>
          <w:ilvl w:val="1"/>
          <w:numId w:val="2"/>
        </w:numPr>
        <w:tabs>
          <w:tab w:val="clear" w:pos="1699"/>
          <w:tab w:val="clear" w:pos="2016"/>
        </w:tabs>
        <w:spacing w:before="0" w:after="240"/>
        <w:rPr>
          <w:i w:val="0"/>
        </w:rPr>
      </w:pPr>
      <w:r w:rsidRPr="00E455A9">
        <w:rPr>
          <w:i w:val="0"/>
        </w:rPr>
        <w:t>The Enterprise has executed and delivered, or will execute and deliver on or before the Closing, each of the Enterprise</w:t>
      </w:r>
      <w:r w:rsidRPr="00BB3C56">
        <w:rPr>
          <w:i w:val="0"/>
        </w:rPr>
        <w:t xml:space="preserve"> Documents and </w:t>
      </w:r>
      <w:r>
        <w:rPr>
          <w:i w:val="0"/>
        </w:rPr>
        <w:t xml:space="preserve">each Enterprise Document </w:t>
      </w:r>
      <w:r w:rsidRPr="00BB3C56">
        <w:rPr>
          <w:i w:val="0"/>
        </w:rPr>
        <w:t xml:space="preserve">is currently in full force and effect or, as of the </w:t>
      </w:r>
      <w:r w:rsidR="00541C23">
        <w:rPr>
          <w:i w:val="0"/>
        </w:rPr>
        <w:t>Closing Date</w:t>
      </w:r>
      <w:r w:rsidRPr="00BB3C56">
        <w:rPr>
          <w:i w:val="0"/>
        </w:rPr>
        <w:t xml:space="preserve">, will be in full force and effect.  </w:t>
      </w:r>
    </w:p>
    <w:p w14:paraId="3586700E" w14:textId="555F6B45" w:rsidR="00BB3C56" w:rsidRDefault="00BB3C56" w:rsidP="0080532E">
      <w:pPr>
        <w:pStyle w:val="Heading2"/>
        <w:numPr>
          <w:ilvl w:val="1"/>
          <w:numId w:val="6"/>
        </w:numPr>
        <w:tabs>
          <w:tab w:val="clear" w:pos="1699"/>
          <w:tab w:val="clear" w:pos="2016"/>
        </w:tabs>
        <w:spacing w:before="0" w:after="240"/>
        <w:rPr>
          <w:i w:val="0"/>
        </w:rPr>
      </w:pPr>
      <w:r w:rsidRPr="0014198E">
        <w:rPr>
          <w:i w:val="0"/>
        </w:rPr>
        <w:t xml:space="preserve">The Bonds, when duly issued and authenticated in accordance with the </w:t>
      </w:r>
      <w:r w:rsidR="00294498">
        <w:rPr>
          <w:i w:val="0"/>
        </w:rPr>
        <w:t xml:space="preserve">Senior </w:t>
      </w:r>
      <w:r w:rsidRPr="0014198E">
        <w:rPr>
          <w:i w:val="0"/>
        </w:rPr>
        <w:t xml:space="preserve">Indenture and delivered </w:t>
      </w:r>
      <w:r>
        <w:rPr>
          <w:i w:val="0"/>
        </w:rPr>
        <w:t>to the Underwriters</w:t>
      </w:r>
      <w:r w:rsidRPr="0014198E">
        <w:rPr>
          <w:i w:val="0"/>
        </w:rPr>
        <w:t xml:space="preserve"> as provided herein, will be validly issued and outstanding obligations of the </w:t>
      </w:r>
      <w:r>
        <w:rPr>
          <w:i w:val="0"/>
        </w:rPr>
        <w:t>Enterprise</w:t>
      </w:r>
      <w:r w:rsidRPr="0014198E">
        <w:rPr>
          <w:i w:val="0"/>
        </w:rPr>
        <w:t xml:space="preserve">, entitled to the benefits of the </w:t>
      </w:r>
      <w:r w:rsidR="00294498">
        <w:rPr>
          <w:i w:val="0"/>
        </w:rPr>
        <w:t xml:space="preserve">Senior </w:t>
      </w:r>
      <w:r w:rsidRPr="0014198E">
        <w:rPr>
          <w:i w:val="0"/>
        </w:rPr>
        <w:t>Indenture</w:t>
      </w:r>
      <w:r>
        <w:rPr>
          <w:i w:val="0"/>
        </w:rPr>
        <w:t>,</w:t>
      </w:r>
      <w:r w:rsidRPr="0014198E">
        <w:rPr>
          <w:i w:val="0"/>
        </w:rPr>
        <w:t xml:space="preserve"> payable from the sources therein specified</w:t>
      </w:r>
      <w:r w:rsidRPr="00BB3C56">
        <w:rPr>
          <w:i w:val="0"/>
        </w:rPr>
        <w:t xml:space="preserve"> </w:t>
      </w:r>
      <w:r>
        <w:rPr>
          <w:i w:val="0"/>
        </w:rPr>
        <w:t xml:space="preserve">and </w:t>
      </w:r>
      <w:r w:rsidRPr="00BB3C56">
        <w:rPr>
          <w:i w:val="0"/>
        </w:rPr>
        <w:t xml:space="preserve">enforceable in accordance with </w:t>
      </w:r>
      <w:r>
        <w:rPr>
          <w:i w:val="0"/>
        </w:rPr>
        <w:t xml:space="preserve">their </w:t>
      </w:r>
      <w:r w:rsidRPr="00BB3C56">
        <w:rPr>
          <w:i w:val="0"/>
        </w:rPr>
        <w:t xml:space="preserve">terms, subject to any applicable bankruptcy, insolvency or other laws affecting creditors’ rights or remedies </w:t>
      </w:r>
      <w:r>
        <w:rPr>
          <w:i w:val="0"/>
        </w:rPr>
        <w:t>heretofore or hereafter enacted.</w:t>
      </w:r>
    </w:p>
    <w:p w14:paraId="6A01FF17" w14:textId="0CC8D013" w:rsidR="00E455A9" w:rsidRPr="00BB3C56" w:rsidRDefault="00E455A9" w:rsidP="0080532E">
      <w:pPr>
        <w:pStyle w:val="Heading2"/>
        <w:numPr>
          <w:ilvl w:val="1"/>
          <w:numId w:val="6"/>
        </w:numPr>
        <w:tabs>
          <w:tab w:val="clear" w:pos="1699"/>
          <w:tab w:val="clear" w:pos="2016"/>
        </w:tabs>
        <w:spacing w:before="0" w:after="240"/>
        <w:rPr>
          <w:i w:val="0"/>
        </w:rPr>
      </w:pPr>
      <w:r w:rsidRPr="00BB3C56">
        <w:rPr>
          <w:i w:val="0"/>
        </w:rPr>
        <w:t xml:space="preserve">Each of the Enterprise Documents constitutes, or will, as of the </w:t>
      </w:r>
      <w:r w:rsidR="00541C23">
        <w:rPr>
          <w:i w:val="0"/>
        </w:rPr>
        <w:t>Closing Date</w:t>
      </w:r>
      <w:r w:rsidRPr="00BB3C56">
        <w:rPr>
          <w:i w:val="0"/>
        </w:rPr>
        <w:t xml:space="preserve">, constitute, a legal, valid and binding obligation of the Enterprise enforceable in accordance with its terms, subject to any applicable bankruptcy, insolvency or other laws affecting creditors’ rights or remedies heretofore or hereafter enacted.  </w:t>
      </w:r>
    </w:p>
    <w:p w14:paraId="15FC5379" w14:textId="697FF6EE" w:rsidR="003B718B" w:rsidRDefault="003B718B" w:rsidP="0080532E">
      <w:pPr>
        <w:pStyle w:val="Heading2"/>
        <w:numPr>
          <w:ilvl w:val="1"/>
          <w:numId w:val="6"/>
        </w:numPr>
        <w:rPr>
          <w:i w:val="0"/>
        </w:rPr>
      </w:pPr>
      <w:r>
        <w:rPr>
          <w:i w:val="0"/>
        </w:rPr>
        <w:t xml:space="preserve">The Enterprise is not in breach of or default in any material respect under any applicable constitutional provision, law or administrative regulation of the State or the United States or any applicable judgment or decree or any loan agreement, indenture, bond, note, resolution, agreement or other instrument to which the Enterprise is a party or to which the </w:t>
      </w:r>
      <w:r>
        <w:rPr>
          <w:i w:val="0"/>
        </w:rPr>
        <w:lastRenderedPageBreak/>
        <w:t>Enterprise is or any of its property or assets are otherwise subject, and no event has occurred and is continuing which constitutes or with the passage of time or the giving of notice, or both, would constitute a default or event of default by the Enterprise under any of the foregoing; and the execution and delivery of the Enterprise Documents and the issuance of the Bonds, and compliance with the provisions on the Enterprise’s part contained therein, will not conflict with or constitute a breach of or default under any constitutional provision, administrative regulation, judgment, decree, loan agreement, indenture, bond, note, resolution, agreement or other instrument to which the Enterprise is a party or to which the Enterprise is or to which any of its property or assets are otherwise subject, nor will any such adoption, execution, delivery, issuance or compliance result in the creation or imposition of any lien, charge or other security interest or encumbrance of any nature whatsoever upon any of the property or assets of the Enterprise to be pledged to secure the Bonds or under the terms of any such law, regulation or instrument, except as contemplated or permitted</w:t>
      </w:r>
      <w:r w:rsidR="0071287E">
        <w:rPr>
          <w:i w:val="0"/>
        </w:rPr>
        <w:t xml:space="preserve"> by the Bonds and the </w:t>
      </w:r>
      <w:r w:rsidR="00294498">
        <w:rPr>
          <w:i w:val="0"/>
        </w:rPr>
        <w:t xml:space="preserve">Senior </w:t>
      </w:r>
      <w:r w:rsidR="0071287E">
        <w:rPr>
          <w:i w:val="0"/>
        </w:rPr>
        <w:t>Indenture.</w:t>
      </w:r>
      <w:r>
        <w:rPr>
          <w:i w:val="0"/>
        </w:rPr>
        <w:t xml:space="preserve"> </w:t>
      </w:r>
    </w:p>
    <w:p w14:paraId="0C1B10BE" w14:textId="3F74374E" w:rsidR="003B718B" w:rsidRDefault="003B718B" w:rsidP="0080532E">
      <w:pPr>
        <w:pStyle w:val="Heading2"/>
        <w:numPr>
          <w:ilvl w:val="1"/>
          <w:numId w:val="6"/>
        </w:numPr>
        <w:rPr>
          <w:i w:val="0"/>
        </w:rPr>
      </w:pPr>
      <w:r>
        <w:rPr>
          <w:i w:val="0"/>
        </w:rPr>
        <w:t>All authorizations, approvals, licenses, permits, consents and orders of any governmental authority, legislative body, board, agency or commission having jurisdiction of the matter that are required for the due authorization of, or would constitute a condition precedent to, or the absence of which would materially adversely affect, the due performance by the Enterprise of its obligations under the Enterprise Documents or the Bonds have been duly obtained, except for such approvals, consents and orders as may be required under the Blue Sky or securities laws of any jurisdiction in connection with the offering and sale of the Bonds</w:t>
      </w:r>
      <w:r w:rsidR="0071287E">
        <w:rPr>
          <w:i w:val="0"/>
        </w:rPr>
        <w:t>.</w:t>
      </w:r>
    </w:p>
    <w:p w14:paraId="055DFCF4" w14:textId="36BFD77C" w:rsidR="003B718B" w:rsidRDefault="003B718B" w:rsidP="0080532E">
      <w:pPr>
        <w:pStyle w:val="Heading2"/>
        <w:numPr>
          <w:ilvl w:val="1"/>
          <w:numId w:val="6"/>
        </w:numPr>
        <w:rPr>
          <w:b/>
        </w:rPr>
      </w:pPr>
      <w:r>
        <w:rPr>
          <w:i w:val="0"/>
        </w:rPr>
        <w:tab/>
        <w:t>To the extent terms of the Bonds are purported to be described or summarized in the</w:t>
      </w:r>
      <w:r>
        <w:t xml:space="preserve"> </w:t>
      </w:r>
      <w:r w:rsidR="00BB3C56">
        <w:rPr>
          <w:i w:val="0"/>
        </w:rPr>
        <w:t xml:space="preserve">Preliminary </w:t>
      </w:r>
      <w:r>
        <w:rPr>
          <w:i w:val="0"/>
        </w:rPr>
        <w:t xml:space="preserve">Official Statement </w:t>
      </w:r>
      <w:r w:rsidR="00BB3C56">
        <w:rPr>
          <w:i w:val="0"/>
        </w:rPr>
        <w:t xml:space="preserve">and the Official Statement </w:t>
      </w:r>
      <w:r>
        <w:rPr>
          <w:i w:val="0"/>
        </w:rPr>
        <w:t>on the cover page</w:t>
      </w:r>
      <w:r w:rsidR="00BB3C56">
        <w:rPr>
          <w:i w:val="0"/>
        </w:rPr>
        <w:t>s</w:t>
      </w:r>
      <w:r>
        <w:rPr>
          <w:i w:val="0"/>
        </w:rPr>
        <w:t xml:space="preserve"> thereof or under the captions “IN</w:t>
      </w:r>
      <w:r w:rsidR="00EE657A">
        <w:rPr>
          <w:i w:val="0"/>
        </w:rPr>
        <w:t>TRODUCTION” or “THE SERIES 2024B SENIOR</w:t>
      </w:r>
      <w:r>
        <w:rPr>
          <w:i w:val="0"/>
        </w:rPr>
        <w:t xml:space="preserve"> BONDS,” the Bonds when issued shall conform to such descriptions or summaries; to the extent provisions of the </w:t>
      </w:r>
      <w:r w:rsidR="00294498">
        <w:rPr>
          <w:i w:val="0"/>
        </w:rPr>
        <w:t xml:space="preserve">Senior </w:t>
      </w:r>
      <w:r>
        <w:rPr>
          <w:i w:val="0"/>
        </w:rPr>
        <w:t>Indenture</w:t>
      </w:r>
      <w:r w:rsidR="00BB3C56">
        <w:rPr>
          <w:i w:val="0"/>
        </w:rPr>
        <w:t xml:space="preserve"> </w:t>
      </w:r>
      <w:r>
        <w:rPr>
          <w:i w:val="0"/>
        </w:rPr>
        <w:t>are purported to be described or summarized in the</w:t>
      </w:r>
      <w:r>
        <w:t xml:space="preserve"> </w:t>
      </w:r>
      <w:r w:rsidR="00BB3C56">
        <w:rPr>
          <w:i w:val="0"/>
        </w:rPr>
        <w:t xml:space="preserve">Preliminary Official Statement and </w:t>
      </w:r>
      <w:r>
        <w:rPr>
          <w:i w:val="0"/>
        </w:rPr>
        <w:t>Official Statement under the captions “INTRODUCTION – Security and Sources</w:t>
      </w:r>
      <w:r w:rsidR="008A027C">
        <w:rPr>
          <w:i w:val="0"/>
        </w:rPr>
        <w:t xml:space="preserve"> of Payment for the Series 2024B Senior</w:t>
      </w:r>
      <w:r>
        <w:rPr>
          <w:i w:val="0"/>
        </w:rPr>
        <w:t xml:space="preserve"> Bonds,”</w:t>
      </w:r>
      <w:r w:rsidR="008A027C">
        <w:rPr>
          <w:i w:val="0"/>
        </w:rPr>
        <w:t xml:space="preserve"> “– Senior Bonds” “</w:t>
      </w:r>
      <w:r w:rsidR="008A027C" w:rsidRPr="008A027C">
        <w:rPr>
          <w:i w:val="0"/>
        </w:rPr>
        <w:t>– S</w:t>
      </w:r>
      <w:r w:rsidR="008A027C">
        <w:rPr>
          <w:i w:val="0"/>
        </w:rPr>
        <w:t>ubordinate Obligations,”</w:t>
      </w:r>
      <w:r w:rsidR="008A027C" w:rsidRPr="008A027C">
        <w:t xml:space="preserve"> </w:t>
      </w:r>
      <w:r>
        <w:rPr>
          <w:i w:val="0"/>
        </w:rPr>
        <w:t>“CERTAIN INVESTMENT CONSIDERATIONS – Special, Limited Obligations” or “SECURITY AND SOURCES</w:t>
      </w:r>
      <w:r w:rsidR="008A027C">
        <w:rPr>
          <w:i w:val="0"/>
        </w:rPr>
        <w:t xml:space="preserve"> OF PAYMENT FOR THE SERIES 2024B SENIOR</w:t>
      </w:r>
      <w:r>
        <w:rPr>
          <w:i w:val="0"/>
        </w:rPr>
        <w:t xml:space="preserve"> BONDS” or in Appendix D to the Official Statement, entitled “</w:t>
      </w:r>
      <w:r w:rsidR="008A027C">
        <w:rPr>
          <w:i w:val="0"/>
        </w:rPr>
        <w:t xml:space="preserve">SUMMARY OF CERTAIN PROVISIONS OF THE SENIOR INDENTURE,” </w:t>
      </w:r>
      <w:r>
        <w:rPr>
          <w:i w:val="0"/>
        </w:rPr>
        <w:t xml:space="preserve">the </w:t>
      </w:r>
      <w:r w:rsidR="00294498">
        <w:rPr>
          <w:i w:val="0"/>
        </w:rPr>
        <w:t xml:space="preserve">Senior </w:t>
      </w:r>
      <w:r>
        <w:rPr>
          <w:i w:val="0"/>
        </w:rPr>
        <w:t xml:space="preserve">Indenture shall conform to such descriptions and summaries thereof contained in the Official Statement under </w:t>
      </w:r>
      <w:r w:rsidR="008A027C">
        <w:rPr>
          <w:i w:val="0"/>
        </w:rPr>
        <w:t xml:space="preserve">the </w:t>
      </w:r>
      <w:r>
        <w:rPr>
          <w:i w:val="0"/>
        </w:rPr>
        <w:t xml:space="preserve">above captions; the proceeds of the sale of the Bonds will be applied as described in the </w:t>
      </w:r>
      <w:r w:rsidR="00BB3C56">
        <w:rPr>
          <w:i w:val="0"/>
        </w:rPr>
        <w:t xml:space="preserve">Preliminary Official Statement and the </w:t>
      </w:r>
      <w:r>
        <w:rPr>
          <w:i w:val="0"/>
        </w:rPr>
        <w:t>Official Statement on the cover page</w:t>
      </w:r>
      <w:r w:rsidR="00BB3C56">
        <w:rPr>
          <w:i w:val="0"/>
        </w:rPr>
        <w:t>s</w:t>
      </w:r>
      <w:r>
        <w:rPr>
          <w:i w:val="0"/>
        </w:rPr>
        <w:t xml:space="preserve"> thereof and under the captions “INTRODUCTION – General”</w:t>
      </w:r>
      <w:r w:rsidR="008A027C">
        <w:rPr>
          <w:i w:val="0"/>
        </w:rPr>
        <w:t xml:space="preserve"> “</w:t>
      </w:r>
      <w:r w:rsidR="008A027C" w:rsidRPr="008A027C">
        <w:rPr>
          <w:i w:val="0"/>
        </w:rPr>
        <w:t xml:space="preserve">– </w:t>
      </w:r>
      <w:r w:rsidR="008A027C">
        <w:rPr>
          <w:i w:val="0"/>
        </w:rPr>
        <w:t>Purpose of Issuance of Series 2024B Senior Bonds”</w:t>
      </w:r>
      <w:r>
        <w:rPr>
          <w:i w:val="0"/>
        </w:rPr>
        <w:t xml:space="preserve"> and “PLAN OF </w:t>
      </w:r>
      <w:r w:rsidR="008A027C">
        <w:rPr>
          <w:i w:val="0"/>
        </w:rPr>
        <w:t>REFUNDING</w:t>
      </w:r>
      <w:r>
        <w:rPr>
          <w:i w:val="0"/>
        </w:rPr>
        <w:t>;” and the Undertaking when executed and delivered shall conform to the form the</w:t>
      </w:r>
      <w:r w:rsidR="008A027C">
        <w:rPr>
          <w:i w:val="0"/>
        </w:rPr>
        <w:t>reof contained in the Appendix E</w:t>
      </w:r>
      <w:r>
        <w:rPr>
          <w:i w:val="0"/>
        </w:rPr>
        <w:t xml:space="preserve"> to the </w:t>
      </w:r>
      <w:r w:rsidR="00BB3C56">
        <w:rPr>
          <w:i w:val="0"/>
        </w:rPr>
        <w:t xml:space="preserve">Preliminary Official Statement and the </w:t>
      </w:r>
      <w:r>
        <w:rPr>
          <w:i w:val="0"/>
        </w:rPr>
        <w:t>Official Statement, entitled “FORM OF CO</w:t>
      </w:r>
      <w:r w:rsidR="0071287E">
        <w:rPr>
          <w:i w:val="0"/>
        </w:rPr>
        <w:t>NTINUING DISCLOSURE UNDERTAKING.</w:t>
      </w:r>
      <w:r>
        <w:rPr>
          <w:i w:val="0"/>
        </w:rPr>
        <w:t>”</w:t>
      </w:r>
      <w:r w:rsidR="0071287E">
        <w:rPr>
          <w:i w:val="0"/>
        </w:rPr>
        <w:t xml:space="preserve"> </w:t>
      </w:r>
    </w:p>
    <w:p w14:paraId="01BDCB66" w14:textId="78BA8084" w:rsidR="003B718B" w:rsidRDefault="003B718B" w:rsidP="0080532E">
      <w:pPr>
        <w:pStyle w:val="Heading2"/>
        <w:numPr>
          <w:ilvl w:val="1"/>
          <w:numId w:val="6"/>
        </w:numPr>
        <w:rPr>
          <w:i w:val="0"/>
        </w:rPr>
      </w:pPr>
      <w:r>
        <w:rPr>
          <w:i w:val="0"/>
        </w:rPr>
        <w:t xml:space="preserve">Except as described in the Preliminary Official Statement and the Official Statement, there is no litigation, action, suit, proceeding, inquiry or investigation, at law or in equity, before or by any court, government agency, public board or body, pending or, to the best knowledge of the Enterprise after due inquiry, threatened against the Enterprise, (i) which would materially adversely affect the existence and powers of the Enterprise, the authority of its officers, </w:t>
      </w:r>
      <w:r>
        <w:rPr>
          <w:i w:val="0"/>
        </w:rPr>
        <w:lastRenderedPageBreak/>
        <w:t xml:space="preserve">the sale, issuance or delivery of the Bonds, the validity or enforceability of the Bonds or the Enterprise Documents or the ability of the Enterprise to perform its obligations thereunder, the financial condition of the Enterprise </w:t>
      </w:r>
      <w:r w:rsidRPr="000707D0">
        <w:rPr>
          <w:i w:val="0"/>
        </w:rPr>
        <w:t>or the Bridge Special Fund</w:t>
      </w:r>
      <w:r>
        <w:rPr>
          <w:i w:val="0"/>
        </w:rPr>
        <w:t xml:space="preserve">; or (ii) seeking to prohibit, restrain or enjoin the implementation of the Act, the execution and delivery of or the performance by the Enterprise of its obligations under the Enterprise Documents, the sale, issuance or delivery of the Bonds in accordance with the </w:t>
      </w:r>
      <w:r w:rsidR="00294498">
        <w:rPr>
          <w:i w:val="0"/>
        </w:rPr>
        <w:t xml:space="preserve">Senior </w:t>
      </w:r>
      <w:r>
        <w:rPr>
          <w:i w:val="0"/>
        </w:rPr>
        <w:t xml:space="preserve">Indenture and this Purchase Agreement or the performance by the Enterprise of its obligations under the Bonds, the pledge of the Trust Estate under the </w:t>
      </w:r>
      <w:r w:rsidR="00294498">
        <w:rPr>
          <w:i w:val="0"/>
        </w:rPr>
        <w:t xml:space="preserve">Senior </w:t>
      </w:r>
      <w:r>
        <w:rPr>
          <w:i w:val="0"/>
        </w:rPr>
        <w:t xml:space="preserve">Indenture, the collection or deposit of the Revenues as provided under the </w:t>
      </w:r>
      <w:r w:rsidR="00294498">
        <w:rPr>
          <w:i w:val="0"/>
        </w:rPr>
        <w:t xml:space="preserve">Senior </w:t>
      </w:r>
      <w:r>
        <w:rPr>
          <w:i w:val="0"/>
        </w:rPr>
        <w:t xml:space="preserve">Indenture, or the application of proceeds of the Bonds as contemplated by the Official Statement and provided under the </w:t>
      </w:r>
      <w:r w:rsidR="00294498">
        <w:rPr>
          <w:i w:val="0"/>
        </w:rPr>
        <w:t xml:space="preserve">Senior </w:t>
      </w:r>
      <w:r>
        <w:rPr>
          <w:i w:val="0"/>
        </w:rPr>
        <w:t>Indenture; or (iii) in any way contesting the validity or enforceability of the Bonds or the Enterprise Documents or the exemption of interest on the Bonds from federal and State taxation</w:t>
      </w:r>
      <w:r w:rsidR="00F83F1B">
        <w:rPr>
          <w:i w:val="0"/>
        </w:rPr>
        <w:t>;</w:t>
      </w:r>
      <w:r>
        <w:rPr>
          <w:i w:val="0"/>
        </w:rPr>
        <w:t xml:space="preserve"> </w:t>
      </w:r>
      <w:r w:rsidR="00676139">
        <w:rPr>
          <w:i w:val="0"/>
        </w:rPr>
        <w:t xml:space="preserve">(iv) </w:t>
      </w:r>
      <w:r w:rsidR="00C02D67">
        <w:rPr>
          <w:i w:val="0"/>
        </w:rPr>
        <w:t xml:space="preserve">contesting in any way the Enterprise’s determination to refund and </w:t>
      </w:r>
      <w:proofErr w:type="spellStart"/>
      <w:r w:rsidR="00C02D67">
        <w:rPr>
          <w:i w:val="0"/>
        </w:rPr>
        <w:t>defease</w:t>
      </w:r>
      <w:proofErr w:type="spellEnd"/>
      <w:r w:rsidR="00C02D67">
        <w:rPr>
          <w:i w:val="0"/>
        </w:rPr>
        <w:t xml:space="preserve"> the Refunded Bonds,</w:t>
      </w:r>
      <w:r>
        <w:rPr>
          <w:i w:val="0"/>
        </w:rPr>
        <w:t xml:space="preserve"> (iv) contesting in any way the completeness or accuracy of the Preliminary Official Statement or the Official Statement, or (v</w:t>
      </w:r>
      <w:r w:rsidR="00C02D67">
        <w:rPr>
          <w:i w:val="0"/>
        </w:rPr>
        <w:t>i</w:t>
      </w:r>
      <w:r>
        <w:rPr>
          <w:i w:val="0"/>
        </w:rPr>
        <w:t xml:space="preserve">) contesting the powers of the Enterprise or any authority for the issuance of the Bonds, </w:t>
      </w:r>
      <w:r w:rsidR="00C02D67">
        <w:rPr>
          <w:i w:val="0"/>
        </w:rPr>
        <w:t xml:space="preserve">the refunding of the Refunded Bonds, </w:t>
      </w:r>
      <w:r>
        <w:rPr>
          <w:i w:val="0"/>
        </w:rPr>
        <w:t>the execution and delivery of the Enterprise Documents or the adoption of the resolutions of the Enterprise Board relating thereto; nor, to the best knowledge of the Enterprise, is there any basis for any of the above</w:t>
      </w:r>
      <w:r w:rsidR="00F83F1B">
        <w:rPr>
          <w:i w:val="0"/>
        </w:rPr>
        <w:t>.</w:t>
      </w:r>
    </w:p>
    <w:p w14:paraId="6930C8B7" w14:textId="2DD794CA" w:rsidR="003B718B" w:rsidRPr="00452F8A" w:rsidRDefault="003B718B" w:rsidP="00452F8A">
      <w:pPr>
        <w:pStyle w:val="Heading2"/>
        <w:numPr>
          <w:ilvl w:val="1"/>
          <w:numId w:val="6"/>
        </w:numPr>
        <w:rPr>
          <w:i w:val="0"/>
        </w:rPr>
      </w:pPr>
      <w:r>
        <w:rPr>
          <w:i w:val="0"/>
        </w:rPr>
        <w:t>Except for information which is permitted to be omitted pursuant to Rule 15c2-12(b)(1)</w:t>
      </w:r>
      <w:r w:rsidR="00FA52E0">
        <w:rPr>
          <w:i w:val="0"/>
        </w:rPr>
        <w:t xml:space="preserve">, </w:t>
      </w:r>
      <w:r w:rsidR="00F83F1B">
        <w:rPr>
          <w:i w:val="0"/>
        </w:rPr>
        <w:t>statements in</w:t>
      </w:r>
      <w:r w:rsidR="00E8091B">
        <w:rPr>
          <w:i w:val="0"/>
        </w:rPr>
        <w:t xml:space="preserve"> </w:t>
      </w:r>
      <w:r w:rsidR="00573E6C">
        <w:rPr>
          <w:i w:val="0"/>
        </w:rPr>
        <w:t>Appendix G</w:t>
      </w:r>
      <w:r w:rsidR="00FA52E0" w:rsidRPr="00452F8A">
        <w:rPr>
          <w:i w:val="0"/>
        </w:rPr>
        <w:t xml:space="preserve"> titled “BOOK-ENTRY-ONLY SYSTEM” and statements in the </w:t>
      </w:r>
      <w:r w:rsidR="00F83F1B" w:rsidRPr="00452F8A">
        <w:rPr>
          <w:i w:val="0"/>
        </w:rPr>
        <w:t xml:space="preserve">sections titled </w:t>
      </w:r>
      <w:r w:rsidR="00573E6C">
        <w:rPr>
          <w:i w:val="0"/>
        </w:rPr>
        <w:t>“THE SERIES 2024B SENIOR</w:t>
      </w:r>
      <w:r w:rsidR="00FA52E0" w:rsidRPr="00452F8A">
        <w:rPr>
          <w:i w:val="0"/>
        </w:rPr>
        <w:t xml:space="preserve"> BONDS - </w:t>
      </w:r>
      <w:proofErr w:type="spellStart"/>
      <w:r w:rsidR="00FA52E0" w:rsidRPr="00452F8A">
        <w:rPr>
          <w:i w:val="0"/>
        </w:rPr>
        <w:t>DTC</w:t>
      </w:r>
      <w:proofErr w:type="spellEnd"/>
      <w:r w:rsidR="00FA52E0" w:rsidRPr="00452F8A">
        <w:rPr>
          <w:i w:val="0"/>
        </w:rPr>
        <w:t xml:space="preserve"> Book-Entry System”</w:t>
      </w:r>
      <w:r w:rsidR="00F83F1B" w:rsidRPr="00452F8A">
        <w:rPr>
          <w:i w:val="0"/>
        </w:rPr>
        <w:t xml:space="preserve"> and “UNDERWRITING” (</w:t>
      </w:r>
      <w:r w:rsidR="007A7674" w:rsidRPr="00452F8A">
        <w:rPr>
          <w:i w:val="0"/>
        </w:rPr>
        <w:t>collectively</w:t>
      </w:r>
      <w:r w:rsidR="00F83F1B" w:rsidRPr="00452F8A">
        <w:rPr>
          <w:i w:val="0"/>
        </w:rPr>
        <w:t>, the “</w:t>
      </w:r>
      <w:r w:rsidR="00F83F1B" w:rsidRPr="00452F8A">
        <w:rPr>
          <w:i w:val="0"/>
          <w:u w:val="single"/>
        </w:rPr>
        <w:t>Excluded Sections</w:t>
      </w:r>
      <w:r w:rsidR="00FA52E0" w:rsidRPr="00452F8A">
        <w:rPr>
          <w:i w:val="0"/>
        </w:rPr>
        <w:t>”)</w:t>
      </w:r>
      <w:r w:rsidRPr="00452F8A">
        <w:rPr>
          <w:i w:val="0"/>
        </w:rPr>
        <w:t>, the Preliminary Official Statement, as of its date, was true and correct in all material respects and did not contain any untrue statement of a material fact or omit to state a material fact required to be stated therein or necessary to make the statements therein, in the light of the circumstances under which they were made, not misleading</w:t>
      </w:r>
      <w:r w:rsidR="00F83F1B" w:rsidRPr="00452F8A">
        <w:rPr>
          <w:i w:val="0"/>
        </w:rPr>
        <w:t>.</w:t>
      </w:r>
    </w:p>
    <w:p w14:paraId="0F910B53" w14:textId="07D374DF" w:rsidR="003B718B" w:rsidRDefault="003B718B" w:rsidP="0080532E">
      <w:pPr>
        <w:pStyle w:val="Heading2"/>
        <w:numPr>
          <w:ilvl w:val="1"/>
          <w:numId w:val="6"/>
        </w:numPr>
        <w:rPr>
          <w:i w:val="0"/>
        </w:rPr>
      </w:pPr>
      <w:r>
        <w:rPr>
          <w:i w:val="0"/>
        </w:rPr>
        <w:tab/>
        <w:t>At the time of the Enterprise’s acceptance hereof</w:t>
      </w:r>
      <w:r w:rsidR="00F83F1B">
        <w:rPr>
          <w:i w:val="0"/>
        </w:rPr>
        <w:t>,</w:t>
      </w:r>
      <w:r>
        <w:rPr>
          <w:i w:val="0"/>
        </w:rPr>
        <w:t xml:space="preserve"> </w:t>
      </w:r>
      <w:r w:rsidR="00F83F1B">
        <w:rPr>
          <w:i w:val="0"/>
        </w:rPr>
        <w:t>except for the Excluded Sections</w:t>
      </w:r>
      <w:r w:rsidR="00573E6C">
        <w:rPr>
          <w:i w:val="0"/>
        </w:rPr>
        <w:t xml:space="preserve">, </w:t>
      </w:r>
      <w:r>
        <w:rPr>
          <w:i w:val="0"/>
        </w:rPr>
        <w:t>the Official Statement does not, and at all times subsequent thereto during the period up to and including the Closing, the Official Statement (subject to any amendment thereof or supplement thereto pursuant to Section 9 hereof) will be, true and correct in all material respects and will not contain any untrue or misleading statement of a material fact or omit to state any material fact required to be stated therein or necessary to make the statements therein, in light of the circumstances under which they were made, not misleading</w:t>
      </w:r>
      <w:r w:rsidR="00F83F1B">
        <w:rPr>
          <w:i w:val="0"/>
        </w:rPr>
        <w:t>.</w:t>
      </w:r>
    </w:p>
    <w:p w14:paraId="4A6C166A" w14:textId="23423C2B" w:rsidR="003B718B" w:rsidRDefault="003B718B" w:rsidP="0080532E">
      <w:pPr>
        <w:pStyle w:val="Heading2"/>
        <w:numPr>
          <w:ilvl w:val="1"/>
          <w:numId w:val="6"/>
        </w:numPr>
        <w:rPr>
          <w:i w:val="0"/>
        </w:rPr>
      </w:pPr>
      <w:r>
        <w:rPr>
          <w:i w:val="0"/>
        </w:rPr>
        <w:tab/>
        <w:t>If the Official Statement is supplemented or amended pursuant to Section 9 of this Purchase Agreement, at the time of each supplement or amendment thereto and (unless subsequently again supplemented or amended pursuant to such paragraph) at all times subsequent thereto during the period up to and including the Closing, the Official Statement as so supplemented or amended will be true and correct in all material respects and will not contain any untrue statement of a material fact or omit to state any material fact required to be stated therein or necessary to make the statements therein, in light of the circumstances under which made, not misleading</w:t>
      </w:r>
      <w:r w:rsidR="00F83F1B">
        <w:rPr>
          <w:i w:val="0"/>
        </w:rPr>
        <w:t>.</w:t>
      </w:r>
    </w:p>
    <w:p w14:paraId="2FA4C13E" w14:textId="5039B214" w:rsidR="003B718B" w:rsidRDefault="003B718B" w:rsidP="0080532E">
      <w:pPr>
        <w:pStyle w:val="Heading2"/>
        <w:numPr>
          <w:ilvl w:val="1"/>
          <w:numId w:val="6"/>
        </w:numPr>
        <w:rPr>
          <w:i w:val="0"/>
        </w:rPr>
      </w:pPr>
      <w:r>
        <w:rPr>
          <w:i w:val="0"/>
        </w:rPr>
        <w:lastRenderedPageBreak/>
        <w:t xml:space="preserve">The Enterprise will apply, or cause to be applied, the proceeds from the sale of the Bonds as provided in and subject to all of the terms and provisions of the </w:t>
      </w:r>
      <w:r w:rsidR="00294498">
        <w:rPr>
          <w:i w:val="0"/>
        </w:rPr>
        <w:t xml:space="preserve">Senior </w:t>
      </w:r>
      <w:r>
        <w:rPr>
          <w:i w:val="0"/>
        </w:rPr>
        <w:t>Indenture</w:t>
      </w:r>
      <w:r w:rsidR="00F83F1B">
        <w:rPr>
          <w:i w:val="0"/>
        </w:rPr>
        <w:t>.</w:t>
      </w:r>
    </w:p>
    <w:p w14:paraId="5E962E1B" w14:textId="6D5F3285" w:rsidR="003B718B" w:rsidRDefault="003B718B" w:rsidP="0080532E">
      <w:pPr>
        <w:pStyle w:val="Heading2"/>
        <w:numPr>
          <w:ilvl w:val="1"/>
          <w:numId w:val="6"/>
        </w:numPr>
        <w:tabs>
          <w:tab w:val="clear" w:pos="1699"/>
          <w:tab w:val="clear" w:pos="2016"/>
        </w:tabs>
        <w:rPr>
          <w:i w:val="0"/>
        </w:rPr>
      </w:pPr>
      <w:r>
        <w:rPr>
          <w:i w:val="0"/>
        </w:rPr>
        <w:t>The Enterprise will furnish such information, execute such instruments and take such action in cooperation with the Underwriters as the Representative may reasonably request (i) (A) to qualify the Bonds for offer and sale under the Blue Sky or other securities laws and regulations of such states and other jurisdictions in the United States as the Representative may designate and (B) to determine the eligibility of the Bonds for investment under the laws of such states and other jurisdictions, and (ii) to continue such qualifications in effect so long as required for the distribution of the Bonds (provided, however, that the Enterprise will not be required to qualify as a foreign entity or to file any general or special consents to service of process under the laws of any jurisdiction); and the Enterprise will advise the Representative immediately of receipt by the Enterprise of any notification with respect to the suspension of the qualification of the Bonds for sale in any jurisdiction or the initiation or threat of any proceeding for that purpose</w:t>
      </w:r>
      <w:r w:rsidR="00F83F1B">
        <w:rPr>
          <w:i w:val="0"/>
        </w:rPr>
        <w:t>.</w:t>
      </w:r>
    </w:p>
    <w:p w14:paraId="42739FB2" w14:textId="4F304856" w:rsidR="003B718B" w:rsidRDefault="003B718B" w:rsidP="0080532E">
      <w:pPr>
        <w:pStyle w:val="Heading2"/>
        <w:numPr>
          <w:ilvl w:val="1"/>
          <w:numId w:val="6"/>
        </w:numPr>
        <w:tabs>
          <w:tab w:val="clear" w:pos="1699"/>
          <w:tab w:val="clear" w:pos="2016"/>
        </w:tabs>
        <w:rPr>
          <w:i w:val="0"/>
        </w:rPr>
      </w:pPr>
      <w:r>
        <w:rPr>
          <w:i w:val="0"/>
        </w:rPr>
        <w:t xml:space="preserve">The financial information relating to the </w:t>
      </w:r>
      <w:r w:rsidRPr="000707D0">
        <w:rPr>
          <w:i w:val="0"/>
        </w:rPr>
        <w:t>Bridge Special Fund</w:t>
      </w:r>
      <w:r>
        <w:rPr>
          <w:i w:val="0"/>
        </w:rPr>
        <w:t xml:space="preserve"> and the Enterprise in the Official Statement fairly present the data and other matters purported to be described or provided therein as of the dates and for the periods therein set forth. Prior to the Closing, there will be no adverse change of a material nature in such financial information, or the condition, financial or otherwise, of the Enterprise, except as previously disclosed in writing by the Enterprise to the Representative</w:t>
      </w:r>
      <w:r w:rsidR="00F83F1B">
        <w:rPr>
          <w:i w:val="0"/>
        </w:rPr>
        <w:t>.</w:t>
      </w:r>
    </w:p>
    <w:p w14:paraId="68C239FE" w14:textId="55515DB3" w:rsidR="003B718B" w:rsidRDefault="003B718B" w:rsidP="0080532E">
      <w:pPr>
        <w:pStyle w:val="Heading2"/>
        <w:numPr>
          <w:ilvl w:val="1"/>
          <w:numId w:val="6"/>
        </w:numPr>
        <w:tabs>
          <w:tab w:val="clear" w:pos="1699"/>
          <w:tab w:val="clear" w:pos="2016"/>
        </w:tabs>
        <w:rPr>
          <w:i w:val="0"/>
        </w:rPr>
      </w:pPr>
      <w:r>
        <w:rPr>
          <w:i w:val="0"/>
        </w:rPr>
        <w:t xml:space="preserve">Prior to the Closing, except as otherwise set forth in the Official Statement, the Enterprise will not offer or issue any bonds, notes or other obligations for borrowed money or incur any material liabilities, direct or contingent, payable from or secured by the </w:t>
      </w:r>
      <w:r w:rsidR="00541C23">
        <w:rPr>
          <w:i w:val="0"/>
        </w:rPr>
        <w:t xml:space="preserve">trust estate created under the </w:t>
      </w:r>
      <w:r w:rsidR="00294498">
        <w:rPr>
          <w:i w:val="0"/>
        </w:rPr>
        <w:t xml:space="preserve">Senior </w:t>
      </w:r>
      <w:r w:rsidR="00541C23">
        <w:rPr>
          <w:i w:val="0"/>
        </w:rPr>
        <w:t xml:space="preserve">Indenture, the </w:t>
      </w:r>
      <w:r>
        <w:rPr>
          <w:i w:val="0"/>
        </w:rPr>
        <w:t>Trust Estate or any component thereof without the prior written consent of the Representative</w:t>
      </w:r>
      <w:r w:rsidR="00F83F1B">
        <w:rPr>
          <w:i w:val="0"/>
        </w:rPr>
        <w:t>.</w:t>
      </w:r>
      <w:r>
        <w:rPr>
          <w:i w:val="0"/>
        </w:rPr>
        <w:t xml:space="preserve"> </w:t>
      </w:r>
    </w:p>
    <w:p w14:paraId="7E37A64D" w14:textId="00AEA87E" w:rsidR="003B718B" w:rsidRDefault="00541C23" w:rsidP="0080532E">
      <w:pPr>
        <w:pStyle w:val="Heading2"/>
        <w:numPr>
          <w:ilvl w:val="1"/>
          <w:numId w:val="6"/>
        </w:numPr>
        <w:tabs>
          <w:tab w:val="clear" w:pos="1699"/>
          <w:tab w:val="clear" w:pos="2016"/>
        </w:tabs>
        <w:rPr>
          <w:i w:val="0"/>
        </w:rPr>
      </w:pPr>
      <w:r>
        <w:rPr>
          <w:i w:val="0"/>
        </w:rPr>
        <w:t xml:space="preserve">Except as disclosed in the Official Statement, the Enterprise has not during the past five years failed to comply </w:t>
      </w:r>
      <w:r w:rsidR="00F83F1B">
        <w:rPr>
          <w:i w:val="0"/>
        </w:rPr>
        <w:t xml:space="preserve">in all material respects </w:t>
      </w:r>
      <w:r>
        <w:rPr>
          <w:i w:val="0"/>
        </w:rPr>
        <w:t>with any prior undertaking entered into pursuant to Rule 15c2-12</w:t>
      </w:r>
      <w:r w:rsidR="00F83F1B">
        <w:rPr>
          <w:i w:val="0"/>
        </w:rPr>
        <w:t>.</w:t>
      </w:r>
      <w:r w:rsidR="003B718B">
        <w:rPr>
          <w:i w:val="0"/>
        </w:rPr>
        <w:t xml:space="preserve"> </w:t>
      </w:r>
    </w:p>
    <w:p w14:paraId="37F3E0CB" w14:textId="7F2ACFDB" w:rsidR="003B718B" w:rsidRDefault="00541C23" w:rsidP="0080532E">
      <w:pPr>
        <w:pStyle w:val="Heading2"/>
        <w:numPr>
          <w:ilvl w:val="1"/>
          <w:numId w:val="6"/>
        </w:numPr>
        <w:tabs>
          <w:tab w:val="clear" w:pos="1699"/>
          <w:tab w:val="clear" w:pos="2016"/>
        </w:tabs>
        <w:rPr>
          <w:i w:val="0"/>
        </w:rPr>
      </w:pPr>
      <w:r>
        <w:rPr>
          <w:i w:val="0"/>
        </w:rPr>
        <w:t>Any certificate signed by the Enterprise Representative in connection with the transactions contemplated by this Purchase Agreement shall be deemed a representation and warranty by the Enterprise to the Underwriters as to the statements and the certifications made therein</w:t>
      </w:r>
      <w:r w:rsidR="003B718B">
        <w:rPr>
          <w:i w:val="0"/>
        </w:rPr>
        <w:t>.</w:t>
      </w:r>
    </w:p>
    <w:p w14:paraId="2203994D" w14:textId="77777777" w:rsidR="003B718B" w:rsidRDefault="003B718B" w:rsidP="003B718B"/>
    <w:p w14:paraId="7F1CD25F" w14:textId="77777777" w:rsidR="003B718B" w:rsidRDefault="003B718B" w:rsidP="003B718B">
      <w:pPr>
        <w:pStyle w:val="BodyText"/>
      </w:pPr>
      <w:r>
        <w:t>All representations, warranties and agreements of the Enterprise shall remain operative and in full force and effect, regardless of any investigations made by any Underwriter or on the Underwriters’ behalf, and shall survive the delivery of the Bonds.</w:t>
      </w:r>
    </w:p>
    <w:p w14:paraId="0FBF7795" w14:textId="77777777" w:rsidR="003B718B" w:rsidRDefault="003B718B" w:rsidP="0080532E">
      <w:pPr>
        <w:pStyle w:val="Heading1"/>
        <w:keepNext w:val="0"/>
        <w:numPr>
          <w:ilvl w:val="0"/>
          <w:numId w:val="6"/>
        </w:numPr>
        <w:spacing w:before="0" w:after="240"/>
        <w:ind w:left="0"/>
        <w:jc w:val="both"/>
      </w:pPr>
      <w:r>
        <w:rPr>
          <w:u w:val="single"/>
        </w:rPr>
        <w:t>Closing</w:t>
      </w:r>
      <w:r>
        <w:t xml:space="preserve">.  </w:t>
      </w:r>
    </w:p>
    <w:p w14:paraId="3F5B465A" w14:textId="7642EF8E" w:rsidR="003B718B" w:rsidRDefault="00675A62" w:rsidP="003B718B">
      <w:pPr>
        <w:pStyle w:val="BodyText"/>
      </w:pPr>
      <w:r>
        <w:t>At 10:00</w:t>
      </w:r>
      <w:r w:rsidR="003B718B">
        <w:t xml:space="preserve"> A.M., Mountain Standard Time, on </w:t>
      </w:r>
      <w:r w:rsidR="00573E6C">
        <w:t>December</w:t>
      </w:r>
      <w:r w:rsidR="000653B4">
        <w:t xml:space="preserve"> </w:t>
      </w:r>
      <w:r w:rsidR="00573E6C">
        <w:t>[19]</w:t>
      </w:r>
      <w:r w:rsidR="003B718B">
        <w:t>, 2024, or at such other time or date as the Representative and the Enterprise may mutually agree upon as the date and time of the Closing (the “</w:t>
      </w:r>
      <w:r w:rsidR="003B718B">
        <w:rPr>
          <w:u w:val="single"/>
        </w:rPr>
        <w:t>Closing Date</w:t>
      </w:r>
      <w:r w:rsidR="003B718B">
        <w:t xml:space="preserve">”), the Enterprise will deliver or cause to be delivered to the </w:t>
      </w:r>
      <w:r w:rsidR="003B718B">
        <w:lastRenderedPageBreak/>
        <w:t>Underwriters, at the offices of Kutak Rock LLP (“</w:t>
      </w:r>
      <w:r w:rsidR="003B718B">
        <w:rPr>
          <w:u w:val="single"/>
        </w:rPr>
        <w:t>Bond</w:t>
      </w:r>
      <w:r w:rsidR="003B718B">
        <w:rPr>
          <w:i/>
          <w:u w:val="single"/>
        </w:rPr>
        <w:t xml:space="preserve"> </w:t>
      </w:r>
      <w:r w:rsidR="003B718B">
        <w:rPr>
          <w:u w:val="single"/>
        </w:rPr>
        <w:t>Counsel</w:t>
      </w:r>
      <w:r w:rsidR="003B718B">
        <w:t xml:space="preserve">”), </w:t>
      </w:r>
      <w:r w:rsidR="00541C23">
        <w:t>2001 16</w:t>
      </w:r>
      <w:r w:rsidR="00541C23" w:rsidRPr="008360E2">
        <w:rPr>
          <w:vertAlign w:val="superscript"/>
        </w:rPr>
        <w:t>th</w:t>
      </w:r>
      <w:r w:rsidR="00541C23">
        <w:t xml:space="preserve"> Street, Suite 1800</w:t>
      </w:r>
      <w:r w:rsidR="003B718B">
        <w:t>, Denver, Colorado 80202, or at such other place as the Representative and the Enterprise may mutually agree upon, the Bonds, through the facilities of The Depository Trust Company, New York, New York (“</w:t>
      </w:r>
      <w:proofErr w:type="spellStart"/>
      <w:r w:rsidR="003B718B">
        <w:rPr>
          <w:u w:val="single"/>
        </w:rPr>
        <w:t>DTC</w:t>
      </w:r>
      <w:proofErr w:type="spellEnd"/>
      <w:r w:rsidR="003B718B">
        <w:t xml:space="preserve">”), duly executed and authenticated, and the other documents specified in Section 7.  At the Closing, (a) upon satisfaction of the conditions herein specified, the Underwriters shall accept the delivery of the Bonds, and pay the purchase price therefor in federal funds payable to the order of the </w:t>
      </w:r>
      <w:r w:rsidR="00AA3720">
        <w:t xml:space="preserve">Senior </w:t>
      </w:r>
      <w:r w:rsidR="003B718B">
        <w:t xml:space="preserve">Trustee for the account of the Enterprise and (b) the Enterprise shall deliver or cause to be delivered the Bonds to the Underwriters through the facilities of </w:t>
      </w:r>
      <w:proofErr w:type="spellStart"/>
      <w:r w:rsidR="003B718B">
        <w:t>DTC</w:t>
      </w:r>
      <w:proofErr w:type="spellEnd"/>
      <w:r w:rsidR="003B718B">
        <w:t xml:space="preserve"> in definitive or temporary form, duly executed by the Enterprise and in the authorized denominations as specified by the Representative at the Closing and the Enterprise shall deliver the other documents hereinafter mentioned.  </w:t>
      </w:r>
      <w:r w:rsidR="007D76FF">
        <w:t>The activities described above are referred to herein as the “</w:t>
      </w:r>
      <w:r w:rsidR="007D76FF" w:rsidRPr="008360E2">
        <w:rPr>
          <w:u w:val="single"/>
        </w:rPr>
        <w:t>Closing</w:t>
      </w:r>
      <w:r w:rsidR="007D76FF">
        <w:t xml:space="preserve">.”  </w:t>
      </w:r>
      <w:r w:rsidR="003B718B">
        <w:t xml:space="preserve">The Bonds shall be made available to the Underwriters at least one (1) business day before the Closing Date for purposes of inspection. </w:t>
      </w:r>
    </w:p>
    <w:p w14:paraId="2BA6BF84" w14:textId="77777777" w:rsidR="003B718B" w:rsidRDefault="003B718B" w:rsidP="0080532E">
      <w:pPr>
        <w:pStyle w:val="Heading1"/>
        <w:keepNext w:val="0"/>
        <w:numPr>
          <w:ilvl w:val="0"/>
          <w:numId w:val="6"/>
        </w:numPr>
        <w:spacing w:before="0" w:after="240"/>
        <w:ind w:left="0"/>
        <w:jc w:val="both"/>
      </w:pPr>
      <w:r>
        <w:rPr>
          <w:u w:val="single"/>
        </w:rPr>
        <w:t>Conditions Precedent</w:t>
      </w:r>
      <w:r>
        <w:t xml:space="preserve">.  </w:t>
      </w:r>
    </w:p>
    <w:p w14:paraId="370DF61B" w14:textId="77777777" w:rsidR="003B718B" w:rsidRDefault="003B718B" w:rsidP="003B718B">
      <w:pPr>
        <w:pStyle w:val="BodyText"/>
      </w:pPr>
      <w:r>
        <w:t xml:space="preserve">The Underwriters have entered into this Purchase Agreement in reliance upon the representations and agreements of the Enterprise contained herein and the performance by the Enterprise of its obligations hereunder, both as of the date hereof and as of the Closing Date. The Underwriters’ obligations under this Purchase Agreement are and shall be subject to the following further conditions: </w:t>
      </w:r>
    </w:p>
    <w:p w14:paraId="2DA74AC4" w14:textId="722A4305" w:rsidR="003B718B" w:rsidRDefault="003B718B" w:rsidP="0080532E">
      <w:pPr>
        <w:pStyle w:val="Heading2"/>
        <w:numPr>
          <w:ilvl w:val="1"/>
          <w:numId w:val="6"/>
        </w:numPr>
        <w:tabs>
          <w:tab w:val="clear" w:pos="1699"/>
          <w:tab w:val="clear" w:pos="2016"/>
        </w:tabs>
        <w:spacing w:before="0" w:after="240"/>
        <w:rPr>
          <w:rStyle w:val="BodyTextChar"/>
          <w:i w:val="0"/>
        </w:rPr>
      </w:pPr>
      <w:r>
        <w:rPr>
          <w:rStyle w:val="BodyTextChar"/>
          <w:i w:val="0"/>
        </w:rPr>
        <w:t xml:space="preserve">The representations of the Enterprise herein shall be true, complete and correct on the date hereof and on and as of the </w:t>
      </w:r>
      <w:r w:rsidR="00541C23">
        <w:rPr>
          <w:rStyle w:val="BodyTextChar"/>
          <w:i w:val="0"/>
        </w:rPr>
        <w:t>Closing Date</w:t>
      </w:r>
      <w:r>
        <w:rPr>
          <w:rStyle w:val="BodyTextChar"/>
          <w:i w:val="0"/>
        </w:rPr>
        <w:t xml:space="preserve">, as if made on the </w:t>
      </w:r>
      <w:r w:rsidR="00541C23">
        <w:rPr>
          <w:rStyle w:val="BodyTextChar"/>
          <w:i w:val="0"/>
        </w:rPr>
        <w:t>Closing Date</w:t>
      </w:r>
      <w:r>
        <w:rPr>
          <w:rStyle w:val="BodyTextChar"/>
          <w:i w:val="0"/>
        </w:rPr>
        <w:t>;</w:t>
      </w:r>
    </w:p>
    <w:p w14:paraId="05EC1CB2" w14:textId="2BD3CD44" w:rsidR="003B718B" w:rsidRDefault="003B718B" w:rsidP="0080532E">
      <w:pPr>
        <w:pStyle w:val="Heading2"/>
        <w:numPr>
          <w:ilvl w:val="1"/>
          <w:numId w:val="6"/>
        </w:numPr>
        <w:tabs>
          <w:tab w:val="clear" w:pos="1699"/>
          <w:tab w:val="clear" w:pos="2016"/>
        </w:tabs>
        <w:spacing w:before="0" w:after="240"/>
      </w:pPr>
      <w:r>
        <w:rPr>
          <w:i w:val="0"/>
        </w:rPr>
        <w:t>The Enterprise shall have performed and complied with all agreements and conditions required by this Purchase Agreement</w:t>
      </w:r>
      <w:r w:rsidR="005C2DAB">
        <w:rPr>
          <w:i w:val="0"/>
        </w:rPr>
        <w:t>, the Enterprise Documents and</w:t>
      </w:r>
      <w:r w:rsidR="00573E6C">
        <w:rPr>
          <w:i w:val="0"/>
        </w:rPr>
        <w:t xml:space="preserve"> the</w:t>
      </w:r>
      <w:r w:rsidR="005C2DAB">
        <w:rPr>
          <w:i w:val="0"/>
        </w:rPr>
        <w:t xml:space="preserve"> Official Statement</w:t>
      </w:r>
      <w:r>
        <w:rPr>
          <w:i w:val="0"/>
        </w:rPr>
        <w:t xml:space="preserve"> to be performed or complied with by it prior to or at the Closing;</w:t>
      </w:r>
    </w:p>
    <w:p w14:paraId="4E1583D2" w14:textId="1B63FB90" w:rsidR="003B718B" w:rsidRDefault="003B718B" w:rsidP="0080532E">
      <w:pPr>
        <w:pStyle w:val="Heading2"/>
        <w:numPr>
          <w:ilvl w:val="1"/>
          <w:numId w:val="6"/>
        </w:numPr>
        <w:tabs>
          <w:tab w:val="clear" w:pos="1699"/>
          <w:tab w:val="clear" w:pos="2016"/>
        </w:tabs>
        <w:spacing w:before="0" w:after="240"/>
        <w:rPr>
          <w:i w:val="0"/>
        </w:rPr>
      </w:pPr>
      <w:r>
        <w:rPr>
          <w:i w:val="0"/>
        </w:rPr>
        <w:t xml:space="preserve">At the time of the Closing, (i) the </w:t>
      </w:r>
      <w:r w:rsidR="007D76FF">
        <w:rPr>
          <w:i w:val="0"/>
        </w:rPr>
        <w:t xml:space="preserve">Authorizing Resolution, </w:t>
      </w:r>
      <w:r>
        <w:rPr>
          <w:i w:val="0"/>
        </w:rPr>
        <w:t xml:space="preserve">and </w:t>
      </w:r>
      <w:r w:rsidR="007D76FF">
        <w:rPr>
          <w:i w:val="0"/>
        </w:rPr>
        <w:t xml:space="preserve">each </w:t>
      </w:r>
      <w:r>
        <w:rPr>
          <w:i w:val="0"/>
        </w:rPr>
        <w:t>Enterprise Document</w:t>
      </w:r>
      <w:r w:rsidR="007D76FF">
        <w:rPr>
          <w:i w:val="0"/>
        </w:rPr>
        <w:t xml:space="preserve"> shall be fully executed and in full force and effect and shall not have been amended, modified or supplemented except as may have been agreed to in writing by the Representative</w:t>
      </w:r>
      <w:r>
        <w:rPr>
          <w:i w:val="0"/>
        </w:rPr>
        <w:t>; and (iii) the Enterprise will have taken all actions required to be taken by it, or will have caused all actions within its control to be taken, in order for Bond Counsel, the Office of the Attorney General, Disclosure Counsel, and counsel to the Underwriters to deliver their respective opinions referred to in subsection (h) below;</w:t>
      </w:r>
    </w:p>
    <w:p w14:paraId="2A6F011B" w14:textId="1990C0D8" w:rsidR="003B718B" w:rsidRDefault="003B718B" w:rsidP="0080532E">
      <w:pPr>
        <w:pStyle w:val="Heading2"/>
        <w:numPr>
          <w:ilvl w:val="1"/>
          <w:numId w:val="6"/>
        </w:numPr>
        <w:tabs>
          <w:tab w:val="clear" w:pos="1699"/>
          <w:tab w:val="clear" w:pos="2016"/>
        </w:tabs>
        <w:spacing w:before="0" w:after="240"/>
        <w:rPr>
          <w:i w:val="0"/>
        </w:rPr>
      </w:pPr>
      <w:r>
        <w:rPr>
          <w:i w:val="0"/>
        </w:rPr>
        <w:t xml:space="preserve">At or prior to the Closing, the Enterprise shall have duly executed and delivered, and the </w:t>
      </w:r>
      <w:r w:rsidR="00AA3720">
        <w:rPr>
          <w:i w:val="0"/>
        </w:rPr>
        <w:t xml:space="preserve">Senior </w:t>
      </w:r>
      <w:r>
        <w:rPr>
          <w:i w:val="0"/>
        </w:rPr>
        <w:t xml:space="preserve">Trustee shall have duly authenticated, the Bonds; at the time of Closing, the Bonds will be in full force and effect; and upon the Closing, the Bonds will be released on the records of </w:t>
      </w:r>
      <w:proofErr w:type="spellStart"/>
      <w:r>
        <w:rPr>
          <w:i w:val="0"/>
        </w:rPr>
        <w:t>DTC</w:t>
      </w:r>
      <w:proofErr w:type="spellEnd"/>
      <w:r>
        <w:rPr>
          <w:i w:val="0"/>
        </w:rPr>
        <w:t xml:space="preserve"> and, if applicable, the </w:t>
      </w:r>
      <w:r w:rsidR="00AA3720">
        <w:rPr>
          <w:i w:val="0"/>
        </w:rPr>
        <w:t xml:space="preserve">Senior </w:t>
      </w:r>
      <w:r w:rsidR="007D76FF">
        <w:rPr>
          <w:i w:val="0"/>
        </w:rPr>
        <w:t>Trustee</w:t>
      </w:r>
      <w:r>
        <w:rPr>
          <w:i w:val="0"/>
        </w:rPr>
        <w:t xml:space="preserve"> to the respective accounts of the Underwriters;</w:t>
      </w:r>
    </w:p>
    <w:p w14:paraId="7F8A3F46" w14:textId="77777777" w:rsidR="003B718B" w:rsidRDefault="003B718B" w:rsidP="0080532E">
      <w:pPr>
        <w:pStyle w:val="Heading2"/>
        <w:numPr>
          <w:ilvl w:val="1"/>
          <w:numId w:val="6"/>
        </w:numPr>
        <w:tabs>
          <w:tab w:val="clear" w:pos="1699"/>
          <w:tab w:val="clear" w:pos="2016"/>
        </w:tabs>
        <w:spacing w:before="0" w:after="240"/>
        <w:rPr>
          <w:i w:val="0"/>
        </w:rPr>
      </w:pPr>
      <w:r>
        <w:rPr>
          <w:i w:val="0"/>
        </w:rPr>
        <w:t xml:space="preserve">At the time of the Closing, there shall not have occurred any change or any development involving a prospective change in the condition, financial or otherwise, of the Enterprise </w:t>
      </w:r>
      <w:r w:rsidRPr="000707D0">
        <w:rPr>
          <w:i w:val="0"/>
        </w:rPr>
        <w:t>or the Bridge Special Fund</w:t>
      </w:r>
      <w:r>
        <w:rPr>
          <w:i w:val="0"/>
        </w:rPr>
        <w:t xml:space="preserve"> from the information relating thereto set forth in the Official Statement that, in the reasonable judgment of the Representative, is material and adverse and that </w:t>
      </w:r>
      <w:r>
        <w:rPr>
          <w:i w:val="0"/>
        </w:rPr>
        <w:lastRenderedPageBreak/>
        <w:t>makes it, in the reasonable judgment of the Representative, impracticable to market the Bonds on the terms and in the manner contemplated by this Purchase Agreement and in the Official Statement;</w:t>
      </w:r>
    </w:p>
    <w:p w14:paraId="75AA51CB" w14:textId="77777777" w:rsidR="003B718B" w:rsidRDefault="003B718B" w:rsidP="0080532E">
      <w:pPr>
        <w:pStyle w:val="Heading2"/>
        <w:numPr>
          <w:ilvl w:val="1"/>
          <w:numId w:val="6"/>
        </w:numPr>
        <w:tabs>
          <w:tab w:val="clear" w:pos="1699"/>
          <w:tab w:val="clear" w:pos="2016"/>
        </w:tabs>
        <w:spacing w:before="0" w:after="240"/>
        <w:rPr>
          <w:i w:val="0"/>
        </w:rPr>
      </w:pPr>
      <w:r>
        <w:rPr>
          <w:i w:val="0"/>
        </w:rPr>
        <w:t>Between the date of this Purchase Agreement and the Closing, the Enterprise shall not have failed to pay when due the principal of or interest on any of its outstanding obligations for borrowed money;</w:t>
      </w:r>
    </w:p>
    <w:p w14:paraId="2210D235" w14:textId="77777777" w:rsidR="003B718B" w:rsidRDefault="003B718B" w:rsidP="0080532E">
      <w:pPr>
        <w:pStyle w:val="Heading2"/>
        <w:numPr>
          <w:ilvl w:val="1"/>
          <w:numId w:val="6"/>
        </w:numPr>
        <w:tabs>
          <w:tab w:val="clear" w:pos="1699"/>
          <w:tab w:val="clear" w:pos="2016"/>
        </w:tabs>
        <w:spacing w:before="0" w:after="240"/>
        <w:rPr>
          <w:i w:val="0"/>
        </w:rPr>
      </w:pPr>
      <w:r>
        <w:rPr>
          <w:i w:val="0"/>
        </w:rPr>
        <w:t>At or prior to the Closing, all steps to be taken and all instruments and other documents to be executed, and all other legal matters in connection with the transactions contemplated by this Purchase Agreement shall be reasonably satisfactory in legal form and effect to the Representative;</w:t>
      </w:r>
    </w:p>
    <w:p w14:paraId="7A5CFFA9" w14:textId="4E0C7016" w:rsidR="003B718B" w:rsidRDefault="003B718B" w:rsidP="0080532E">
      <w:pPr>
        <w:pStyle w:val="Heading2"/>
        <w:numPr>
          <w:ilvl w:val="1"/>
          <w:numId w:val="6"/>
        </w:numPr>
        <w:tabs>
          <w:tab w:val="clear" w:pos="1699"/>
          <w:tab w:val="clear" w:pos="2016"/>
        </w:tabs>
        <w:spacing w:before="0" w:after="240"/>
        <w:rPr>
          <w:i w:val="0"/>
        </w:rPr>
      </w:pPr>
      <w:r>
        <w:rPr>
          <w:i w:val="0"/>
        </w:rPr>
        <w:t xml:space="preserve">At or prior to the Closing, the Representative shall receive the following documents </w:t>
      </w:r>
      <w:r w:rsidR="005C2DAB">
        <w:rPr>
          <w:i w:val="0"/>
        </w:rPr>
        <w:t xml:space="preserve">(in </w:t>
      </w:r>
      <w:r>
        <w:rPr>
          <w:i w:val="0"/>
        </w:rPr>
        <w:t xml:space="preserve">each </w:t>
      </w:r>
      <w:r w:rsidR="005C2DAB">
        <w:rPr>
          <w:i w:val="0"/>
        </w:rPr>
        <w:t xml:space="preserve">case with only such changes as the Representative shall approve): </w:t>
      </w:r>
    </w:p>
    <w:p w14:paraId="468FCD71" w14:textId="77777777" w:rsidR="00D16EAF" w:rsidRDefault="003B718B" w:rsidP="00D16EAF">
      <w:pPr>
        <w:pStyle w:val="Heading2"/>
        <w:numPr>
          <w:ilvl w:val="5"/>
          <w:numId w:val="6"/>
        </w:numPr>
        <w:tabs>
          <w:tab w:val="clear" w:pos="1699"/>
          <w:tab w:val="clear" w:pos="2016"/>
        </w:tabs>
        <w:spacing w:before="0" w:after="240"/>
        <w:ind w:left="0" w:firstLine="2160"/>
        <w:rPr>
          <w:i w:val="0"/>
        </w:rPr>
      </w:pPr>
      <w:proofErr w:type="gramStart"/>
      <w:r>
        <w:rPr>
          <w:i w:val="0"/>
        </w:rPr>
        <w:t>a</w:t>
      </w:r>
      <w:proofErr w:type="gramEnd"/>
      <w:r>
        <w:rPr>
          <w:i w:val="0"/>
        </w:rPr>
        <w:t xml:space="preserve"> specimen of the Bonds; </w:t>
      </w:r>
    </w:p>
    <w:p w14:paraId="23BA87FD" w14:textId="5464D0B3" w:rsidR="003B718B" w:rsidRPr="00D16EAF" w:rsidRDefault="00D16EAF" w:rsidP="00D16EAF">
      <w:pPr>
        <w:pStyle w:val="Heading2"/>
        <w:numPr>
          <w:ilvl w:val="5"/>
          <w:numId w:val="6"/>
        </w:numPr>
        <w:tabs>
          <w:tab w:val="clear" w:pos="1699"/>
          <w:tab w:val="clear" w:pos="2016"/>
        </w:tabs>
        <w:spacing w:before="0" w:after="240"/>
        <w:ind w:left="0" w:firstLine="2160"/>
        <w:rPr>
          <w:i w:val="0"/>
        </w:rPr>
      </w:pPr>
      <w:r w:rsidRPr="00D16EAF">
        <w:rPr>
          <w:i w:val="0"/>
        </w:rPr>
        <w:t>executed copies</w:t>
      </w:r>
      <w:r w:rsidR="003B718B" w:rsidRPr="00D16EAF">
        <w:rPr>
          <w:i w:val="0"/>
        </w:rPr>
        <w:t xml:space="preserve"> of the </w:t>
      </w:r>
      <w:r w:rsidRPr="00D16EAF">
        <w:rPr>
          <w:i w:val="0"/>
        </w:rPr>
        <w:t>2010 Master Indenture, the 2010 Supplemental Indenture, the 2017 Supplemental Trust Indenture</w:t>
      </w:r>
      <w:r w:rsidR="0060602A">
        <w:rPr>
          <w:i w:val="0"/>
        </w:rPr>
        <w:t>,</w:t>
      </w:r>
      <w:r w:rsidRPr="00D16EAF">
        <w:rPr>
          <w:i w:val="0"/>
        </w:rPr>
        <w:t xml:space="preserve"> </w:t>
      </w:r>
      <w:r>
        <w:rPr>
          <w:i w:val="0"/>
        </w:rPr>
        <w:t>the 2</w:t>
      </w:r>
      <w:r w:rsidRPr="00D16EAF">
        <w:rPr>
          <w:i w:val="0"/>
        </w:rPr>
        <w:t>019 Supplemental Indenture</w:t>
      </w:r>
      <w:r>
        <w:rPr>
          <w:i w:val="0"/>
        </w:rPr>
        <w:t>, the</w:t>
      </w:r>
      <w:r w:rsidRPr="00D16EAF">
        <w:rPr>
          <w:i w:val="0"/>
        </w:rPr>
        <w:t xml:space="preserve"> 2024 Supplemental Trust Indenture and </w:t>
      </w:r>
      <w:r>
        <w:rPr>
          <w:i w:val="0"/>
        </w:rPr>
        <w:t xml:space="preserve">the 2024B Supplemental Indenture; </w:t>
      </w:r>
    </w:p>
    <w:p w14:paraId="45FFCB14" w14:textId="0211E048" w:rsidR="003B718B" w:rsidRDefault="003B718B" w:rsidP="0080532E">
      <w:pPr>
        <w:pStyle w:val="Heading2"/>
        <w:numPr>
          <w:ilvl w:val="5"/>
          <w:numId w:val="6"/>
        </w:numPr>
        <w:tabs>
          <w:tab w:val="clear" w:pos="1699"/>
          <w:tab w:val="clear" w:pos="2016"/>
        </w:tabs>
        <w:spacing w:before="0" w:after="240"/>
        <w:ind w:left="0" w:firstLine="2160"/>
        <w:rPr>
          <w:i w:val="0"/>
        </w:rPr>
      </w:pPr>
      <w:proofErr w:type="gramStart"/>
      <w:r>
        <w:rPr>
          <w:i w:val="0"/>
        </w:rPr>
        <w:t>executed</w:t>
      </w:r>
      <w:proofErr w:type="gramEnd"/>
      <w:r>
        <w:rPr>
          <w:i w:val="0"/>
        </w:rPr>
        <w:t xml:space="preserve"> copies of each of this Purchase Agreement,</w:t>
      </w:r>
      <w:r w:rsidR="001D6324">
        <w:rPr>
          <w:i w:val="0"/>
        </w:rPr>
        <w:t xml:space="preserve"> the Escrow Agreement,</w:t>
      </w:r>
      <w:r>
        <w:rPr>
          <w:i w:val="0"/>
        </w:rPr>
        <w:t xml:space="preserve"> the Official Statement, and the </w:t>
      </w:r>
      <w:r w:rsidR="00796D15">
        <w:rPr>
          <w:i w:val="0"/>
        </w:rPr>
        <w:t>Undertaking</w:t>
      </w:r>
      <w:r>
        <w:rPr>
          <w:i w:val="0"/>
        </w:rPr>
        <w:t>;</w:t>
      </w:r>
    </w:p>
    <w:p w14:paraId="6032F31C" w14:textId="3C61BE67" w:rsidR="00F93909" w:rsidRPr="00F93909" w:rsidRDefault="003B718B" w:rsidP="00F93909">
      <w:pPr>
        <w:pStyle w:val="Heading2"/>
        <w:numPr>
          <w:ilvl w:val="5"/>
          <w:numId w:val="6"/>
        </w:numPr>
        <w:tabs>
          <w:tab w:val="clear" w:pos="1699"/>
          <w:tab w:val="clear" w:pos="2016"/>
        </w:tabs>
        <w:spacing w:before="0" w:after="240"/>
        <w:ind w:left="0" w:firstLine="2160"/>
        <w:rPr>
          <w:i w:val="0"/>
        </w:rPr>
      </w:pPr>
      <w:proofErr w:type="gramStart"/>
      <w:r>
        <w:rPr>
          <w:i w:val="0"/>
        </w:rPr>
        <w:t>a</w:t>
      </w:r>
      <w:proofErr w:type="gramEnd"/>
      <w:r>
        <w:rPr>
          <w:i w:val="0"/>
        </w:rPr>
        <w:t xml:space="preserve"> certified copy of </w:t>
      </w:r>
      <w:r w:rsidR="00F83F1B">
        <w:rPr>
          <w:i w:val="0"/>
        </w:rPr>
        <w:t>the Authorizing Resolution</w:t>
      </w:r>
      <w:r w:rsidR="00F93909">
        <w:rPr>
          <w:i w:val="0"/>
        </w:rPr>
        <w:t>;</w:t>
      </w:r>
    </w:p>
    <w:p w14:paraId="0D175CFC" w14:textId="3400D40C" w:rsidR="003B718B" w:rsidRDefault="003B718B" w:rsidP="0080532E">
      <w:pPr>
        <w:pStyle w:val="Heading2"/>
        <w:numPr>
          <w:ilvl w:val="5"/>
          <w:numId w:val="6"/>
        </w:numPr>
        <w:tabs>
          <w:tab w:val="clear" w:pos="1699"/>
          <w:tab w:val="clear" w:pos="2016"/>
        </w:tabs>
        <w:spacing w:before="0" w:after="240"/>
        <w:ind w:left="0" w:firstLine="2160"/>
        <w:rPr>
          <w:i w:val="0"/>
        </w:rPr>
      </w:pPr>
      <w:r>
        <w:rPr>
          <w:i w:val="0"/>
        </w:rPr>
        <w:t xml:space="preserve">the approving opinion of Bond Counsel, dated the </w:t>
      </w:r>
      <w:r w:rsidR="00541C23">
        <w:rPr>
          <w:i w:val="0"/>
        </w:rPr>
        <w:t>Closing Date</w:t>
      </w:r>
      <w:r>
        <w:rPr>
          <w:i w:val="0"/>
        </w:rPr>
        <w:t xml:space="preserve">, substantially in the form attached to the </w:t>
      </w:r>
      <w:r w:rsidR="00573E6C">
        <w:rPr>
          <w:i w:val="0"/>
        </w:rPr>
        <w:t>Official Statement as Appendix F</w:t>
      </w:r>
      <w:r>
        <w:rPr>
          <w:i w:val="0"/>
        </w:rPr>
        <w:t xml:space="preserve"> and if such opinion is not addressed to the Underwriters, a letter of such counsel, dated the </w:t>
      </w:r>
      <w:r w:rsidR="00541C23">
        <w:rPr>
          <w:i w:val="0"/>
        </w:rPr>
        <w:t>Closing Date</w:t>
      </w:r>
      <w:r>
        <w:rPr>
          <w:i w:val="0"/>
        </w:rPr>
        <w:t xml:space="preserve"> and addressed to the Underwriters, to the effect that such opinion may be relied upon by the Underwriters to the same extent as if such opinion were addressed to it;</w:t>
      </w:r>
    </w:p>
    <w:p w14:paraId="480267B8" w14:textId="23F7F50F" w:rsidR="007F0055" w:rsidRDefault="003B718B" w:rsidP="007F0055">
      <w:pPr>
        <w:pStyle w:val="Heading2"/>
        <w:numPr>
          <w:ilvl w:val="5"/>
          <w:numId w:val="6"/>
        </w:numPr>
        <w:tabs>
          <w:tab w:val="clear" w:pos="1699"/>
          <w:tab w:val="clear" w:pos="2016"/>
        </w:tabs>
        <w:spacing w:before="0" w:after="240"/>
        <w:ind w:left="0" w:firstLine="2160"/>
        <w:rPr>
          <w:i w:val="0"/>
        </w:rPr>
      </w:pPr>
      <w:proofErr w:type="gramStart"/>
      <w:r>
        <w:rPr>
          <w:i w:val="0"/>
        </w:rPr>
        <w:t>a</w:t>
      </w:r>
      <w:proofErr w:type="gramEnd"/>
      <w:r>
        <w:rPr>
          <w:i w:val="0"/>
        </w:rPr>
        <w:t xml:space="preserve"> supplemental legal opinion of Bond Counsel dated the Closing Date, addressed to the Enterprise</w:t>
      </w:r>
      <w:r w:rsidR="0060602A">
        <w:rPr>
          <w:i w:val="0"/>
        </w:rPr>
        <w:t xml:space="preserve"> </w:t>
      </w:r>
      <w:r>
        <w:rPr>
          <w:i w:val="0"/>
        </w:rPr>
        <w:t>and the Underwriters</w:t>
      </w:r>
      <w:r w:rsidR="0060602A">
        <w:rPr>
          <w:i w:val="0"/>
        </w:rPr>
        <w:t>,</w:t>
      </w:r>
      <w:r w:rsidR="0036044D">
        <w:rPr>
          <w:i w:val="0"/>
        </w:rPr>
        <w:t xml:space="preserve"> substantially in the form attached as </w:t>
      </w:r>
      <w:r w:rsidR="0036044D" w:rsidRPr="00234081">
        <w:rPr>
          <w:i w:val="0"/>
          <w:u w:val="single"/>
        </w:rPr>
        <w:t xml:space="preserve">Exhibit </w:t>
      </w:r>
      <w:r w:rsidR="00234081">
        <w:rPr>
          <w:i w:val="0"/>
          <w:u w:val="single"/>
        </w:rPr>
        <w:t>B</w:t>
      </w:r>
      <w:r w:rsidR="0036044D">
        <w:rPr>
          <w:i w:val="0"/>
        </w:rPr>
        <w:t xml:space="preserve"> hereto</w:t>
      </w:r>
      <w:r>
        <w:rPr>
          <w:i w:val="0"/>
        </w:rPr>
        <w:t>;</w:t>
      </w:r>
    </w:p>
    <w:p w14:paraId="1BD83FE8" w14:textId="4AEEEA10" w:rsidR="0087072F" w:rsidRPr="00A9196A" w:rsidRDefault="0087072F" w:rsidP="00A9196A">
      <w:pPr>
        <w:pStyle w:val="Heading2"/>
        <w:numPr>
          <w:ilvl w:val="5"/>
          <w:numId w:val="6"/>
        </w:numPr>
        <w:tabs>
          <w:tab w:val="clear" w:pos="1699"/>
          <w:tab w:val="clear" w:pos="2016"/>
        </w:tabs>
        <w:spacing w:before="0" w:after="240"/>
        <w:ind w:left="0" w:firstLine="2160"/>
        <w:rPr>
          <w:i w:val="0"/>
        </w:rPr>
      </w:pPr>
      <w:r>
        <w:rPr>
          <w:i w:val="0"/>
        </w:rPr>
        <w:t xml:space="preserve">a defeasance opinion of Bond Counsel dated the Closing Date, addressed to the Enterprise and the Senior Trustee, and meeting the requirements of Section 9.03 of the 2010 Master Indenture; </w:t>
      </w:r>
    </w:p>
    <w:p w14:paraId="25922BDF" w14:textId="55BC3F51" w:rsidR="003B718B" w:rsidRDefault="003B718B" w:rsidP="0080532E">
      <w:pPr>
        <w:pStyle w:val="Heading2"/>
        <w:numPr>
          <w:ilvl w:val="5"/>
          <w:numId w:val="6"/>
        </w:numPr>
        <w:tabs>
          <w:tab w:val="clear" w:pos="1699"/>
          <w:tab w:val="clear" w:pos="2016"/>
        </w:tabs>
        <w:spacing w:before="0" w:after="240"/>
        <w:ind w:left="0" w:firstLine="2160"/>
        <w:rPr>
          <w:i w:val="0"/>
        </w:rPr>
      </w:pPr>
      <w:r>
        <w:rPr>
          <w:i w:val="0"/>
        </w:rPr>
        <w:t>a letter from Kutak Rock LLP, Denver, Colorado, the Enterprise’s disclosure counsel (“</w:t>
      </w:r>
      <w:r>
        <w:rPr>
          <w:i w:val="0"/>
          <w:u w:val="single"/>
        </w:rPr>
        <w:t>Disclosure Counsel</w:t>
      </w:r>
      <w:r>
        <w:rPr>
          <w:i w:val="0"/>
        </w:rPr>
        <w:t>”)</w:t>
      </w:r>
      <w:r w:rsidR="0036044D" w:rsidRPr="0036044D">
        <w:rPr>
          <w:i w:val="0"/>
        </w:rPr>
        <w:t xml:space="preserve"> </w:t>
      </w:r>
      <w:r w:rsidR="0036044D">
        <w:rPr>
          <w:i w:val="0"/>
        </w:rPr>
        <w:t>dated the Closing Date and addressed to the Enterprise and the Underwriters (or, if such opinion shall not be addressed to the Underwriters, together with a letter addressed to the Underwriters stating that the Underwriters may rely on such approving opinion as if it was addressed to the Underwriters)</w:t>
      </w:r>
      <w:r>
        <w:rPr>
          <w:i w:val="0"/>
        </w:rPr>
        <w:t xml:space="preserve">, </w:t>
      </w:r>
      <w:r w:rsidR="0036044D">
        <w:rPr>
          <w:i w:val="0"/>
        </w:rPr>
        <w:t xml:space="preserve">substantially in the form attached as </w:t>
      </w:r>
      <w:r w:rsidR="0036044D" w:rsidRPr="00234081">
        <w:rPr>
          <w:i w:val="0"/>
          <w:u w:val="single"/>
        </w:rPr>
        <w:t xml:space="preserve">Exhibit </w:t>
      </w:r>
      <w:r w:rsidR="00234081">
        <w:rPr>
          <w:i w:val="0"/>
          <w:u w:val="single"/>
        </w:rPr>
        <w:t>C</w:t>
      </w:r>
      <w:r w:rsidR="0036044D">
        <w:rPr>
          <w:i w:val="0"/>
        </w:rPr>
        <w:t xml:space="preserve"> hereto</w:t>
      </w:r>
      <w:r>
        <w:rPr>
          <w:i w:val="0"/>
        </w:rPr>
        <w:t>;</w:t>
      </w:r>
    </w:p>
    <w:p w14:paraId="5C49C36B" w14:textId="55FFC1D2" w:rsidR="003B718B" w:rsidRPr="00F83F1B" w:rsidRDefault="003B718B" w:rsidP="0080532E">
      <w:pPr>
        <w:pStyle w:val="Heading2"/>
        <w:numPr>
          <w:ilvl w:val="5"/>
          <w:numId w:val="6"/>
        </w:numPr>
        <w:tabs>
          <w:tab w:val="clear" w:pos="1699"/>
          <w:tab w:val="clear" w:pos="2016"/>
        </w:tabs>
        <w:spacing w:before="0" w:after="240"/>
        <w:ind w:left="0" w:firstLine="2160"/>
        <w:rPr>
          <w:i w:val="0"/>
        </w:rPr>
      </w:pPr>
      <w:r>
        <w:rPr>
          <w:i w:val="0"/>
        </w:rPr>
        <w:lastRenderedPageBreak/>
        <w:t xml:space="preserve">an opinion of the Office of the Attorney General of the State of Colorado with respect to the Bonds, dated the Closing </w:t>
      </w:r>
      <w:r w:rsidR="0036044D">
        <w:rPr>
          <w:i w:val="0"/>
        </w:rPr>
        <w:t xml:space="preserve">Date </w:t>
      </w:r>
      <w:r>
        <w:rPr>
          <w:i w:val="0"/>
        </w:rPr>
        <w:t xml:space="preserve">and addressed to </w:t>
      </w:r>
      <w:r w:rsidR="0060602A">
        <w:rPr>
          <w:i w:val="0"/>
        </w:rPr>
        <w:t xml:space="preserve">the Enterprise and </w:t>
      </w:r>
      <w:r>
        <w:rPr>
          <w:i w:val="0"/>
        </w:rPr>
        <w:t>the Underwriters (or, if such opinion shall not be addressed to the Underwriters, together with a letter addressed to the Underwriters stating that the Underwriters may rely on such approving opinion as if it was addressed to the Underwriters)</w:t>
      </w:r>
      <w:r w:rsidR="0036044D">
        <w:rPr>
          <w:i w:val="0"/>
        </w:rPr>
        <w:t xml:space="preserve"> substantially in the form attached as </w:t>
      </w:r>
      <w:r w:rsidR="0036044D" w:rsidRPr="00234081">
        <w:rPr>
          <w:i w:val="0"/>
          <w:u w:val="single"/>
        </w:rPr>
        <w:t xml:space="preserve">Exhibit </w:t>
      </w:r>
      <w:r w:rsidR="00234081">
        <w:rPr>
          <w:i w:val="0"/>
          <w:u w:val="single"/>
        </w:rPr>
        <w:t>D</w:t>
      </w:r>
      <w:r w:rsidR="0036044D">
        <w:rPr>
          <w:i w:val="0"/>
        </w:rPr>
        <w:t xml:space="preserve"> hereto;</w:t>
      </w:r>
    </w:p>
    <w:p w14:paraId="14DAC567" w14:textId="4F32A075" w:rsidR="003B718B" w:rsidRDefault="003B718B" w:rsidP="0080532E">
      <w:pPr>
        <w:pStyle w:val="Heading2"/>
        <w:numPr>
          <w:ilvl w:val="5"/>
          <w:numId w:val="6"/>
        </w:numPr>
        <w:tabs>
          <w:tab w:val="clear" w:pos="1699"/>
          <w:tab w:val="clear" w:pos="2016"/>
        </w:tabs>
        <w:spacing w:before="0" w:after="240"/>
        <w:ind w:left="0" w:firstLine="2160"/>
        <w:rPr>
          <w:i w:val="0"/>
        </w:rPr>
      </w:pPr>
      <w:proofErr w:type="gramStart"/>
      <w:r>
        <w:rPr>
          <w:i w:val="0"/>
        </w:rPr>
        <w:t>an</w:t>
      </w:r>
      <w:proofErr w:type="gramEnd"/>
      <w:r>
        <w:rPr>
          <w:i w:val="0"/>
        </w:rPr>
        <w:t xml:space="preserve"> opinion of Underwriter</w:t>
      </w:r>
      <w:r w:rsidR="00F83F1B">
        <w:rPr>
          <w:i w:val="0"/>
        </w:rPr>
        <w:t>s</w:t>
      </w:r>
      <w:r>
        <w:rPr>
          <w:i w:val="0"/>
        </w:rPr>
        <w:t xml:space="preserve">’ counsel in form and substance acceptable to the </w:t>
      </w:r>
      <w:r w:rsidR="001810E0">
        <w:rPr>
          <w:i w:val="0"/>
        </w:rPr>
        <w:t>Representative</w:t>
      </w:r>
      <w:r>
        <w:rPr>
          <w:i w:val="0"/>
        </w:rPr>
        <w:t>;</w:t>
      </w:r>
    </w:p>
    <w:p w14:paraId="27D3B89E" w14:textId="79D030DC" w:rsidR="003B718B" w:rsidRDefault="003B718B" w:rsidP="0080532E">
      <w:pPr>
        <w:pStyle w:val="Heading2"/>
        <w:numPr>
          <w:ilvl w:val="5"/>
          <w:numId w:val="6"/>
        </w:numPr>
        <w:tabs>
          <w:tab w:val="clear" w:pos="1699"/>
          <w:tab w:val="clear" w:pos="2016"/>
        </w:tabs>
        <w:spacing w:before="0" w:after="240"/>
        <w:ind w:left="0" w:firstLine="2160"/>
        <w:rPr>
          <w:i w:val="0"/>
        </w:rPr>
      </w:pPr>
      <w:r>
        <w:rPr>
          <w:i w:val="0"/>
        </w:rPr>
        <w:t>a certificate of the Enterprise, dated the Closing</w:t>
      </w:r>
      <w:r w:rsidR="00671C8F">
        <w:rPr>
          <w:i w:val="0"/>
        </w:rPr>
        <w:t xml:space="preserve"> Date</w:t>
      </w:r>
      <w:r>
        <w:rPr>
          <w:i w:val="0"/>
        </w:rPr>
        <w:t xml:space="preserve">, to the effect that (i) the representations and warranties of the Enterprise contained herein are true and correct in all material respects on and as of the Closing </w:t>
      </w:r>
      <w:r w:rsidR="00671C8F">
        <w:rPr>
          <w:i w:val="0"/>
        </w:rPr>
        <w:t xml:space="preserve">Date </w:t>
      </w:r>
      <w:r>
        <w:rPr>
          <w:i w:val="0"/>
        </w:rPr>
        <w:t>as if made on the Closing</w:t>
      </w:r>
      <w:r w:rsidR="00671C8F">
        <w:rPr>
          <w:i w:val="0"/>
        </w:rPr>
        <w:t xml:space="preserve"> Date</w:t>
      </w:r>
      <w:r>
        <w:rPr>
          <w:i w:val="0"/>
        </w:rPr>
        <w:t xml:space="preserve">; (ii) except </w:t>
      </w:r>
      <w:r w:rsidR="00671C8F">
        <w:rPr>
          <w:i w:val="0"/>
        </w:rPr>
        <w:t xml:space="preserve">as described in the </w:t>
      </w:r>
      <w:r w:rsidR="00F83F1B">
        <w:rPr>
          <w:i w:val="0"/>
        </w:rPr>
        <w:t xml:space="preserve">Preliminary Official Statement and the </w:t>
      </w:r>
      <w:r w:rsidR="00671C8F">
        <w:rPr>
          <w:i w:val="0"/>
        </w:rPr>
        <w:t>Official Statement</w:t>
      </w:r>
      <w:r>
        <w:rPr>
          <w:i w:val="0"/>
        </w:rPr>
        <w:t>, no litigation, action, suit, proceeding, inquiry or investigation, at law or in equity, before or by any court, government agency, public board or body, is pending or, to the best of its knowledge after due inquiry, threatened against the Enterprise, (A) the outcome of which, if not in favor of the Enterprise, would materially adversely affect the existence of the Enterprise, the authority of its officers, the sale, issuance or delivery of the Bonds or the validity or enforceability of the Bonds; or (B) seeking to prohibit, restrain or enjoin the</w:t>
      </w:r>
      <w:r w:rsidR="00F83F1B">
        <w:rPr>
          <w:i w:val="0"/>
        </w:rPr>
        <w:t xml:space="preserve"> implementation of FASTER</w:t>
      </w:r>
      <w:r>
        <w:rPr>
          <w:i w:val="0"/>
        </w:rPr>
        <w:t>, the execution and delivery of or the performance by the Enterprise of its obligations under the Enterprise Documents, the sale, issuance or delivery of the Bonds</w:t>
      </w:r>
      <w:r w:rsidR="0060602A">
        <w:rPr>
          <w:i w:val="0"/>
        </w:rPr>
        <w:t xml:space="preserve"> and the refunding of the Refunded Bonds</w:t>
      </w:r>
      <w:r>
        <w:rPr>
          <w:i w:val="0"/>
        </w:rPr>
        <w:t xml:space="preserve"> in accordance with the </w:t>
      </w:r>
      <w:r w:rsidR="00294498">
        <w:rPr>
          <w:i w:val="0"/>
        </w:rPr>
        <w:t xml:space="preserve">Senior </w:t>
      </w:r>
      <w:r>
        <w:rPr>
          <w:i w:val="0"/>
        </w:rPr>
        <w:t>Indenture</w:t>
      </w:r>
      <w:r w:rsidR="0060602A">
        <w:rPr>
          <w:i w:val="0"/>
        </w:rPr>
        <w:t>, the Escrow Agreement</w:t>
      </w:r>
      <w:r>
        <w:rPr>
          <w:i w:val="0"/>
        </w:rPr>
        <w:t xml:space="preserve"> and this Purchase Agreement or the performance by the Enterprise of its obligations under the Bonds, the pledge of the Trust Estate under the </w:t>
      </w:r>
      <w:r w:rsidR="00294498">
        <w:rPr>
          <w:i w:val="0"/>
        </w:rPr>
        <w:t xml:space="preserve">Senior </w:t>
      </w:r>
      <w:r>
        <w:rPr>
          <w:i w:val="0"/>
        </w:rPr>
        <w:t>Indenture, th</w:t>
      </w:r>
      <w:r w:rsidR="002326D5">
        <w:rPr>
          <w:i w:val="0"/>
        </w:rPr>
        <w:t xml:space="preserve">e collection or deposit of the </w:t>
      </w:r>
      <w:r>
        <w:rPr>
          <w:i w:val="0"/>
        </w:rPr>
        <w:t xml:space="preserve">Revenues as provided under the </w:t>
      </w:r>
      <w:r w:rsidR="00294498">
        <w:rPr>
          <w:i w:val="0"/>
        </w:rPr>
        <w:t xml:space="preserve">Senior </w:t>
      </w:r>
      <w:r>
        <w:rPr>
          <w:i w:val="0"/>
        </w:rPr>
        <w:t xml:space="preserve">Indenture, or the application of proceeds of the Bonds as contemplated by the Official Statement and provided under the </w:t>
      </w:r>
      <w:r w:rsidR="00294498">
        <w:rPr>
          <w:i w:val="0"/>
        </w:rPr>
        <w:t xml:space="preserve">Senior </w:t>
      </w:r>
      <w:r>
        <w:rPr>
          <w:i w:val="0"/>
        </w:rPr>
        <w:t xml:space="preserve">Indenture; or (C) in any way contesting the validity or enforceability of the Bonds or the Enterprise Documents or the exemption of the Bonds and the transfer of and income from the Bonds from all </w:t>
      </w:r>
      <w:r w:rsidR="0080532E">
        <w:rPr>
          <w:i w:val="0"/>
        </w:rPr>
        <w:t xml:space="preserve">federal and </w:t>
      </w:r>
      <w:r>
        <w:rPr>
          <w:i w:val="0"/>
        </w:rPr>
        <w:t xml:space="preserve">State taxation and assessments, or (D) contesting in any way the completeness or accuracy of the Preliminary Official Statement or the Official Statement, or (E) contesting the powers of the Enterprise or any authority for the issuance of the Bonds, the execution and delivery of the Enterprise Documents or the adoption of the </w:t>
      </w:r>
      <w:r w:rsidR="0080532E">
        <w:rPr>
          <w:i w:val="0"/>
        </w:rPr>
        <w:t>Authorizing Resolution</w:t>
      </w:r>
      <w:r>
        <w:rPr>
          <w:i w:val="0"/>
        </w:rPr>
        <w:t xml:space="preserve">; nor, to the best knowledge of the Enterprise, is there any basis therefor, wherein an unfavorable decision, ruling or finding would materially adversely affect the validity or enforceability of the Bonds or the Enterprise Documents; (iii) </w:t>
      </w:r>
      <w:r w:rsidR="00671C8F">
        <w:rPr>
          <w:i w:val="0"/>
        </w:rPr>
        <w:t xml:space="preserve">the Authorizing Resolution </w:t>
      </w:r>
      <w:r w:rsidR="0080532E">
        <w:rPr>
          <w:i w:val="0"/>
        </w:rPr>
        <w:t>has</w:t>
      </w:r>
      <w:r>
        <w:rPr>
          <w:i w:val="0"/>
        </w:rPr>
        <w:t xml:space="preserve"> been duly adopted by the Enterprise </w:t>
      </w:r>
      <w:r w:rsidR="00671C8F">
        <w:rPr>
          <w:i w:val="0"/>
        </w:rPr>
        <w:t xml:space="preserve">Board </w:t>
      </w:r>
      <w:r>
        <w:rPr>
          <w:i w:val="0"/>
        </w:rPr>
        <w:t xml:space="preserve">and </w:t>
      </w:r>
      <w:r w:rsidR="00671C8F">
        <w:rPr>
          <w:i w:val="0"/>
        </w:rPr>
        <w:t xml:space="preserve">is </w:t>
      </w:r>
      <w:r>
        <w:rPr>
          <w:i w:val="0"/>
        </w:rPr>
        <w:t>in full force and effect; and (iv) to the best of its knowledge, (A) no event affecting the Enterprise has occurred since the date of the Official Statement that should be disclosed in the Official Statement for the purpose for which it is to be used or that it is necessary to disclose therein in order to make the statements and information therein</w:t>
      </w:r>
      <w:r w:rsidR="00360A62">
        <w:rPr>
          <w:i w:val="0"/>
        </w:rPr>
        <w:t xml:space="preserve"> true and correct and</w:t>
      </w:r>
      <w:r>
        <w:rPr>
          <w:i w:val="0"/>
        </w:rPr>
        <w:t xml:space="preserve">, in light of the circumstances under which made, not misleading in any respect as of the time of Closing, and (B) the information contained </w:t>
      </w:r>
      <w:r w:rsidR="00360A62">
        <w:rPr>
          <w:i w:val="0"/>
        </w:rPr>
        <w:t xml:space="preserve">in </w:t>
      </w:r>
      <w:r w:rsidR="00360A62" w:rsidRPr="00671C8F">
        <w:rPr>
          <w:i w:val="0"/>
        </w:rPr>
        <w:t xml:space="preserve">the </w:t>
      </w:r>
      <w:r w:rsidR="00360A62">
        <w:rPr>
          <w:i w:val="0"/>
        </w:rPr>
        <w:t xml:space="preserve">Preliminary Official Statement and the </w:t>
      </w:r>
      <w:r w:rsidR="00360A62" w:rsidRPr="00671C8F">
        <w:rPr>
          <w:i w:val="0"/>
        </w:rPr>
        <w:t>Official Statement</w:t>
      </w:r>
      <w:r w:rsidR="00360A62">
        <w:rPr>
          <w:i w:val="0"/>
        </w:rPr>
        <w:t xml:space="preserve"> is true and </w:t>
      </w:r>
      <w:r>
        <w:rPr>
          <w:i w:val="0"/>
        </w:rPr>
        <w:t xml:space="preserve">correct in all material respects, and as of the date of the </w:t>
      </w:r>
      <w:r w:rsidR="00360A62">
        <w:rPr>
          <w:i w:val="0"/>
        </w:rPr>
        <w:t xml:space="preserve">Preliminary </w:t>
      </w:r>
      <w:r>
        <w:rPr>
          <w:i w:val="0"/>
        </w:rPr>
        <w:t>Official Statement</w:t>
      </w:r>
      <w:r w:rsidR="0060602A">
        <w:rPr>
          <w:i w:val="0"/>
        </w:rPr>
        <w:t>, as of the date of this Purchase Agreement</w:t>
      </w:r>
      <w:r>
        <w:rPr>
          <w:i w:val="0"/>
        </w:rPr>
        <w:t xml:space="preserve"> </w:t>
      </w:r>
      <w:r w:rsidR="00360A62">
        <w:rPr>
          <w:i w:val="0"/>
        </w:rPr>
        <w:t xml:space="preserve">and as of the date of the Official Statement </w:t>
      </w:r>
      <w:r>
        <w:rPr>
          <w:i w:val="0"/>
        </w:rPr>
        <w:t xml:space="preserve">did not, and as of the </w:t>
      </w:r>
      <w:r w:rsidR="00541C23">
        <w:rPr>
          <w:i w:val="0"/>
        </w:rPr>
        <w:t>Closing Date</w:t>
      </w:r>
      <w:r>
        <w:rPr>
          <w:i w:val="0"/>
        </w:rPr>
        <w:t xml:space="preserve"> does not, contain any untrue statement of a material fact or omit to state a material fact required to be stated therein or necessary to make the statements made therein, in the light of the circumstances under which they were made, not misleading;</w:t>
      </w:r>
    </w:p>
    <w:p w14:paraId="005E41B8" w14:textId="530AF899" w:rsidR="003B718B" w:rsidRDefault="003B718B" w:rsidP="0080532E">
      <w:pPr>
        <w:pStyle w:val="Heading2"/>
        <w:numPr>
          <w:ilvl w:val="5"/>
          <w:numId w:val="6"/>
        </w:numPr>
        <w:tabs>
          <w:tab w:val="clear" w:pos="1699"/>
          <w:tab w:val="clear" w:pos="2016"/>
        </w:tabs>
        <w:spacing w:before="0" w:after="240"/>
        <w:ind w:left="0" w:firstLine="2160"/>
        <w:rPr>
          <w:i w:val="0"/>
        </w:rPr>
      </w:pPr>
      <w:r>
        <w:rPr>
          <w:i w:val="0"/>
        </w:rPr>
        <w:lastRenderedPageBreak/>
        <w:t xml:space="preserve">a certificate of the Enterprise, dated the </w:t>
      </w:r>
      <w:r w:rsidR="00541C23">
        <w:rPr>
          <w:i w:val="0"/>
        </w:rPr>
        <w:t>Closing Date</w:t>
      </w:r>
      <w:r>
        <w:rPr>
          <w:i w:val="0"/>
        </w:rPr>
        <w:t xml:space="preserve"> and in form and substance satisfactory to Bond Counsel and counsel to the Underwriters, (a) setting forth the facts, estimates and circumstances in existence at the time of Closing that establish the Enterprise does not expect the proceeds of the Bonds will be used in a manner that would cause the Bonds to be “arbitrage bonds” within the meaning of Section 148 of the Code and any applicable regulations (whether final, temporary or proposed), issued pursuant to the Code, and (b) certifying that to the best of the knowledge and belief of the Enterprise there are no other facts, estimates or circumstances that would materially change the conclusions, representations and expectations contained in such certificate;</w:t>
      </w:r>
    </w:p>
    <w:p w14:paraId="3B0BEBC9" w14:textId="37F86DA8" w:rsidR="003B718B" w:rsidRDefault="003B718B" w:rsidP="0080532E">
      <w:pPr>
        <w:pStyle w:val="Heading2"/>
        <w:numPr>
          <w:ilvl w:val="5"/>
          <w:numId w:val="6"/>
        </w:numPr>
        <w:tabs>
          <w:tab w:val="clear" w:pos="1699"/>
          <w:tab w:val="clear" w:pos="2016"/>
        </w:tabs>
        <w:spacing w:before="0" w:after="240"/>
        <w:ind w:left="0" w:firstLine="2160"/>
        <w:rPr>
          <w:i w:val="0"/>
        </w:rPr>
      </w:pPr>
      <w:r>
        <w:rPr>
          <w:i w:val="0"/>
        </w:rPr>
        <w:t xml:space="preserve">a certificate by an authorized officer of the </w:t>
      </w:r>
      <w:r w:rsidR="00AA3720">
        <w:rPr>
          <w:i w:val="0"/>
        </w:rPr>
        <w:t xml:space="preserve">Senior </w:t>
      </w:r>
      <w:r>
        <w:rPr>
          <w:i w:val="0"/>
        </w:rPr>
        <w:t>Trustee, dated the Closing</w:t>
      </w:r>
      <w:r w:rsidR="00360A62">
        <w:rPr>
          <w:i w:val="0"/>
        </w:rPr>
        <w:t xml:space="preserve"> Date</w:t>
      </w:r>
      <w:r>
        <w:rPr>
          <w:i w:val="0"/>
        </w:rPr>
        <w:t xml:space="preserve">, as to the incumbency of the officer or officers of the </w:t>
      </w:r>
      <w:r w:rsidR="00AA3720">
        <w:rPr>
          <w:i w:val="0"/>
        </w:rPr>
        <w:t xml:space="preserve">Senior </w:t>
      </w:r>
      <w:r>
        <w:rPr>
          <w:i w:val="0"/>
        </w:rPr>
        <w:t xml:space="preserve">Trustee who on behalf of the </w:t>
      </w:r>
      <w:r w:rsidR="00AA3720">
        <w:rPr>
          <w:i w:val="0"/>
        </w:rPr>
        <w:t xml:space="preserve">Senior </w:t>
      </w:r>
      <w:r>
        <w:rPr>
          <w:i w:val="0"/>
        </w:rPr>
        <w:t xml:space="preserve">Trustee executed and delivered the </w:t>
      </w:r>
      <w:r w:rsidR="00294498">
        <w:rPr>
          <w:i w:val="0"/>
        </w:rPr>
        <w:t xml:space="preserve">Senior </w:t>
      </w:r>
      <w:r>
        <w:rPr>
          <w:i w:val="0"/>
        </w:rPr>
        <w:t xml:space="preserve">Indenture and authenticated the Bonds, together with a certificate of the </w:t>
      </w:r>
      <w:r w:rsidR="00AA3720">
        <w:rPr>
          <w:i w:val="0"/>
        </w:rPr>
        <w:t xml:space="preserve">Senior </w:t>
      </w:r>
      <w:r>
        <w:rPr>
          <w:i w:val="0"/>
        </w:rPr>
        <w:t>Trustee, dated the Closing</w:t>
      </w:r>
      <w:r w:rsidR="00360A62">
        <w:rPr>
          <w:i w:val="0"/>
        </w:rPr>
        <w:t xml:space="preserve"> Date</w:t>
      </w:r>
      <w:r>
        <w:rPr>
          <w:i w:val="0"/>
        </w:rPr>
        <w:t>, stating that (</w:t>
      </w:r>
      <w:r w:rsidR="0080532E">
        <w:rPr>
          <w:i w:val="0"/>
        </w:rPr>
        <w:t>A</w:t>
      </w:r>
      <w:r>
        <w:rPr>
          <w:i w:val="0"/>
        </w:rPr>
        <w:t xml:space="preserve">) the </w:t>
      </w:r>
      <w:r w:rsidR="00AA3720">
        <w:rPr>
          <w:i w:val="0"/>
        </w:rPr>
        <w:t xml:space="preserve">Senior </w:t>
      </w:r>
      <w:r>
        <w:rPr>
          <w:i w:val="0"/>
        </w:rPr>
        <w:t xml:space="preserve">Trustee has duly authorized, executed and delivered the </w:t>
      </w:r>
      <w:r w:rsidR="00294498">
        <w:rPr>
          <w:i w:val="0"/>
        </w:rPr>
        <w:t xml:space="preserve">Senior </w:t>
      </w:r>
      <w:r>
        <w:rPr>
          <w:i w:val="0"/>
        </w:rPr>
        <w:t>Indenture; (</w:t>
      </w:r>
      <w:r w:rsidR="0080532E">
        <w:rPr>
          <w:i w:val="0"/>
        </w:rPr>
        <w:t>B</w:t>
      </w:r>
      <w:r>
        <w:rPr>
          <w:i w:val="0"/>
        </w:rPr>
        <w:t xml:space="preserve">) the </w:t>
      </w:r>
      <w:r w:rsidR="00294498">
        <w:rPr>
          <w:i w:val="0"/>
        </w:rPr>
        <w:t xml:space="preserve">Senior </w:t>
      </w:r>
      <w:r>
        <w:rPr>
          <w:i w:val="0"/>
        </w:rPr>
        <w:t xml:space="preserve">Indenture constitutes a legal, valid and binding obligation of the </w:t>
      </w:r>
      <w:r w:rsidR="00AA3720">
        <w:rPr>
          <w:i w:val="0"/>
        </w:rPr>
        <w:t xml:space="preserve">Senior </w:t>
      </w:r>
      <w:r>
        <w:rPr>
          <w:i w:val="0"/>
        </w:rPr>
        <w:t xml:space="preserve">Trustee that is enforceable against the </w:t>
      </w:r>
      <w:r w:rsidR="00AA3720">
        <w:rPr>
          <w:i w:val="0"/>
        </w:rPr>
        <w:t xml:space="preserve">Senior </w:t>
      </w:r>
      <w:r>
        <w:rPr>
          <w:i w:val="0"/>
        </w:rPr>
        <w:t>Trustee in accordance with its terms, subject to bankruptcy, insolvency, reorganization, moratorium and other similar laws affecting creditors’ rights generally, to application of general principles of equity; and (</w:t>
      </w:r>
      <w:r w:rsidR="0080532E">
        <w:rPr>
          <w:i w:val="0"/>
        </w:rPr>
        <w:t>C</w:t>
      </w:r>
      <w:r>
        <w:rPr>
          <w:i w:val="0"/>
        </w:rPr>
        <w:t xml:space="preserve">) the </w:t>
      </w:r>
      <w:r w:rsidR="00AA3720">
        <w:rPr>
          <w:i w:val="0"/>
        </w:rPr>
        <w:t xml:space="preserve">Senior </w:t>
      </w:r>
      <w:r>
        <w:rPr>
          <w:i w:val="0"/>
        </w:rPr>
        <w:t xml:space="preserve">Trustee has duly authenticated the Bonds in accordance with the </w:t>
      </w:r>
      <w:r w:rsidR="00294498">
        <w:rPr>
          <w:i w:val="0"/>
        </w:rPr>
        <w:t xml:space="preserve">Senior </w:t>
      </w:r>
      <w:r>
        <w:rPr>
          <w:i w:val="0"/>
        </w:rPr>
        <w:t>Indenture;</w:t>
      </w:r>
    </w:p>
    <w:p w14:paraId="536163D9" w14:textId="0EFF0C4E" w:rsidR="003B718B" w:rsidRDefault="003B718B" w:rsidP="0080532E">
      <w:pPr>
        <w:pStyle w:val="Heading2"/>
        <w:numPr>
          <w:ilvl w:val="5"/>
          <w:numId w:val="6"/>
        </w:numPr>
        <w:tabs>
          <w:tab w:val="clear" w:pos="1699"/>
          <w:tab w:val="clear" w:pos="2016"/>
        </w:tabs>
        <w:spacing w:before="0" w:after="240"/>
        <w:ind w:left="0" w:firstLine="2160"/>
        <w:rPr>
          <w:i w:val="0"/>
        </w:rPr>
      </w:pPr>
      <w:proofErr w:type="gramStart"/>
      <w:r>
        <w:rPr>
          <w:i w:val="0"/>
        </w:rPr>
        <w:t>any</w:t>
      </w:r>
      <w:proofErr w:type="gramEnd"/>
      <w:r>
        <w:rPr>
          <w:i w:val="0"/>
        </w:rPr>
        <w:t xml:space="preserve"> other certificates and opinions required by the </w:t>
      </w:r>
      <w:r w:rsidR="00294498">
        <w:rPr>
          <w:i w:val="0"/>
        </w:rPr>
        <w:t xml:space="preserve">Senior </w:t>
      </w:r>
      <w:r>
        <w:rPr>
          <w:i w:val="0"/>
        </w:rPr>
        <w:t>Indenture as conditions precedent to the issuance of the Bonds;</w:t>
      </w:r>
    </w:p>
    <w:p w14:paraId="06D8B998" w14:textId="231ECE1C" w:rsidR="00D16EAF" w:rsidRPr="00D16EAF" w:rsidRDefault="00D16EAF" w:rsidP="00D16EAF">
      <w:pPr>
        <w:pStyle w:val="Heading2"/>
        <w:numPr>
          <w:ilvl w:val="5"/>
          <w:numId w:val="6"/>
        </w:numPr>
        <w:tabs>
          <w:tab w:val="clear" w:pos="1699"/>
          <w:tab w:val="clear" w:pos="2016"/>
        </w:tabs>
        <w:spacing w:before="0" w:after="240"/>
        <w:ind w:left="0" w:firstLine="2160"/>
        <w:rPr>
          <w:i w:val="0"/>
        </w:rPr>
      </w:pPr>
      <w:proofErr w:type="gramStart"/>
      <w:r>
        <w:rPr>
          <w:i w:val="0"/>
        </w:rPr>
        <w:t>an</w:t>
      </w:r>
      <w:proofErr w:type="gramEnd"/>
      <w:r>
        <w:rPr>
          <w:i w:val="0"/>
        </w:rPr>
        <w:t xml:space="preserve"> executed copy of the</w:t>
      </w:r>
      <w:r w:rsidR="000122EF">
        <w:rPr>
          <w:i w:val="0"/>
        </w:rPr>
        <w:t xml:space="preserve"> Escrow Agreement</w:t>
      </w:r>
      <w:r>
        <w:rPr>
          <w:i w:val="0"/>
        </w:rPr>
        <w:t>;</w:t>
      </w:r>
    </w:p>
    <w:p w14:paraId="720DBA58" w14:textId="0A1AC1FA" w:rsidR="00D16EAF" w:rsidRDefault="00D16EAF" w:rsidP="00D16EAF">
      <w:pPr>
        <w:pStyle w:val="Heading2"/>
        <w:numPr>
          <w:ilvl w:val="5"/>
          <w:numId w:val="6"/>
        </w:numPr>
        <w:ind w:left="0" w:firstLine="2160"/>
        <w:rPr>
          <w:i w:val="0"/>
        </w:rPr>
      </w:pPr>
      <w:r w:rsidRPr="00D16EAF">
        <w:rPr>
          <w:i w:val="0"/>
        </w:rPr>
        <w:t>a copy of the report prepared by Causey Public Finance, LLC, independ</w:t>
      </w:r>
      <w:r>
        <w:rPr>
          <w:i w:val="0"/>
        </w:rPr>
        <w:t>ent certified public accountants verifying</w:t>
      </w:r>
      <w:r w:rsidRPr="00D16EAF">
        <w:rPr>
          <w:i w:val="0"/>
        </w:rPr>
        <w:t xml:space="preserve"> the mathematical accuracy of (a) the computation of the Redemption Price of the Refunded Bonds, and (b) the computations contained in the schedules provided by </w:t>
      </w:r>
      <w:r w:rsidR="0060602A" w:rsidRPr="00A9196A">
        <w:rPr>
          <w:i w:val="0"/>
        </w:rPr>
        <w:t>Wells Fargo Bank, National Association</w:t>
      </w:r>
      <w:r w:rsidR="0060602A" w:rsidRPr="000F6B2D">
        <w:t xml:space="preserve"> </w:t>
      </w:r>
      <w:r w:rsidRPr="00D16EAF">
        <w:rPr>
          <w:i w:val="0"/>
        </w:rPr>
        <w:t>to determine that the amounts to be held in the Escrow Fund will be sufficient to pay the Redemption Price of the Refunded Bonds on January [</w:t>
      </w:r>
      <w:r>
        <w:rPr>
          <w:i w:val="0"/>
        </w:rPr>
        <w:t>_</w:t>
      </w:r>
      <w:r w:rsidRPr="00D16EAF">
        <w:rPr>
          <w:i w:val="0"/>
        </w:rPr>
        <w:t>], 2025</w:t>
      </w:r>
      <w:r>
        <w:rPr>
          <w:i w:val="0"/>
        </w:rPr>
        <w:t>.</w:t>
      </w:r>
    </w:p>
    <w:p w14:paraId="4582A493" w14:textId="77777777" w:rsidR="00D16EAF" w:rsidRDefault="003B718B" w:rsidP="00D16EAF">
      <w:pPr>
        <w:pStyle w:val="Heading2"/>
        <w:numPr>
          <w:ilvl w:val="5"/>
          <w:numId w:val="6"/>
        </w:numPr>
        <w:ind w:left="0" w:firstLine="2160"/>
        <w:rPr>
          <w:i w:val="0"/>
        </w:rPr>
      </w:pPr>
      <w:proofErr w:type="gramStart"/>
      <w:r w:rsidRPr="00D16EAF">
        <w:rPr>
          <w:i w:val="0"/>
        </w:rPr>
        <w:t>evidence</w:t>
      </w:r>
      <w:proofErr w:type="gramEnd"/>
      <w:r w:rsidRPr="00D16EAF">
        <w:rPr>
          <w:i w:val="0"/>
        </w:rPr>
        <w:t xml:space="preserve"> satisfactory to the Representative that the Bonds hav</w:t>
      </w:r>
      <w:r w:rsidR="00E40E2E" w:rsidRPr="00D16EAF">
        <w:rPr>
          <w:i w:val="0"/>
        </w:rPr>
        <w:t>e been assigned ratings of “</w:t>
      </w:r>
      <w:r w:rsidR="002326D5" w:rsidRPr="00D16EAF">
        <w:rPr>
          <w:i w:val="0"/>
        </w:rPr>
        <w:t>[__]</w:t>
      </w:r>
      <w:r w:rsidR="00E40E2E" w:rsidRPr="00D16EAF">
        <w:rPr>
          <w:i w:val="0"/>
        </w:rPr>
        <w:t>” and “</w:t>
      </w:r>
      <w:r w:rsidR="002326D5" w:rsidRPr="00D16EAF">
        <w:rPr>
          <w:i w:val="0"/>
        </w:rPr>
        <w:t>[__]</w:t>
      </w:r>
      <w:r w:rsidRPr="00D16EAF">
        <w:rPr>
          <w:i w:val="0"/>
        </w:rPr>
        <w:t>” by Moody’s and S&amp;P, respectively</w:t>
      </w:r>
      <w:r w:rsidR="008374A4" w:rsidRPr="00D16EAF">
        <w:rPr>
          <w:i w:val="0"/>
        </w:rPr>
        <w:t xml:space="preserve">; </w:t>
      </w:r>
    </w:p>
    <w:p w14:paraId="726E0A48" w14:textId="2E63CB7F" w:rsidR="003B718B" w:rsidRPr="00D16EAF" w:rsidRDefault="003B718B" w:rsidP="00D16EAF">
      <w:pPr>
        <w:pStyle w:val="Heading2"/>
        <w:numPr>
          <w:ilvl w:val="5"/>
          <w:numId w:val="6"/>
        </w:numPr>
        <w:ind w:left="0" w:firstLine="2160"/>
        <w:rPr>
          <w:i w:val="0"/>
        </w:rPr>
      </w:pPr>
      <w:proofErr w:type="gramStart"/>
      <w:r w:rsidRPr="00D16EAF">
        <w:rPr>
          <w:i w:val="0"/>
        </w:rPr>
        <w:t>such</w:t>
      </w:r>
      <w:proofErr w:type="gramEnd"/>
      <w:r w:rsidRPr="00D16EAF">
        <w:rPr>
          <w:i w:val="0"/>
        </w:rPr>
        <w:t xml:space="preserve"> additional certificates and documents as the Representative may reasonably request to evidence performance of or compliance with the provisions hereof and the transactions contemplated by this Purchase Agreement, the </w:t>
      </w:r>
      <w:r w:rsidR="00796D15" w:rsidRPr="00D16EAF">
        <w:rPr>
          <w:i w:val="0"/>
        </w:rPr>
        <w:t>Undertaking</w:t>
      </w:r>
      <w:r w:rsidRPr="00D16EAF">
        <w:rPr>
          <w:i w:val="0"/>
        </w:rPr>
        <w:t>, and the Official Statement.</w:t>
      </w:r>
    </w:p>
    <w:p w14:paraId="028D5E5A" w14:textId="44C1EB99" w:rsidR="003B718B" w:rsidRDefault="003B718B" w:rsidP="0080532E">
      <w:pPr>
        <w:pStyle w:val="Heading2"/>
        <w:numPr>
          <w:ilvl w:val="1"/>
          <w:numId w:val="6"/>
        </w:numPr>
        <w:tabs>
          <w:tab w:val="clear" w:pos="1699"/>
          <w:tab w:val="clear" w:pos="2016"/>
        </w:tabs>
        <w:spacing w:before="0" w:after="240"/>
        <w:rPr>
          <w:i w:val="0"/>
        </w:rPr>
      </w:pPr>
      <w:r>
        <w:rPr>
          <w:i w:val="0"/>
        </w:rPr>
        <w:t xml:space="preserve">All proceedings and related matters in connection with this Purchase Agreement, and the </w:t>
      </w:r>
      <w:r w:rsidR="00796D15">
        <w:rPr>
          <w:i w:val="0"/>
        </w:rPr>
        <w:t>Undertaking</w:t>
      </w:r>
      <w:r>
        <w:rPr>
          <w:i w:val="0"/>
        </w:rPr>
        <w:t xml:space="preserve"> shall have been satisfactory to Bond Counsel, and Bond Counsel shall have been furnished with all papers, certificates and information as it may have reasonably requested to enable it to pass upon the matters referred to in its opinions.  Further, all the opinions, letters, certificates, instruments and other documents mentioned above or elsewhere in this Purchase Agreement shall be deemed to be in compliance with the provisions hereof if, but only if, they are in form and substance reasonably satisfactory to the Representative.</w:t>
      </w:r>
    </w:p>
    <w:p w14:paraId="04694F48" w14:textId="199BE3BC" w:rsidR="003B718B" w:rsidRDefault="003B718B" w:rsidP="003B718B">
      <w:pPr>
        <w:pStyle w:val="BodyText"/>
      </w:pPr>
      <w:r>
        <w:lastRenderedPageBreak/>
        <w:t>If any condition stated in this Section 7 is not satisfied at or prior to the Closing, this Purchase Agreement may be terminated by the Underwriters by notifying the Enterprise in writing and, in that event, neither the Underwriters nor the Enterprise shall have any further obligation under this Purchase Agreement, except for the obligations of the parties to pay expenses as specified in Section 10 hereof.  The Underwriters may waive compliance with any condition stated in this Section 7 or extend the time for performance of any one or more of the conditions stated in this Section 7; and, by accepting delivery of the Bonds, shall be deemed to have waived compliance by the Enterprise with any condition stated in this Section 7 that has not been complied with.</w:t>
      </w:r>
    </w:p>
    <w:p w14:paraId="5713338E" w14:textId="77777777" w:rsidR="003B718B" w:rsidRDefault="003B718B" w:rsidP="0080532E">
      <w:pPr>
        <w:pStyle w:val="Heading1"/>
        <w:keepNext w:val="0"/>
        <w:numPr>
          <w:ilvl w:val="0"/>
          <w:numId w:val="6"/>
        </w:numPr>
        <w:spacing w:before="0" w:after="240"/>
        <w:ind w:left="0"/>
        <w:jc w:val="both"/>
      </w:pPr>
      <w:r>
        <w:rPr>
          <w:u w:val="single"/>
        </w:rPr>
        <w:t>Termination</w:t>
      </w:r>
      <w:r>
        <w:t xml:space="preserve">.  </w:t>
      </w:r>
    </w:p>
    <w:p w14:paraId="16ADBA7A" w14:textId="52672629" w:rsidR="003B718B" w:rsidRDefault="0080532E" w:rsidP="0080532E">
      <w:pPr>
        <w:spacing w:after="240"/>
        <w:ind w:firstLine="720"/>
        <w:jc w:val="both"/>
      </w:pPr>
      <w:r>
        <w:t>(a)</w:t>
      </w:r>
      <w:r>
        <w:tab/>
      </w:r>
      <w:r w:rsidR="003B718B">
        <w:t xml:space="preserve">If the Enterprise shall be unable to satisfy the conditions of the Underwriters’ obligations contained in this Purchase Agreement or if the Underwriters’ obligations shall be terminated for any reason permitted by this Purchase Agreement, this Purchase Agreement may be cancelled by the Representative at, or at any time before, the time of the Closing.  Notice of such cancellation shall be given by the Representative to the Enterprise in writing, or by telephone confirmed in writing.  The performance by the Enterprise of any and all conditions contained in this Purchase Agreement for the benefit of the Underwriters may be waived by the Representative. </w:t>
      </w:r>
    </w:p>
    <w:p w14:paraId="21D79418" w14:textId="6A53D355" w:rsidR="003B718B" w:rsidRDefault="003B718B" w:rsidP="003B718B">
      <w:pPr>
        <w:spacing w:after="240"/>
        <w:ind w:firstLine="720"/>
        <w:jc w:val="both"/>
      </w:pPr>
      <w:r>
        <w:t>(</w:t>
      </w:r>
      <w:r w:rsidR="0080532E">
        <w:t>b</w:t>
      </w:r>
      <w:r>
        <w:t>)</w:t>
      </w:r>
      <w:r>
        <w:tab/>
        <w:t>The Underwriters shall also have the right, before the time of Closing, to cancel their obligations to purchase the Bonds, by written notice by the Representative to the Enterprise, if between the date hereof and the time of Closing:</w:t>
      </w:r>
    </w:p>
    <w:p w14:paraId="665911EA" w14:textId="2050C365" w:rsidR="003B718B" w:rsidRDefault="003B718B" w:rsidP="003B718B">
      <w:pPr>
        <w:spacing w:after="240"/>
        <w:ind w:firstLine="1440"/>
        <w:jc w:val="both"/>
      </w:pPr>
      <w:r>
        <w:t>(i)</w:t>
      </w:r>
      <w:r>
        <w:tab/>
        <w:t>Any event or circumstance occurs or information becomes known, which, in the professional judgment of the Representative, makes untrue any statement of a material fact set forth in the Preliminary Official Statement or the Official Statement or results in an omission to state a material fact necessary to make the statements made therein, in the light of the circumstances under which they were made, not misleading; or</w:t>
      </w:r>
    </w:p>
    <w:p w14:paraId="02113CDE" w14:textId="6612268E" w:rsidR="003B718B" w:rsidRDefault="003B718B" w:rsidP="003B718B">
      <w:pPr>
        <w:spacing w:after="240"/>
        <w:ind w:firstLine="1440"/>
        <w:jc w:val="both"/>
      </w:pPr>
      <w:r>
        <w:t>(ii)</w:t>
      </w:r>
      <w:r>
        <w:tab/>
        <w:t>The market for the Bonds or the market prices of the Bonds or the ability of the Underwriters to enforce contracts for the sale of the Bonds shall have been materially and adversely affected, in the professional judgment of the Representative, by:</w:t>
      </w:r>
    </w:p>
    <w:p w14:paraId="6A58B19D" w14:textId="77777777" w:rsidR="003B718B" w:rsidRDefault="003B718B" w:rsidP="0080532E">
      <w:pPr>
        <w:numPr>
          <w:ilvl w:val="0"/>
          <w:numId w:val="7"/>
        </w:numPr>
        <w:spacing w:after="240"/>
        <w:ind w:left="1440"/>
        <w:jc w:val="both"/>
      </w:pPr>
      <w:r>
        <w:t xml:space="preserve">An amendment to the Constitution of the United States or the State shall have been passed or legislation shall have been introduced in or enacted by the Congress of the United States or the legislature of any state having jurisdiction of the subject matter or legislation pending in the Congress of the United States shall have been amended or legislation (whether or not then introduced) shall have been recommended to the Congress of the United States or to any state having jurisdiction of the subject matter or otherwise endorsed for passage (by press release, other form of notice or otherwise) by the President of the United States, the Treasury Department of the United States, the Internal Revenue Service or the Chairman or ranking minority member of the Committee on Finance of the United States Senate or the Committee on Ways and Means of the United States House of Representatives, or legislation shall have been proposed (whether or not then introduced) for consideration by either such Committee by any member thereof or presented as an option for consideration (whether or not then introduced) by either </w:t>
      </w:r>
      <w:r>
        <w:lastRenderedPageBreak/>
        <w:t>such Committee by the staff of such Committee or by the staff of the joint Committee on Taxation of the Congress of the United States, or legislation shall have been favorably reported for passage to either House of the Congress of the United States by a Committee of such House to which such legislation has been referred for consideration, or a decision shall have been rendered by a court of the United States or of the State or the Tax Court of the United States, or a ruling shall have been made or a regulation or temporary regulation shall have been proposed or made or any other release or announcement shall have been made by the Treasury Department of the United States, the Internal Revenue Service or other federal or State authority, with respect to federal or State taxation upon revenues or other income of the general character to be derived by the Enterprise or upon interest received on obligations of the general character of the Bonds which, in the judgment of the Representative, may have the purpose or effect, directly or, indirectly, of affecting the tax status of the Enterprise, its property or income, its securities (including the Bonds) or the interest thereon, or any tax exemption granted or authorized by State legislation; or</w:t>
      </w:r>
    </w:p>
    <w:p w14:paraId="67A2D13E" w14:textId="77777777" w:rsidR="003B718B" w:rsidRDefault="003B718B" w:rsidP="0080532E">
      <w:pPr>
        <w:numPr>
          <w:ilvl w:val="0"/>
          <w:numId w:val="7"/>
        </w:numPr>
        <w:spacing w:after="240"/>
        <w:ind w:left="1440"/>
        <w:jc w:val="both"/>
      </w:pPr>
      <w:r>
        <w:t>The declaration of war or engagement in or escalation of military hostilities by the United States or the occurrence of any other national emergency or calamity or terrorism affecting the operation of the government of, or the financial community in, the United States; or</w:t>
      </w:r>
    </w:p>
    <w:p w14:paraId="6C421601" w14:textId="77777777" w:rsidR="003B718B" w:rsidRDefault="003B718B" w:rsidP="0080532E">
      <w:pPr>
        <w:numPr>
          <w:ilvl w:val="0"/>
          <w:numId w:val="7"/>
        </w:numPr>
        <w:spacing w:after="240"/>
        <w:ind w:left="1440"/>
        <w:jc w:val="both"/>
      </w:pPr>
      <w:r>
        <w:t>The declaration of a general banking moratorium by federal, New York or State authorities; or</w:t>
      </w:r>
    </w:p>
    <w:p w14:paraId="3E532670" w14:textId="77777777" w:rsidR="003B718B" w:rsidRDefault="003B718B" w:rsidP="0080532E">
      <w:pPr>
        <w:numPr>
          <w:ilvl w:val="0"/>
          <w:numId w:val="7"/>
        </w:numPr>
        <w:spacing w:after="240"/>
        <w:ind w:left="1440"/>
        <w:jc w:val="both"/>
      </w:pPr>
      <w:r>
        <w:t>The occurrence of a major financial crisis, a material disruption in commercial banking or securities settlement or clearance services, or a material disruption or deterioration in the fixed income or municipal securities market; or</w:t>
      </w:r>
    </w:p>
    <w:p w14:paraId="16F67D1E" w14:textId="77777777" w:rsidR="003B718B" w:rsidRDefault="003B718B" w:rsidP="0080532E">
      <w:pPr>
        <w:numPr>
          <w:ilvl w:val="0"/>
          <w:numId w:val="7"/>
        </w:numPr>
        <w:spacing w:after="240"/>
        <w:ind w:left="1440"/>
        <w:jc w:val="both"/>
      </w:pPr>
      <w:r>
        <w:t>Additional material restrictions not in force or being enforced as of the date hereof shall have been imposed upon trading in securities generally by any governmental authority or by any national securities exchange; or</w:t>
      </w:r>
    </w:p>
    <w:p w14:paraId="092AA6FE" w14:textId="77777777" w:rsidR="003B718B" w:rsidRDefault="003B718B" w:rsidP="0080532E">
      <w:pPr>
        <w:numPr>
          <w:ilvl w:val="0"/>
          <w:numId w:val="7"/>
        </w:numPr>
        <w:spacing w:after="240"/>
        <w:ind w:left="1440"/>
        <w:jc w:val="both"/>
      </w:pPr>
      <w:r>
        <w:t>The general suspension of trading on any national securities exchange; or</w:t>
      </w:r>
    </w:p>
    <w:p w14:paraId="44550F80" w14:textId="5B8C5C56" w:rsidR="003B718B" w:rsidRDefault="003B718B" w:rsidP="003B718B">
      <w:pPr>
        <w:spacing w:after="240"/>
        <w:ind w:firstLine="1440"/>
        <w:jc w:val="both"/>
      </w:pPr>
      <w:r>
        <w:t>(iii)</w:t>
      </w:r>
      <w:r>
        <w:tab/>
        <w:t xml:space="preserve">Legislation enacted, introduced in the Congress or recommended for passage (whether or not then introduced) by the President of the United States, or a decision rendered by a court established under Article III of the Constitution of the United States or by the Tax Court of the United States, or an order, ruling, regulation (final, temporary or proposed) or official statement issued or made by or on behalf of the Securities and Exchange Commission, or any other governmental agency having jurisdiction of the subject matter shall have been made or issued to the effect that the Bonds, other securities of the Enterprise or obligations of the general character of the Bonds are not exempt from registration under the 1933 Act, or that the </w:t>
      </w:r>
      <w:r w:rsidR="00294498">
        <w:t xml:space="preserve">Senior </w:t>
      </w:r>
      <w:r>
        <w:t>Indenture is not exempt from qualification under the Trust Indenture Act; or</w:t>
      </w:r>
    </w:p>
    <w:p w14:paraId="0E40884E" w14:textId="440E3BD8" w:rsidR="003B718B" w:rsidRDefault="003B718B" w:rsidP="003B718B">
      <w:pPr>
        <w:spacing w:after="240"/>
        <w:ind w:firstLine="1440"/>
        <w:jc w:val="both"/>
      </w:pPr>
      <w:r>
        <w:lastRenderedPageBreak/>
        <w:t>(iv)</w:t>
      </w:r>
      <w:r>
        <w:tab/>
        <w:t>Any change in or particularly affecting the Enterprise, the Act, the Authorizing Resolution, the Enterprise Documents or the Revenues as the foregoing matters are described in the Preliminary Official Statement or the Official Statement, which in the professional judgment of the Representative materially impairs the investment quality of the Bonds; or</w:t>
      </w:r>
    </w:p>
    <w:p w14:paraId="5CB9D3E7" w14:textId="77777777" w:rsidR="003B718B" w:rsidRDefault="003B718B" w:rsidP="003B718B">
      <w:pPr>
        <w:spacing w:after="240"/>
        <w:ind w:firstLine="1440"/>
        <w:jc w:val="both"/>
      </w:pPr>
      <w:r>
        <w:t>(v)</w:t>
      </w:r>
      <w:r>
        <w:tab/>
        <w:t>An order, decree or injunction of any court of competent jurisdiction, issued or made to the effect that the issuance, offering or sale of obligations of the general character of the Bonds, or the issuance, offering or sale of the Bonds, including any or all underlying obligations, as contemplated hereby or by the Preliminary Official Statement or the Official Statement, is or would be in violation of any applicable law, rule or regulation, including (without limitation) any provision of applicable federal securities laws as amended and then in effect; or</w:t>
      </w:r>
    </w:p>
    <w:p w14:paraId="60032E44" w14:textId="77777777" w:rsidR="003B718B" w:rsidRDefault="003B718B" w:rsidP="003B718B">
      <w:pPr>
        <w:spacing w:after="240"/>
        <w:ind w:firstLine="1440"/>
        <w:jc w:val="both"/>
      </w:pPr>
      <w:r>
        <w:t>(vi)</w:t>
      </w:r>
      <w:r>
        <w:tab/>
        <w:t>A stop order, ruling, regulation or official statement by the SEC or any other governmental agency having jurisdiction of the subject matter shall have been issued or made or any other event occurs, the effect of which is that the issuance, offering or sale of the Bonds, or the execution and delivery of any Enterprise Documents, as contemplated hereby or by the Preliminary Official Statement or the Official Statement, is or would be in violation of any applicable law, rule or regulation, including (without limitation) any provision of applicable federal securities laws, including the 1933 Act, the Securities Exchange Act of 1934 or the Trust Indenture Act, each as amended and as then in effect; or</w:t>
      </w:r>
    </w:p>
    <w:p w14:paraId="7512CF60" w14:textId="5E78370E" w:rsidR="003B718B" w:rsidRDefault="003B718B" w:rsidP="003B718B">
      <w:pPr>
        <w:spacing w:after="200"/>
        <w:ind w:firstLine="1440"/>
        <w:jc w:val="both"/>
      </w:pPr>
      <w:r>
        <w:t>(vii)</w:t>
      </w:r>
      <w:r>
        <w:tab/>
        <w:t>Any change or any development involving a prospective change in or affecting the business, properties or financial condition of the Enterprise, except for changes which the Preliminary Official Statement and Official Statement discloses are expected to occur</w:t>
      </w:r>
      <w:r w:rsidR="006B6800">
        <w:t xml:space="preserve">; or </w:t>
      </w:r>
    </w:p>
    <w:p w14:paraId="54F909B9" w14:textId="6DAFD38F" w:rsidR="006B6800" w:rsidRDefault="003B718B" w:rsidP="000122EF">
      <w:pPr>
        <w:spacing w:after="200"/>
        <w:ind w:firstLine="1440"/>
        <w:jc w:val="both"/>
      </w:pPr>
      <w:r>
        <w:t>(viii)</w:t>
      </w:r>
      <w:r>
        <w:tab/>
      </w:r>
      <w:r w:rsidR="006B6800">
        <w:t xml:space="preserve">Except for the litigation described in the Preliminary Official Statement and the Official Statement, any </w:t>
      </w:r>
      <w:r>
        <w:t>litigation shall be instituted or be pending at the time of the Closing to restrain or enjoin the issuance, sale or delivery of the Bonds, or in any way contesting or affecting any authority for or the validity of the proceedings authorizing and approving the Act, the Authorizing Resolution, the Enterprise Documents or the existence or powers of the Enterprise with respect to its obligations under the Enterprise Documents</w:t>
      </w:r>
      <w:r w:rsidR="006B6800">
        <w:t>, or the ability of the Enterprise to perform its obligations under the Enterprise Documents</w:t>
      </w:r>
      <w:r w:rsidR="000122EF">
        <w:t>; or</w:t>
      </w:r>
    </w:p>
    <w:p w14:paraId="6B245CE4" w14:textId="16287549" w:rsidR="006B6800" w:rsidRPr="008360E2" w:rsidRDefault="003B718B" w:rsidP="008E30F4">
      <w:pPr>
        <w:spacing w:after="200"/>
        <w:ind w:firstLine="1440"/>
        <w:jc w:val="both"/>
      </w:pPr>
      <w:r>
        <w:t>(ix)</w:t>
      </w:r>
      <w:r>
        <w:tab/>
      </w:r>
      <w:r w:rsidR="006B6800" w:rsidRPr="008360E2">
        <w:t xml:space="preserve">any amendment to the federal or State Constitution or action by any federal or State court, legislative body, regulatory body, or other authority materially adversely affecting the tax status of the </w:t>
      </w:r>
      <w:r w:rsidR="006B6800">
        <w:t>Enterprise</w:t>
      </w:r>
      <w:r w:rsidR="006B6800" w:rsidRPr="008360E2">
        <w:t>, its property, income securities (or interest thereon), or the validity or enforce</w:t>
      </w:r>
      <w:r w:rsidR="00BE4D72">
        <w:t xml:space="preserve">ability of the </w:t>
      </w:r>
      <w:r w:rsidR="00BE4D72" w:rsidRPr="000122EF">
        <w:t>Bridge Surcharge</w:t>
      </w:r>
      <w:r w:rsidR="006B6800" w:rsidRPr="008360E2">
        <w:t>;</w:t>
      </w:r>
      <w:r w:rsidR="006B6800">
        <w:t xml:space="preserve"> or</w:t>
      </w:r>
    </w:p>
    <w:p w14:paraId="0004AF1C" w14:textId="62FF0869" w:rsidR="008A20DC" w:rsidRDefault="006B6800" w:rsidP="00033DFD">
      <w:pPr>
        <w:spacing w:after="200"/>
        <w:ind w:firstLine="1440"/>
        <w:jc w:val="both"/>
      </w:pPr>
      <w:r>
        <w:t>(x)</w:t>
      </w:r>
      <w:r>
        <w:tab/>
      </w:r>
      <w:r w:rsidR="003B718B">
        <w:t xml:space="preserve">A reduction or withdrawal in </w:t>
      </w:r>
      <w:r w:rsidR="00C42AF6">
        <w:t xml:space="preserve">the ratings on the Series 2019A Bonds or </w:t>
      </w:r>
      <w:r w:rsidR="003B718B">
        <w:t xml:space="preserve">any of the following assigned ratings, or, as of the Closing Date, the failure by </w:t>
      </w:r>
      <w:r w:rsidR="008648B8">
        <w:t>Moody’s or S&amp;P</w:t>
      </w:r>
      <w:r w:rsidR="003B718B">
        <w:t xml:space="preserve"> to assign the long-term ratings of </w:t>
      </w:r>
      <w:r w:rsidR="00E40E2E" w:rsidRPr="00E40E2E">
        <w:t>“</w:t>
      </w:r>
      <w:r w:rsidR="00033DFD">
        <w:t>[__]</w:t>
      </w:r>
      <w:r w:rsidR="00E40E2E" w:rsidRPr="00E40E2E">
        <w:t>” and “</w:t>
      </w:r>
      <w:r w:rsidR="00033DFD">
        <w:t>[__]</w:t>
      </w:r>
      <w:r w:rsidR="00E40E2E" w:rsidRPr="00E40E2E">
        <w:t>”</w:t>
      </w:r>
      <w:r>
        <w:t>, respectively</w:t>
      </w:r>
      <w:r w:rsidR="00033DFD">
        <w:t>.</w:t>
      </w:r>
    </w:p>
    <w:p w14:paraId="098E9E8B" w14:textId="77777777" w:rsidR="003B718B" w:rsidRDefault="003B718B" w:rsidP="0080532E">
      <w:pPr>
        <w:pStyle w:val="Heading1"/>
        <w:keepNext w:val="0"/>
        <w:numPr>
          <w:ilvl w:val="0"/>
          <w:numId w:val="6"/>
        </w:numPr>
        <w:spacing w:before="0" w:after="240"/>
        <w:ind w:left="0"/>
        <w:jc w:val="both"/>
      </w:pPr>
      <w:r>
        <w:rPr>
          <w:u w:val="single"/>
        </w:rPr>
        <w:t>Amendments to Official Statement</w:t>
      </w:r>
      <w:r>
        <w:t xml:space="preserve">.  </w:t>
      </w:r>
    </w:p>
    <w:p w14:paraId="1024C55E" w14:textId="48215577" w:rsidR="00E73F39" w:rsidRPr="001B5304" w:rsidRDefault="003B718B" w:rsidP="001B5304">
      <w:pPr>
        <w:pStyle w:val="BodyText"/>
        <w:rPr>
          <w:szCs w:val="24"/>
        </w:rPr>
      </w:pPr>
      <w:r>
        <w:t xml:space="preserve">During the period commencing on the Closing Date and ending twenty-five (25) days from the </w:t>
      </w:r>
      <w:r w:rsidR="00E73F39">
        <w:t>“</w:t>
      </w:r>
      <w:r>
        <w:t>end of the underwriting period,</w:t>
      </w:r>
      <w:r w:rsidR="00E73F39">
        <w:t>”</w:t>
      </w:r>
      <w:r>
        <w:t xml:space="preserve"> the Enterprise shall advise the Representative if any event </w:t>
      </w:r>
      <w:r w:rsidR="00E73F39" w:rsidRPr="00612FCB">
        <w:rPr>
          <w:szCs w:val="24"/>
        </w:rPr>
        <w:t xml:space="preserve">shall occur, or information comes to the attention of the </w:t>
      </w:r>
      <w:r w:rsidR="00E73F39">
        <w:rPr>
          <w:szCs w:val="24"/>
        </w:rPr>
        <w:t xml:space="preserve">Enterprise </w:t>
      </w:r>
      <w:r>
        <w:t xml:space="preserve">relating to or affecting the Official Statement as a result of which it may be necessary or appropriate to amend or supplement </w:t>
      </w:r>
      <w:r>
        <w:lastRenderedPageBreak/>
        <w:t xml:space="preserve">the Official Statement in order to make the Official Statement not misleading in light of the circumstances existing at the time it is delivered to a purchaser or “potential customer” (as defined for purposes of Rule 15c2-12).  </w:t>
      </w:r>
      <w:r w:rsidR="00E73F39">
        <w:rPr>
          <w:szCs w:val="24"/>
        </w:rPr>
        <w:t>I</w:t>
      </w:r>
      <w:r w:rsidR="00E73F39" w:rsidRPr="00612FCB">
        <w:rPr>
          <w:szCs w:val="24"/>
        </w:rPr>
        <w:t xml:space="preserve">f in the opinion of the </w:t>
      </w:r>
      <w:r w:rsidR="00E73F39">
        <w:rPr>
          <w:szCs w:val="24"/>
        </w:rPr>
        <w:t>Enterprise</w:t>
      </w:r>
      <w:r w:rsidR="00E73F39" w:rsidRPr="00612FCB">
        <w:rPr>
          <w:szCs w:val="24"/>
        </w:rPr>
        <w:t xml:space="preserve"> or the </w:t>
      </w:r>
      <w:r w:rsidR="00E73F39">
        <w:rPr>
          <w:szCs w:val="24"/>
        </w:rPr>
        <w:t>Representative</w:t>
      </w:r>
      <w:r w:rsidR="00E73F39" w:rsidRPr="00612FCB">
        <w:rPr>
          <w:szCs w:val="24"/>
        </w:rPr>
        <w:t xml:space="preserve"> such event </w:t>
      </w:r>
      <w:r w:rsidR="00E73F39">
        <w:rPr>
          <w:szCs w:val="24"/>
        </w:rPr>
        <w:t xml:space="preserve">or information </w:t>
      </w:r>
      <w:r w:rsidR="00E73F39" w:rsidRPr="00612FCB">
        <w:rPr>
          <w:szCs w:val="24"/>
        </w:rPr>
        <w:t xml:space="preserve">requires the preparation and publication of a supplement or amendment to the Official Statement, the </w:t>
      </w:r>
      <w:r w:rsidR="00E73F39">
        <w:rPr>
          <w:szCs w:val="24"/>
        </w:rPr>
        <w:t>Enterprise</w:t>
      </w:r>
      <w:r w:rsidR="00E73F39" w:rsidRPr="00612FCB">
        <w:rPr>
          <w:szCs w:val="24"/>
        </w:rPr>
        <w:t xml:space="preserve"> </w:t>
      </w:r>
      <w:r w:rsidR="00E73F39">
        <w:rPr>
          <w:szCs w:val="24"/>
        </w:rPr>
        <w:t xml:space="preserve">agrees at its </w:t>
      </w:r>
      <w:r w:rsidR="00E73F39" w:rsidRPr="00612FCB">
        <w:rPr>
          <w:szCs w:val="24"/>
        </w:rPr>
        <w:t xml:space="preserve">expense, to cause the Official Statement to be amended or supplemented in a form and substance mutually agreed upon by the </w:t>
      </w:r>
      <w:r w:rsidR="00E73F39">
        <w:rPr>
          <w:szCs w:val="24"/>
        </w:rPr>
        <w:t xml:space="preserve">Enterprise </w:t>
      </w:r>
      <w:r w:rsidR="00E73F39" w:rsidRPr="00612FCB">
        <w:rPr>
          <w:szCs w:val="24"/>
        </w:rPr>
        <w:t xml:space="preserve">and the </w:t>
      </w:r>
      <w:r w:rsidR="00E73F39">
        <w:rPr>
          <w:szCs w:val="24"/>
        </w:rPr>
        <w:t>Representative</w:t>
      </w:r>
      <w:r w:rsidR="00E73F39" w:rsidRPr="00612FCB">
        <w:rPr>
          <w:szCs w:val="24"/>
        </w:rPr>
        <w:t xml:space="preserve">, and </w:t>
      </w:r>
      <w:r w:rsidR="00E73F39">
        <w:rPr>
          <w:szCs w:val="24"/>
        </w:rPr>
        <w:t xml:space="preserve">to render </w:t>
      </w:r>
      <w:r w:rsidR="001B5304">
        <w:rPr>
          <w:szCs w:val="24"/>
        </w:rPr>
        <w:t xml:space="preserve">or provide, </w:t>
      </w:r>
      <w:r w:rsidR="00E73F39">
        <w:rPr>
          <w:szCs w:val="24"/>
        </w:rPr>
        <w:t xml:space="preserve">or </w:t>
      </w:r>
      <w:r w:rsidR="001B5304">
        <w:rPr>
          <w:szCs w:val="24"/>
        </w:rPr>
        <w:t xml:space="preserve">cause to be rendered or provided, such </w:t>
      </w:r>
      <w:r w:rsidR="00E73F39" w:rsidRPr="00612FCB">
        <w:rPr>
          <w:szCs w:val="24"/>
        </w:rPr>
        <w:t xml:space="preserve">additional legal opinions, certificates, instruments and other documents as the </w:t>
      </w:r>
      <w:r w:rsidR="001B5304">
        <w:rPr>
          <w:szCs w:val="24"/>
        </w:rPr>
        <w:t>Representative</w:t>
      </w:r>
      <w:r w:rsidR="00E73F39" w:rsidRPr="00612FCB">
        <w:rPr>
          <w:szCs w:val="24"/>
        </w:rPr>
        <w:t xml:space="preserve"> may deem necessary to evidence the truth and accuracy of any such supplement or amendment to the Official Statement.</w:t>
      </w:r>
      <w:r w:rsidR="001B5304">
        <w:rPr>
          <w:szCs w:val="24"/>
        </w:rPr>
        <w:t xml:space="preserve"> </w:t>
      </w:r>
      <w:r>
        <w:t xml:space="preserve">If the Official Statement is supplemented or amended, at the time of each supplement or amendment thereto and at all times subsequent thereto up to and including that date that is 25 days from the end of the “underwriting period” (as defined in Rule 15c2-12), the Official Statement as supplemented or amended will not contain any untrue statement of a material fact or omit to state any material fact required to be stated therein or necessary to make the statements therein, in light of the circumstances under which they were made, not misleading. </w:t>
      </w:r>
      <w:r w:rsidR="00E73F39" w:rsidRPr="00612FCB">
        <w:rPr>
          <w:szCs w:val="24"/>
        </w:rPr>
        <w:t xml:space="preserve">Unless otherwise notified in writing by the </w:t>
      </w:r>
      <w:r w:rsidR="00E73F39">
        <w:rPr>
          <w:szCs w:val="24"/>
        </w:rPr>
        <w:t>Representative</w:t>
      </w:r>
      <w:r w:rsidR="00E73F39" w:rsidRPr="00612FCB">
        <w:rPr>
          <w:szCs w:val="24"/>
        </w:rPr>
        <w:t xml:space="preserve">, the </w:t>
      </w:r>
      <w:r w:rsidR="00E73F39">
        <w:rPr>
          <w:szCs w:val="24"/>
        </w:rPr>
        <w:t>Enterprise</w:t>
      </w:r>
      <w:r w:rsidR="00E73F39" w:rsidRPr="00612FCB">
        <w:rPr>
          <w:szCs w:val="24"/>
        </w:rPr>
        <w:t xml:space="preserve"> can assume that the </w:t>
      </w:r>
      <w:r w:rsidR="00E73F39">
        <w:t xml:space="preserve">“end of the underwriting period” </w:t>
      </w:r>
      <w:r w:rsidR="00E73F39" w:rsidRPr="00612FCB">
        <w:rPr>
          <w:szCs w:val="24"/>
        </w:rPr>
        <w:t>for the Bonds, for purposes of Rule 15c2-12</w:t>
      </w:r>
      <w:r w:rsidR="00E73F39">
        <w:rPr>
          <w:szCs w:val="24"/>
        </w:rPr>
        <w:t>,</w:t>
      </w:r>
      <w:r w:rsidR="00E73F39" w:rsidRPr="00612FCB">
        <w:rPr>
          <w:szCs w:val="24"/>
        </w:rPr>
        <w:t xml:space="preserve"> is the Closing Date.</w:t>
      </w:r>
    </w:p>
    <w:p w14:paraId="1BF6730F" w14:textId="77777777" w:rsidR="003B718B" w:rsidRDefault="003B718B" w:rsidP="0080532E">
      <w:pPr>
        <w:pStyle w:val="Heading1"/>
        <w:keepNext w:val="0"/>
        <w:numPr>
          <w:ilvl w:val="0"/>
          <w:numId w:val="6"/>
        </w:numPr>
        <w:spacing w:before="0" w:after="240"/>
        <w:ind w:left="0"/>
        <w:jc w:val="both"/>
      </w:pPr>
      <w:r>
        <w:rPr>
          <w:u w:val="single"/>
        </w:rPr>
        <w:t>Expenses</w:t>
      </w:r>
      <w:r>
        <w:t xml:space="preserve">. </w:t>
      </w:r>
    </w:p>
    <w:p w14:paraId="58A8B49B" w14:textId="0E0D38C5" w:rsidR="003B718B" w:rsidRDefault="003B718B" w:rsidP="0039753F">
      <w:pPr>
        <w:pStyle w:val="BodyText"/>
      </w:pPr>
      <w:r>
        <w:t xml:space="preserve">All expenses and costs of the Enterprise incident to the performance of its obligations in connection with the authorization, issuance and sale of the Bonds to the Underwriters, including the costs of printing or reproduction of the Bonds, the Enterprise Documents and the Official Statement in reasonable quantities, fees of consultants, fees of rating agencies, </w:t>
      </w:r>
      <w:r w:rsidRPr="008E30F4">
        <w:t>advertising expenses,</w:t>
      </w:r>
      <w:r>
        <w:t xml:space="preserve"> fees and expenses of the </w:t>
      </w:r>
      <w:r w:rsidR="00AA3720">
        <w:t xml:space="preserve">Senior </w:t>
      </w:r>
      <w:r>
        <w:t>Trustee and fees and expenses of Bond Counsel</w:t>
      </w:r>
      <w:r w:rsidR="001B5304">
        <w:t>, Disclosure Counsel and counsel to the Enterprise</w:t>
      </w:r>
      <w:r>
        <w:t xml:space="preserve">, </w:t>
      </w:r>
      <w:r w:rsidR="001B5304">
        <w:t xml:space="preserve">Municipal Advisor to the Enterprise, </w:t>
      </w:r>
      <w:r>
        <w:t xml:space="preserve">shall be paid by the Enterprise from the proceeds of the Bonds or other revenues of the Enterprise.  </w:t>
      </w:r>
      <w:r w:rsidRPr="00FC579A">
        <w:t>The Enterprise shall be solely responsible for and shall pay for any expenses incurred by the Underwriters on behalf of the Enterprise’s employees and representatives which are incidental to implementing this Purchase Agreement, including, but not limited to, meals, transportation, lodging, and entertainment of those employees and representatives.</w:t>
      </w:r>
      <w:r>
        <w:t xml:space="preserve">  All other expenses and costs of the Underwriters incurred under or pursuant to this Purchase Agreement, including, without limitation, the cost of preparing this Purchase Agreement and other Underwriter documents, travel expenses and the fees and expenses o</w:t>
      </w:r>
      <w:r w:rsidR="00B27AC8">
        <w:t xml:space="preserve">f counsel to the Underwriters, </w:t>
      </w:r>
      <w:r w:rsidRPr="00B27AC8">
        <w:t>shall be paid by the Underwriters (which may be included as an expense component of the Underwriter’s discount).</w:t>
      </w:r>
      <w:r>
        <w:t xml:space="preserve"> </w:t>
      </w:r>
      <w:r w:rsidR="005543CB">
        <w:t xml:space="preserve">The Enterprise and the Underwriters acknowledge that expenses included in the expense component of the Underwriter’s discount are based upon estimates. The Enterprise acknowledges that it has had an opportunity, in consultation with such advisors as it may deem appropriate, if any, to evaluate and consider the fees and expenses being incurred as part of the issuance of the Bonds. </w:t>
      </w:r>
    </w:p>
    <w:p w14:paraId="5B2573F3" w14:textId="77777777" w:rsidR="003B718B" w:rsidRDefault="003B718B" w:rsidP="0080532E">
      <w:pPr>
        <w:pStyle w:val="Heading1"/>
        <w:keepNext w:val="0"/>
        <w:numPr>
          <w:ilvl w:val="0"/>
          <w:numId w:val="6"/>
        </w:numPr>
        <w:spacing w:before="0" w:after="200"/>
        <w:ind w:left="0"/>
        <w:jc w:val="both"/>
      </w:pPr>
      <w:r>
        <w:rPr>
          <w:u w:val="single"/>
        </w:rPr>
        <w:t>Use of Documents</w:t>
      </w:r>
      <w:r>
        <w:t xml:space="preserve">.  </w:t>
      </w:r>
    </w:p>
    <w:p w14:paraId="46DE22B8" w14:textId="1305C4ED" w:rsidR="003B718B" w:rsidRDefault="003B718B" w:rsidP="003B718B">
      <w:pPr>
        <w:pStyle w:val="BodyText"/>
      </w:pPr>
      <w:r>
        <w:t xml:space="preserve">The Enterprise hereby authorizes the Underwriters to use, in connection with the public offering and sale of the Bonds, this Purchase Agreement, the Preliminary Official Statement, the Official Statement and the Enterprise Documents, and the information contained herein and therein. </w:t>
      </w:r>
      <w:r w:rsidR="005543CB">
        <w:t xml:space="preserve">The Enterprise consents to the use of any name, seal, logo, emblem or flag owned by or </w:t>
      </w:r>
      <w:r w:rsidR="005543CB">
        <w:lastRenderedPageBreak/>
        <w:t xml:space="preserve">associated with it in any of the Underwriters’ sales, promotional, advertising or marketing material, or in any form publicly used by the Underwriters. </w:t>
      </w:r>
    </w:p>
    <w:p w14:paraId="51D3930F" w14:textId="77777777" w:rsidR="003B718B" w:rsidRDefault="003B718B" w:rsidP="0080532E">
      <w:pPr>
        <w:pStyle w:val="Heading1"/>
        <w:keepNext w:val="0"/>
        <w:numPr>
          <w:ilvl w:val="0"/>
          <w:numId w:val="6"/>
        </w:numPr>
        <w:spacing w:before="0" w:after="200"/>
        <w:ind w:left="0"/>
        <w:jc w:val="both"/>
      </w:pPr>
      <w:r>
        <w:rPr>
          <w:u w:val="single"/>
        </w:rPr>
        <w:t>Notices</w:t>
      </w:r>
      <w:r>
        <w:t xml:space="preserve">.  </w:t>
      </w:r>
    </w:p>
    <w:p w14:paraId="3CBD7580" w14:textId="710E8B37" w:rsidR="003B718B" w:rsidRDefault="003B718B" w:rsidP="003B718B">
      <w:pPr>
        <w:pStyle w:val="BodyText"/>
      </w:pPr>
      <w:r>
        <w:t>Any notice or other communication to be given to the Enterprise under this Purchase Agreement may be given by delivering the same in writing to 2829 W. Howard Place, Denv</w:t>
      </w:r>
      <w:r w:rsidR="00642A1E">
        <w:t xml:space="preserve">er, Colorado 80204, Attention: </w:t>
      </w:r>
      <w:r>
        <w:t>Manage</w:t>
      </w:r>
      <w:r w:rsidR="00642A1E">
        <w:t>r, Bridge and Tunnel Enterprise, email address: patrick.holinda@state.co.us</w:t>
      </w:r>
      <w:r>
        <w:t xml:space="preserve">, and any such notice or other communication to be given to the Underwriters may be given by delivering the same in writing to </w:t>
      </w:r>
      <w:r w:rsidR="001B5304">
        <w:t xml:space="preserve">the Representative at </w:t>
      </w:r>
      <w:r w:rsidR="00E06091">
        <w:t>[</w:t>
      </w:r>
      <w:r w:rsidR="00033DFD">
        <w:t>30 Hudson Yards, 15</w:t>
      </w:r>
      <w:r w:rsidR="00033DFD" w:rsidRPr="00033DFD">
        <w:rPr>
          <w:vertAlign w:val="superscript"/>
        </w:rPr>
        <w:t>th</w:t>
      </w:r>
      <w:r w:rsidR="00033DFD">
        <w:t xml:space="preserve"> Floor, New York, New York 10001</w:t>
      </w:r>
      <w:r w:rsidR="00E06091">
        <w:t>]</w:t>
      </w:r>
      <w:r w:rsidR="00033DFD">
        <w:t xml:space="preserve">. </w:t>
      </w:r>
      <w:r>
        <w:t xml:space="preserve"> </w:t>
      </w:r>
    </w:p>
    <w:p w14:paraId="4B517B2D" w14:textId="77777777" w:rsidR="003B718B" w:rsidRDefault="003B718B" w:rsidP="0080532E">
      <w:pPr>
        <w:pStyle w:val="Heading1"/>
        <w:keepNext w:val="0"/>
        <w:numPr>
          <w:ilvl w:val="0"/>
          <w:numId w:val="6"/>
        </w:numPr>
        <w:spacing w:before="0" w:after="200"/>
        <w:ind w:left="0"/>
        <w:jc w:val="both"/>
      </w:pPr>
      <w:r>
        <w:rPr>
          <w:u w:val="single"/>
        </w:rPr>
        <w:t>Benefit</w:t>
      </w:r>
      <w:r>
        <w:t xml:space="preserve">.  </w:t>
      </w:r>
    </w:p>
    <w:p w14:paraId="0FEF58B9" w14:textId="77777777" w:rsidR="003B718B" w:rsidRDefault="003B718B" w:rsidP="003B718B">
      <w:pPr>
        <w:pStyle w:val="BodyText"/>
      </w:pPr>
      <w:r>
        <w:t xml:space="preserve">This Purchase Agreement is made solely for the benefit of the Enterprise and the Underwriters (including their successors or assigns) and no other person, partnership, association or corporation shall acquire or have any right hereunder or by virtue hereof.  Except as otherwise expressly provided herein, all of the agreements and representations of the Enterprise contained in this Purchase Agreement and in any certificates delivered pursuant hereto shall remain operative and in full force and effect regardless of: (i) any investigation made by or on behalf of the Underwriters; (ii) delivery of and payment for the Bonds hereunder; or (iii) any termination of this Purchase Agreement, other than pursuant to Section 8 (and in all events the agreements of the Enterprise pursuant to Sections 10 hereof shall remain in full force and effect notwithstanding the termination of this Purchase Agreement under Section 8 hereof). </w:t>
      </w:r>
    </w:p>
    <w:p w14:paraId="6C2B6FD8" w14:textId="584830CA" w:rsidR="003B718B" w:rsidRDefault="003B718B" w:rsidP="0080532E">
      <w:pPr>
        <w:pStyle w:val="Heading1"/>
        <w:keepNext w:val="0"/>
        <w:numPr>
          <w:ilvl w:val="0"/>
          <w:numId w:val="6"/>
        </w:numPr>
        <w:spacing w:before="0" w:after="200"/>
        <w:ind w:left="0"/>
        <w:jc w:val="both"/>
      </w:pPr>
      <w:r>
        <w:rPr>
          <w:u w:val="single"/>
        </w:rPr>
        <w:t>Governing Law</w:t>
      </w:r>
      <w:r>
        <w:t>.  THIS PURCHASE AGREEMENT SHALL BE DEEMED TO BE A CONTRACT UNDER, AND FOR ALL PURPOSES SHALL BE GOVERNED BY, AND CONSTRUED AND INTERPRETED IN ACCORDANCE WITH, THE LAWS OF THE STATE.</w:t>
      </w:r>
    </w:p>
    <w:p w14:paraId="05C86F10" w14:textId="77777777" w:rsidR="003B718B" w:rsidRDefault="003B718B" w:rsidP="0080532E">
      <w:pPr>
        <w:pStyle w:val="Heading1"/>
        <w:keepNext w:val="0"/>
        <w:numPr>
          <w:ilvl w:val="0"/>
          <w:numId w:val="6"/>
        </w:numPr>
        <w:spacing w:before="0" w:after="240"/>
        <w:ind w:left="0"/>
        <w:jc w:val="both"/>
      </w:pPr>
      <w:r>
        <w:rPr>
          <w:u w:val="single"/>
        </w:rPr>
        <w:t>Miscellaneous.</w:t>
      </w:r>
      <w:r>
        <w:t xml:space="preserve">  </w:t>
      </w:r>
    </w:p>
    <w:p w14:paraId="75597919" w14:textId="169F6499" w:rsidR="003B718B" w:rsidRDefault="003B718B" w:rsidP="003B718B">
      <w:pPr>
        <w:pStyle w:val="BodyText"/>
        <w:tabs>
          <w:tab w:val="left" w:pos="720"/>
        </w:tabs>
      </w:pPr>
      <w:r>
        <w:t xml:space="preserve">(a) </w:t>
      </w:r>
      <w:r w:rsidR="008E30F4">
        <w:tab/>
      </w:r>
      <w:r>
        <w:t xml:space="preserve">This Purchase Agreement contains the entire agreement between the parties relating to the subject matter hereof and supersedes all oral statements, prior writings and representations with respect thereto. </w:t>
      </w:r>
    </w:p>
    <w:p w14:paraId="0487AE72" w14:textId="3459C167" w:rsidR="0080532E" w:rsidRDefault="003B718B" w:rsidP="003B718B">
      <w:pPr>
        <w:pStyle w:val="BodyText"/>
        <w:tabs>
          <w:tab w:val="left" w:pos="720"/>
        </w:tabs>
      </w:pPr>
      <w:r>
        <w:t xml:space="preserve">(b) </w:t>
      </w:r>
      <w:bookmarkStart w:id="0" w:name="_GoBack"/>
      <w:r w:rsidR="008E30F4">
        <w:tab/>
      </w:r>
      <w:bookmarkEnd w:id="0"/>
      <w:r>
        <w:t xml:space="preserve"> This Purchase Agreement may be executed in several counterparts, each of which shall be deemed an original hereof.</w:t>
      </w:r>
    </w:p>
    <w:p w14:paraId="621E6050" w14:textId="4261BD7F" w:rsidR="0080532E" w:rsidRDefault="0080532E" w:rsidP="003B718B">
      <w:pPr>
        <w:pStyle w:val="BodyText"/>
        <w:tabs>
          <w:tab w:val="left" w:pos="720"/>
        </w:tabs>
      </w:pPr>
    </w:p>
    <w:p w14:paraId="3AAF8236" w14:textId="5E5551D7" w:rsidR="0080532E" w:rsidRDefault="0080532E" w:rsidP="0080532E">
      <w:pPr>
        <w:pStyle w:val="BodyText"/>
        <w:tabs>
          <w:tab w:val="left" w:pos="720"/>
        </w:tabs>
        <w:ind w:firstLine="0"/>
        <w:jc w:val="center"/>
      </w:pPr>
      <w:r>
        <w:t>[Signatures are on the following page]</w:t>
      </w:r>
    </w:p>
    <w:p w14:paraId="557F5A58" w14:textId="77777777" w:rsidR="00E47DE9" w:rsidRDefault="00E47DE9" w:rsidP="00E47DE9">
      <w:pPr>
        <w:sectPr w:rsidR="00E47DE9" w:rsidSect="00EC06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pPr>
    </w:p>
    <w:p w14:paraId="643BF05A" w14:textId="6124A29D" w:rsidR="003B718B" w:rsidRDefault="003B718B" w:rsidP="00E47DE9">
      <w:r>
        <w:lastRenderedPageBreak/>
        <w:t>Very truly yours,</w:t>
      </w:r>
    </w:p>
    <w:p w14:paraId="62DDC319" w14:textId="1C3FE977" w:rsidR="003B718B" w:rsidRDefault="000707D0" w:rsidP="003B718B">
      <w:pPr>
        <w:ind w:left="4320"/>
      </w:pPr>
      <w:r>
        <w:rPr>
          <w:b/>
        </w:rPr>
        <w:t xml:space="preserve">WELLS FARGO </w:t>
      </w:r>
      <w:r w:rsidR="00E06091">
        <w:rPr>
          <w:b/>
        </w:rPr>
        <w:t>BANK, NATIONAL ASSOCIATION</w:t>
      </w:r>
      <w:r w:rsidR="00033DFD">
        <w:rPr>
          <w:b/>
        </w:rPr>
        <w:t>,</w:t>
      </w:r>
      <w:r w:rsidR="00033DFD" w:rsidRPr="00033DFD">
        <w:rPr>
          <w:b/>
        </w:rPr>
        <w:t xml:space="preserve"> </w:t>
      </w:r>
      <w:r w:rsidR="003B718B">
        <w:t>as Representative of the Underwriters</w:t>
      </w:r>
    </w:p>
    <w:p w14:paraId="70928EB7" w14:textId="77777777" w:rsidR="003B718B" w:rsidRDefault="003B718B" w:rsidP="003B718B">
      <w:pPr>
        <w:ind w:left="4320"/>
      </w:pPr>
    </w:p>
    <w:p w14:paraId="4179ED41" w14:textId="77777777" w:rsidR="003B718B" w:rsidRDefault="003B718B" w:rsidP="003B718B">
      <w:pPr>
        <w:ind w:left="4320"/>
      </w:pPr>
    </w:p>
    <w:p w14:paraId="7D8FAA4E" w14:textId="77777777" w:rsidR="003B718B" w:rsidRDefault="003B718B" w:rsidP="003B718B">
      <w:pPr>
        <w:ind w:left="4320"/>
      </w:pPr>
    </w:p>
    <w:p w14:paraId="0B856E6C" w14:textId="77777777" w:rsidR="003B718B" w:rsidRDefault="003B718B" w:rsidP="003B718B">
      <w:pPr>
        <w:tabs>
          <w:tab w:val="left" w:pos="4680"/>
          <w:tab w:val="right" w:pos="9360"/>
        </w:tabs>
        <w:ind w:left="4320"/>
        <w:rPr>
          <w:u w:val="single"/>
        </w:rPr>
      </w:pPr>
      <w:r>
        <w:tab/>
        <w:t>By:</w:t>
      </w:r>
      <w:r>
        <w:rPr>
          <w:u w:val="single"/>
        </w:rPr>
        <w:tab/>
      </w:r>
    </w:p>
    <w:p w14:paraId="18E9D0EC" w14:textId="77777777" w:rsidR="003B718B" w:rsidRDefault="003B718B" w:rsidP="003B718B">
      <w:pPr>
        <w:tabs>
          <w:tab w:val="left" w:pos="4680"/>
          <w:tab w:val="left" w:pos="5040"/>
        </w:tabs>
        <w:ind w:left="4320"/>
      </w:pPr>
    </w:p>
    <w:p w14:paraId="5D009D3D" w14:textId="77777777" w:rsidR="003B718B" w:rsidRDefault="003B718B" w:rsidP="003B718B"/>
    <w:p w14:paraId="7B9D0D24" w14:textId="77777777" w:rsidR="003B718B" w:rsidRDefault="003B718B" w:rsidP="003B718B"/>
    <w:p w14:paraId="530E1211" w14:textId="77777777" w:rsidR="003B718B" w:rsidRDefault="003B718B" w:rsidP="003B718B"/>
    <w:p w14:paraId="5DD7F6E8" w14:textId="782043FA" w:rsidR="003B718B" w:rsidRDefault="003B718B" w:rsidP="003B718B">
      <w:r>
        <w:t xml:space="preserve">Accepted </w:t>
      </w:r>
      <w:r w:rsidR="00033DFD">
        <w:t>December</w:t>
      </w:r>
      <w:r w:rsidR="008360E2">
        <w:t xml:space="preserve"> </w:t>
      </w:r>
      <w:r w:rsidR="00033DFD">
        <w:t>[5]</w:t>
      </w:r>
      <w:r>
        <w:t xml:space="preserve">, 2024 </w:t>
      </w:r>
    </w:p>
    <w:p w14:paraId="41280F3A" w14:textId="77777777" w:rsidR="003B718B" w:rsidRDefault="003B718B" w:rsidP="003B718B">
      <w:pPr>
        <w:rPr>
          <w:b/>
        </w:rPr>
      </w:pPr>
    </w:p>
    <w:p w14:paraId="38DD01F5" w14:textId="77777777" w:rsidR="003B718B" w:rsidRDefault="003B718B" w:rsidP="003B718B">
      <w:pPr>
        <w:rPr>
          <w:b/>
        </w:rPr>
      </w:pPr>
      <w:r>
        <w:rPr>
          <w:b/>
        </w:rPr>
        <w:t xml:space="preserve">STATE OF COLORADO </w:t>
      </w:r>
    </w:p>
    <w:p w14:paraId="11A0DE56" w14:textId="77777777" w:rsidR="003B718B" w:rsidRDefault="003B718B" w:rsidP="003B718B">
      <w:pPr>
        <w:rPr>
          <w:b/>
        </w:rPr>
      </w:pPr>
      <w:r>
        <w:rPr>
          <w:b/>
        </w:rPr>
        <w:t>Jared S. Polis, Governor</w:t>
      </w:r>
    </w:p>
    <w:p w14:paraId="637E43E9" w14:textId="77777777" w:rsidR="003B718B" w:rsidRDefault="003B718B" w:rsidP="003B718B"/>
    <w:p w14:paraId="7E002419" w14:textId="77777777" w:rsidR="003B718B" w:rsidRDefault="003B718B" w:rsidP="003B718B">
      <w:pPr>
        <w:rPr>
          <w:b/>
          <w:bCs/>
        </w:rPr>
      </w:pPr>
      <w:r>
        <w:rPr>
          <w:b/>
        </w:rPr>
        <w:t xml:space="preserve">COLORADO </w:t>
      </w:r>
      <w:r>
        <w:rPr>
          <w:b/>
          <w:bCs/>
        </w:rPr>
        <w:t xml:space="preserve">STATEWIDE BRIDGE </w:t>
      </w:r>
    </w:p>
    <w:p w14:paraId="6675C6D8" w14:textId="77777777" w:rsidR="003B718B" w:rsidRDefault="003B718B" w:rsidP="003B718B">
      <w:pPr>
        <w:rPr>
          <w:b/>
        </w:rPr>
      </w:pPr>
      <w:r>
        <w:rPr>
          <w:b/>
          <w:bCs/>
        </w:rPr>
        <w:t xml:space="preserve">AND TUNNEL </w:t>
      </w:r>
      <w:r>
        <w:rPr>
          <w:b/>
        </w:rPr>
        <w:t>ENTERPRISE</w:t>
      </w:r>
    </w:p>
    <w:p w14:paraId="4F5A3EBC" w14:textId="77777777" w:rsidR="003B718B" w:rsidRDefault="003B718B" w:rsidP="003B718B"/>
    <w:p w14:paraId="54258C36" w14:textId="77777777" w:rsidR="003B718B" w:rsidRDefault="003B718B" w:rsidP="003B718B"/>
    <w:p w14:paraId="3F80CC42" w14:textId="77777777" w:rsidR="003B718B" w:rsidRDefault="003B718B" w:rsidP="003B718B">
      <w:pPr>
        <w:tabs>
          <w:tab w:val="right" w:pos="4410"/>
        </w:tabs>
      </w:pPr>
      <w:r>
        <w:t>By:</w:t>
      </w:r>
      <w:r>
        <w:rPr>
          <w:u w:val="single"/>
        </w:rPr>
        <w:tab/>
      </w:r>
    </w:p>
    <w:p w14:paraId="4B28D53F" w14:textId="77777777" w:rsidR="003B718B" w:rsidRDefault="003B718B" w:rsidP="003B718B">
      <w:pPr>
        <w:ind w:firstLine="720"/>
      </w:pPr>
      <w:r>
        <w:t>Shoshana M. Lew, Director of the Colorado</w:t>
      </w:r>
    </w:p>
    <w:p w14:paraId="7889A07C" w14:textId="77777777" w:rsidR="003B718B" w:rsidRDefault="003B718B" w:rsidP="003B718B">
      <w:pPr>
        <w:ind w:firstLine="720"/>
      </w:pPr>
      <w:r>
        <w:t>Statewide Bridge and Tunnel Enterprise</w:t>
      </w:r>
    </w:p>
    <w:p w14:paraId="52DEA3A4" w14:textId="77777777" w:rsidR="003B718B" w:rsidRDefault="003B718B" w:rsidP="003B718B"/>
    <w:p w14:paraId="4238A850" w14:textId="77777777" w:rsidR="003B718B" w:rsidRDefault="003B718B" w:rsidP="003B718B"/>
    <w:p w14:paraId="129DE7D2" w14:textId="77777777" w:rsidR="003B718B" w:rsidRDefault="003B718B" w:rsidP="003B718B"/>
    <w:p w14:paraId="4ED32633" w14:textId="77777777" w:rsidR="003B718B" w:rsidRDefault="003B718B" w:rsidP="003B718B">
      <w:pPr>
        <w:rPr>
          <w:b/>
        </w:rPr>
      </w:pPr>
      <w:r>
        <w:rPr>
          <w:b/>
        </w:rPr>
        <w:t xml:space="preserve">LEGAL REVIEW ON BEHALF OF </w:t>
      </w:r>
    </w:p>
    <w:p w14:paraId="156D543D" w14:textId="77777777" w:rsidR="003B718B" w:rsidRDefault="003B718B" w:rsidP="003B718B">
      <w:pPr>
        <w:rPr>
          <w:b/>
          <w:bCs/>
        </w:rPr>
      </w:pPr>
      <w:r>
        <w:rPr>
          <w:b/>
        </w:rPr>
        <w:t xml:space="preserve">  COLORADO </w:t>
      </w:r>
      <w:r>
        <w:rPr>
          <w:b/>
          <w:bCs/>
        </w:rPr>
        <w:t xml:space="preserve">STATEWIDE BRIDGE </w:t>
      </w:r>
    </w:p>
    <w:p w14:paraId="1E45563E" w14:textId="77777777" w:rsidR="003B718B" w:rsidRDefault="003B718B" w:rsidP="003B718B">
      <w:pPr>
        <w:rPr>
          <w:b/>
        </w:rPr>
      </w:pPr>
      <w:r>
        <w:rPr>
          <w:b/>
          <w:bCs/>
        </w:rPr>
        <w:t xml:space="preserve">  AND TUNNEL</w:t>
      </w:r>
      <w:r>
        <w:rPr>
          <w:b/>
        </w:rPr>
        <w:t xml:space="preserve"> ENTERPRISE</w:t>
      </w:r>
    </w:p>
    <w:p w14:paraId="650A5732" w14:textId="77777777" w:rsidR="003B718B" w:rsidRDefault="003B718B" w:rsidP="003B718B">
      <w:pPr>
        <w:rPr>
          <w:b/>
        </w:rPr>
      </w:pPr>
      <w:r>
        <w:rPr>
          <w:b/>
        </w:rPr>
        <w:t>Philip J. Weiser, Attorney General</w:t>
      </w:r>
    </w:p>
    <w:p w14:paraId="58C00EBA" w14:textId="77777777" w:rsidR="003B718B" w:rsidRDefault="003B718B" w:rsidP="003B718B"/>
    <w:p w14:paraId="5B01CF2F" w14:textId="77777777" w:rsidR="003B718B" w:rsidRDefault="003B718B" w:rsidP="003B718B"/>
    <w:p w14:paraId="6F762134" w14:textId="77777777" w:rsidR="003B718B" w:rsidRDefault="003B718B" w:rsidP="003B718B">
      <w:pPr>
        <w:tabs>
          <w:tab w:val="right" w:pos="4410"/>
        </w:tabs>
      </w:pPr>
      <w:r>
        <w:t>By:</w:t>
      </w:r>
      <w:r>
        <w:rPr>
          <w:u w:val="single"/>
        </w:rPr>
        <w:tab/>
      </w:r>
    </w:p>
    <w:p w14:paraId="21E4ADA5" w14:textId="77777777" w:rsidR="003B718B" w:rsidRDefault="003B718B" w:rsidP="003B718B">
      <w:pPr>
        <w:tabs>
          <w:tab w:val="left" w:pos="450"/>
        </w:tabs>
      </w:pPr>
      <w:r>
        <w:tab/>
        <w:t>Kathy Young, First Assistant Attorney General</w:t>
      </w:r>
    </w:p>
    <w:p w14:paraId="5CE66031" w14:textId="77777777" w:rsidR="003B718B" w:rsidRDefault="003B718B" w:rsidP="003B718B">
      <w:pPr>
        <w:spacing w:after="240"/>
      </w:pPr>
    </w:p>
    <w:p w14:paraId="0D051C0F" w14:textId="77777777" w:rsidR="003B718B" w:rsidRDefault="003B718B" w:rsidP="003B718B"/>
    <w:p w14:paraId="18122047" w14:textId="77777777" w:rsidR="003B718B" w:rsidRDefault="003B718B" w:rsidP="003B718B">
      <w:pPr>
        <w:spacing w:after="240"/>
        <w:jc w:val="center"/>
        <w:rPr>
          <w:sz w:val="20"/>
        </w:rPr>
      </w:pPr>
      <w:r>
        <w:rPr>
          <w:sz w:val="20"/>
        </w:rPr>
        <w:t xml:space="preserve">            </w:t>
      </w:r>
    </w:p>
    <w:p w14:paraId="0A6CF972" w14:textId="77777777" w:rsidR="003B718B" w:rsidRDefault="003B718B" w:rsidP="003B718B">
      <w:pPr>
        <w:rPr>
          <w:sz w:val="20"/>
        </w:rPr>
        <w:sectPr w:rsidR="003B718B">
          <w:footerReference w:type="default" r:id="rId14"/>
          <w:pgSz w:w="12240" w:h="15840"/>
          <w:pgMar w:top="1440" w:right="1440" w:bottom="1440" w:left="1440" w:header="720" w:footer="1095" w:gutter="0"/>
          <w:cols w:space="720"/>
        </w:sectPr>
      </w:pPr>
    </w:p>
    <w:p w14:paraId="11AA3FFE" w14:textId="77777777" w:rsidR="003B718B" w:rsidRDefault="003B718B" w:rsidP="003B718B">
      <w:pPr>
        <w:spacing w:after="240"/>
        <w:jc w:val="center"/>
        <w:rPr>
          <w:b/>
        </w:rPr>
      </w:pPr>
      <w:r>
        <w:rPr>
          <w:b/>
          <w:u w:val="single"/>
        </w:rPr>
        <w:lastRenderedPageBreak/>
        <w:t>SCHEDULE I</w:t>
      </w:r>
    </w:p>
    <w:p w14:paraId="4B65A1E1" w14:textId="1602B068" w:rsidR="003B718B" w:rsidRDefault="003B718B" w:rsidP="003B718B">
      <w:pPr>
        <w:spacing w:after="240"/>
        <w:jc w:val="center"/>
        <w:rPr>
          <w:u w:val="single"/>
        </w:rPr>
      </w:pPr>
      <w:r>
        <w:rPr>
          <w:u w:val="single"/>
        </w:rPr>
        <w:t>Principal Amounts, Interest Rates and Prices</w:t>
      </w:r>
      <w:r w:rsidR="006F2AE3">
        <w:rPr>
          <w:rStyle w:val="FootnoteReference"/>
          <w:u w:val="single"/>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1672"/>
        <w:gridCol w:w="1459"/>
        <w:gridCol w:w="1550"/>
        <w:gridCol w:w="1549"/>
      </w:tblGrid>
      <w:tr w:rsidR="006F2AE3" w:rsidRPr="00DC0CAD" w14:paraId="440515F7" w14:textId="77777777" w:rsidTr="00AE42D7">
        <w:trPr>
          <w:trHeight w:val="953"/>
          <w:jc w:val="center"/>
        </w:trPr>
        <w:tc>
          <w:tcPr>
            <w:tcW w:w="1568" w:type="dxa"/>
            <w:vAlign w:val="bottom"/>
          </w:tcPr>
          <w:p w14:paraId="1560ECC4" w14:textId="66F553B9" w:rsidR="006F2AE3" w:rsidRPr="003D732D" w:rsidRDefault="006F2AE3" w:rsidP="00AE42D7">
            <w:pPr>
              <w:pStyle w:val="BodyText"/>
              <w:keepNext/>
              <w:pBdr>
                <w:bottom w:val="single" w:sz="4" w:space="1" w:color="auto"/>
              </w:pBdr>
              <w:spacing w:after="120"/>
              <w:ind w:firstLine="0"/>
              <w:jc w:val="center"/>
              <w:rPr>
                <w:b/>
              </w:rPr>
            </w:pPr>
            <w:r w:rsidRPr="003D732D">
              <w:rPr>
                <w:b/>
              </w:rPr>
              <w:t>Maturity Date (December 1)</w:t>
            </w:r>
          </w:p>
        </w:tc>
        <w:tc>
          <w:tcPr>
            <w:tcW w:w="1672" w:type="dxa"/>
            <w:vAlign w:val="bottom"/>
          </w:tcPr>
          <w:p w14:paraId="4267E36F" w14:textId="2D51ED4A" w:rsidR="006F2AE3" w:rsidRPr="003D732D" w:rsidRDefault="006F2AE3" w:rsidP="00AE42D7">
            <w:pPr>
              <w:pStyle w:val="BodyText"/>
              <w:keepNext/>
              <w:pBdr>
                <w:bottom w:val="single" w:sz="4" w:space="1" w:color="auto"/>
              </w:pBdr>
              <w:spacing w:after="120"/>
              <w:ind w:firstLine="0"/>
              <w:jc w:val="center"/>
              <w:rPr>
                <w:b/>
              </w:rPr>
            </w:pPr>
            <w:r w:rsidRPr="003D732D">
              <w:rPr>
                <w:b/>
              </w:rPr>
              <w:t>Principal Amount</w:t>
            </w:r>
          </w:p>
        </w:tc>
        <w:tc>
          <w:tcPr>
            <w:tcW w:w="1459" w:type="dxa"/>
            <w:vAlign w:val="bottom"/>
          </w:tcPr>
          <w:p w14:paraId="268CF710" w14:textId="77777777" w:rsidR="006F2AE3" w:rsidRPr="003D732D" w:rsidRDefault="006F2AE3" w:rsidP="00AE42D7">
            <w:pPr>
              <w:pStyle w:val="BodyText"/>
              <w:keepNext/>
              <w:pBdr>
                <w:bottom w:val="single" w:sz="4" w:space="1" w:color="auto"/>
              </w:pBdr>
              <w:spacing w:after="120"/>
              <w:ind w:firstLine="0"/>
              <w:jc w:val="center"/>
              <w:rPr>
                <w:b/>
              </w:rPr>
            </w:pPr>
            <w:r w:rsidRPr="003D732D">
              <w:rPr>
                <w:b/>
              </w:rPr>
              <w:t>Interest Rate</w:t>
            </w:r>
          </w:p>
        </w:tc>
        <w:tc>
          <w:tcPr>
            <w:tcW w:w="1550" w:type="dxa"/>
            <w:vAlign w:val="bottom"/>
          </w:tcPr>
          <w:p w14:paraId="08EEDD35" w14:textId="77777777" w:rsidR="006F2AE3" w:rsidRPr="003D732D" w:rsidRDefault="006F2AE3" w:rsidP="00AE42D7">
            <w:pPr>
              <w:pStyle w:val="BodyText"/>
              <w:keepNext/>
              <w:pBdr>
                <w:bottom w:val="single" w:sz="4" w:space="1" w:color="auto"/>
              </w:pBdr>
              <w:spacing w:after="120"/>
              <w:ind w:firstLine="0"/>
              <w:jc w:val="center"/>
              <w:rPr>
                <w:b/>
              </w:rPr>
            </w:pPr>
            <w:r w:rsidRPr="003D732D">
              <w:rPr>
                <w:b/>
              </w:rPr>
              <w:t>Yield</w:t>
            </w:r>
          </w:p>
        </w:tc>
        <w:tc>
          <w:tcPr>
            <w:tcW w:w="1549" w:type="dxa"/>
            <w:vAlign w:val="bottom"/>
          </w:tcPr>
          <w:p w14:paraId="4EA8FD2A" w14:textId="77777777" w:rsidR="006F2AE3" w:rsidRPr="003D732D" w:rsidRDefault="006F2AE3" w:rsidP="00AE42D7">
            <w:pPr>
              <w:pStyle w:val="BodyText"/>
              <w:keepNext/>
              <w:pBdr>
                <w:bottom w:val="single" w:sz="4" w:space="1" w:color="auto"/>
              </w:pBdr>
              <w:spacing w:after="120"/>
              <w:ind w:firstLine="6"/>
              <w:jc w:val="center"/>
              <w:rPr>
                <w:b/>
              </w:rPr>
            </w:pPr>
            <w:r w:rsidRPr="003D732D">
              <w:rPr>
                <w:b/>
              </w:rPr>
              <w:t>Price</w:t>
            </w:r>
          </w:p>
        </w:tc>
      </w:tr>
      <w:tr w:rsidR="006F2AE3" w:rsidRPr="00500FE1" w14:paraId="264588E8" w14:textId="77777777" w:rsidTr="00AE42D7">
        <w:trPr>
          <w:jc w:val="center"/>
        </w:trPr>
        <w:tc>
          <w:tcPr>
            <w:tcW w:w="1568" w:type="dxa"/>
          </w:tcPr>
          <w:p w14:paraId="1228792E" w14:textId="2193272A" w:rsidR="006F2AE3" w:rsidRPr="003D732D" w:rsidRDefault="006F2AE3" w:rsidP="00AE42D7">
            <w:pPr>
              <w:pStyle w:val="BodyText"/>
              <w:keepNext/>
              <w:spacing w:after="0"/>
              <w:ind w:firstLine="0"/>
              <w:jc w:val="center"/>
            </w:pPr>
          </w:p>
        </w:tc>
        <w:tc>
          <w:tcPr>
            <w:tcW w:w="1672" w:type="dxa"/>
          </w:tcPr>
          <w:p w14:paraId="35BD8206" w14:textId="085A5446" w:rsidR="006F2AE3" w:rsidRPr="003D732D" w:rsidRDefault="00033DFD" w:rsidP="00AE42D7">
            <w:pPr>
              <w:pStyle w:val="BodyText"/>
              <w:keepNext/>
              <w:tabs>
                <w:tab w:val="decimal" w:pos="1170"/>
              </w:tabs>
              <w:spacing w:after="0"/>
              <w:ind w:firstLine="0"/>
            </w:pPr>
            <w:r>
              <w:t>$</w:t>
            </w:r>
          </w:p>
        </w:tc>
        <w:tc>
          <w:tcPr>
            <w:tcW w:w="1459" w:type="dxa"/>
          </w:tcPr>
          <w:p w14:paraId="4231EF61" w14:textId="50A52E71" w:rsidR="006F2AE3" w:rsidRPr="003D732D" w:rsidRDefault="006F2AE3" w:rsidP="00AE42D7">
            <w:pPr>
              <w:pStyle w:val="BodyText"/>
              <w:keepNext/>
              <w:tabs>
                <w:tab w:val="decimal" w:pos="506"/>
              </w:tabs>
              <w:spacing w:after="0"/>
              <w:ind w:firstLine="0"/>
            </w:pPr>
            <w:r w:rsidRPr="003D732D">
              <w:t>%</w:t>
            </w:r>
          </w:p>
        </w:tc>
        <w:tc>
          <w:tcPr>
            <w:tcW w:w="1550" w:type="dxa"/>
          </w:tcPr>
          <w:p w14:paraId="10B935DB" w14:textId="32678DD8" w:rsidR="006F2AE3" w:rsidRPr="003D732D" w:rsidRDefault="006F2AE3" w:rsidP="00AE42D7">
            <w:pPr>
              <w:pStyle w:val="BodyText"/>
              <w:keepNext/>
              <w:tabs>
                <w:tab w:val="decimal" w:pos="527"/>
              </w:tabs>
              <w:spacing w:after="0"/>
              <w:ind w:firstLine="0"/>
            </w:pPr>
            <w:r w:rsidRPr="003D732D">
              <w:t>%</w:t>
            </w:r>
          </w:p>
        </w:tc>
        <w:tc>
          <w:tcPr>
            <w:tcW w:w="1549" w:type="dxa"/>
          </w:tcPr>
          <w:p w14:paraId="2C53CF54" w14:textId="34D72417" w:rsidR="006F2AE3" w:rsidRPr="003D732D" w:rsidRDefault="006F2AE3" w:rsidP="00AE42D7">
            <w:pPr>
              <w:pStyle w:val="BodyText"/>
              <w:keepNext/>
              <w:tabs>
                <w:tab w:val="decimal" w:pos="646"/>
              </w:tabs>
              <w:spacing w:after="0"/>
              <w:ind w:firstLine="0"/>
            </w:pPr>
          </w:p>
        </w:tc>
      </w:tr>
      <w:tr w:rsidR="006F2AE3" w:rsidRPr="00500FE1" w14:paraId="2803F59C" w14:textId="77777777" w:rsidTr="00AE42D7">
        <w:trPr>
          <w:jc w:val="center"/>
        </w:trPr>
        <w:tc>
          <w:tcPr>
            <w:tcW w:w="1568" w:type="dxa"/>
          </w:tcPr>
          <w:p w14:paraId="54A1F962" w14:textId="114E37B2" w:rsidR="006F2AE3" w:rsidRPr="003D732D" w:rsidRDefault="006F2AE3" w:rsidP="00AE42D7">
            <w:pPr>
              <w:pStyle w:val="BodyText"/>
              <w:keepNext/>
              <w:spacing w:after="0"/>
              <w:ind w:firstLine="0"/>
              <w:jc w:val="center"/>
            </w:pPr>
          </w:p>
        </w:tc>
        <w:tc>
          <w:tcPr>
            <w:tcW w:w="1672" w:type="dxa"/>
          </w:tcPr>
          <w:p w14:paraId="64E8FAEB" w14:textId="552E58E6" w:rsidR="006F2AE3" w:rsidRPr="003D732D" w:rsidRDefault="006F2AE3" w:rsidP="00AE42D7">
            <w:pPr>
              <w:pStyle w:val="BodyText"/>
              <w:keepNext/>
              <w:tabs>
                <w:tab w:val="decimal" w:pos="1170"/>
              </w:tabs>
              <w:spacing w:after="0"/>
              <w:ind w:firstLine="0"/>
            </w:pPr>
          </w:p>
        </w:tc>
        <w:tc>
          <w:tcPr>
            <w:tcW w:w="1459" w:type="dxa"/>
          </w:tcPr>
          <w:p w14:paraId="58EEECCD" w14:textId="1862D640" w:rsidR="006F2AE3" w:rsidRPr="003D732D" w:rsidRDefault="006F2AE3" w:rsidP="00AE42D7">
            <w:pPr>
              <w:pStyle w:val="BodyText"/>
              <w:keepNext/>
              <w:tabs>
                <w:tab w:val="decimal" w:pos="506"/>
              </w:tabs>
              <w:spacing w:after="0"/>
              <w:ind w:firstLine="0"/>
            </w:pPr>
          </w:p>
        </w:tc>
        <w:tc>
          <w:tcPr>
            <w:tcW w:w="1550" w:type="dxa"/>
          </w:tcPr>
          <w:p w14:paraId="60FF4FBC" w14:textId="7AFD5CAF" w:rsidR="006F2AE3" w:rsidRPr="003D732D" w:rsidRDefault="006F2AE3" w:rsidP="00AE42D7">
            <w:pPr>
              <w:pStyle w:val="BodyText"/>
              <w:keepNext/>
              <w:tabs>
                <w:tab w:val="decimal" w:pos="527"/>
              </w:tabs>
              <w:spacing w:after="0"/>
              <w:ind w:firstLine="0"/>
            </w:pPr>
          </w:p>
        </w:tc>
        <w:tc>
          <w:tcPr>
            <w:tcW w:w="1549" w:type="dxa"/>
          </w:tcPr>
          <w:p w14:paraId="3DA2C247" w14:textId="53A47899" w:rsidR="006F2AE3" w:rsidRPr="003D732D" w:rsidRDefault="006F2AE3" w:rsidP="00AE42D7">
            <w:pPr>
              <w:pStyle w:val="BodyText"/>
              <w:keepNext/>
              <w:tabs>
                <w:tab w:val="decimal" w:pos="646"/>
              </w:tabs>
              <w:spacing w:after="0"/>
              <w:ind w:firstLine="0"/>
            </w:pPr>
          </w:p>
        </w:tc>
      </w:tr>
      <w:tr w:rsidR="006F2AE3" w:rsidRPr="00500FE1" w14:paraId="7FA9FCC8" w14:textId="77777777" w:rsidTr="00AE42D7">
        <w:trPr>
          <w:jc w:val="center"/>
        </w:trPr>
        <w:tc>
          <w:tcPr>
            <w:tcW w:w="1568" w:type="dxa"/>
          </w:tcPr>
          <w:p w14:paraId="3AF23704" w14:textId="74B61BC1" w:rsidR="006F2AE3" w:rsidRPr="003D732D" w:rsidRDefault="006F2AE3" w:rsidP="00AE42D7">
            <w:pPr>
              <w:pStyle w:val="BodyText"/>
              <w:keepNext/>
              <w:spacing w:after="0"/>
              <w:ind w:firstLine="0"/>
              <w:jc w:val="center"/>
            </w:pPr>
          </w:p>
        </w:tc>
        <w:tc>
          <w:tcPr>
            <w:tcW w:w="1672" w:type="dxa"/>
          </w:tcPr>
          <w:p w14:paraId="79356A05" w14:textId="3678D871" w:rsidR="006F2AE3" w:rsidRPr="003D732D" w:rsidRDefault="006F2AE3" w:rsidP="00AE42D7">
            <w:pPr>
              <w:pStyle w:val="BodyText"/>
              <w:keepNext/>
              <w:tabs>
                <w:tab w:val="decimal" w:pos="1170"/>
              </w:tabs>
              <w:spacing w:after="0"/>
              <w:ind w:firstLine="0"/>
            </w:pPr>
          </w:p>
        </w:tc>
        <w:tc>
          <w:tcPr>
            <w:tcW w:w="1459" w:type="dxa"/>
          </w:tcPr>
          <w:p w14:paraId="11312C4B" w14:textId="72044808" w:rsidR="006F2AE3" w:rsidRPr="003D732D" w:rsidRDefault="006F2AE3" w:rsidP="00AE42D7">
            <w:pPr>
              <w:pStyle w:val="BodyText"/>
              <w:keepNext/>
              <w:tabs>
                <w:tab w:val="decimal" w:pos="506"/>
              </w:tabs>
              <w:spacing w:after="0"/>
              <w:ind w:firstLine="0"/>
            </w:pPr>
          </w:p>
        </w:tc>
        <w:tc>
          <w:tcPr>
            <w:tcW w:w="1550" w:type="dxa"/>
          </w:tcPr>
          <w:p w14:paraId="267CF112" w14:textId="4CD8B1F9" w:rsidR="006F2AE3" w:rsidRPr="003D732D" w:rsidRDefault="006F2AE3" w:rsidP="00AE42D7">
            <w:pPr>
              <w:pStyle w:val="BodyText"/>
              <w:keepNext/>
              <w:tabs>
                <w:tab w:val="decimal" w:pos="527"/>
              </w:tabs>
              <w:spacing w:after="0"/>
              <w:ind w:firstLine="0"/>
            </w:pPr>
          </w:p>
        </w:tc>
        <w:tc>
          <w:tcPr>
            <w:tcW w:w="1549" w:type="dxa"/>
          </w:tcPr>
          <w:p w14:paraId="2238FF61" w14:textId="6AACD39B" w:rsidR="006F2AE3" w:rsidRPr="003D732D" w:rsidRDefault="006F2AE3" w:rsidP="00AE42D7">
            <w:pPr>
              <w:pStyle w:val="BodyText"/>
              <w:keepNext/>
              <w:tabs>
                <w:tab w:val="decimal" w:pos="646"/>
              </w:tabs>
              <w:spacing w:after="0"/>
              <w:ind w:firstLine="0"/>
            </w:pPr>
          </w:p>
        </w:tc>
      </w:tr>
      <w:tr w:rsidR="006F2AE3" w:rsidRPr="00500FE1" w14:paraId="4FF692C9" w14:textId="77777777" w:rsidTr="00AE42D7">
        <w:trPr>
          <w:jc w:val="center"/>
        </w:trPr>
        <w:tc>
          <w:tcPr>
            <w:tcW w:w="1568" w:type="dxa"/>
          </w:tcPr>
          <w:p w14:paraId="37538EFA" w14:textId="48C2E536" w:rsidR="006F2AE3" w:rsidRPr="003D732D" w:rsidRDefault="006F2AE3" w:rsidP="00AE42D7">
            <w:pPr>
              <w:pStyle w:val="BodyText"/>
              <w:keepNext/>
              <w:spacing w:after="0"/>
              <w:ind w:firstLine="0"/>
              <w:jc w:val="center"/>
            </w:pPr>
          </w:p>
        </w:tc>
        <w:tc>
          <w:tcPr>
            <w:tcW w:w="1672" w:type="dxa"/>
          </w:tcPr>
          <w:p w14:paraId="1BA0CC4A" w14:textId="79B3771C" w:rsidR="006F2AE3" w:rsidRPr="003D732D" w:rsidRDefault="006F2AE3" w:rsidP="00AE42D7">
            <w:pPr>
              <w:pStyle w:val="BodyText"/>
              <w:keepNext/>
              <w:tabs>
                <w:tab w:val="decimal" w:pos="1170"/>
              </w:tabs>
              <w:spacing w:after="0"/>
              <w:ind w:firstLine="0"/>
            </w:pPr>
          </w:p>
        </w:tc>
        <w:tc>
          <w:tcPr>
            <w:tcW w:w="1459" w:type="dxa"/>
          </w:tcPr>
          <w:p w14:paraId="02C9E098" w14:textId="4A0DA515" w:rsidR="006F2AE3" w:rsidRPr="003D732D" w:rsidRDefault="006F2AE3" w:rsidP="00AE42D7">
            <w:pPr>
              <w:pStyle w:val="BodyText"/>
              <w:keepNext/>
              <w:tabs>
                <w:tab w:val="decimal" w:pos="506"/>
              </w:tabs>
              <w:spacing w:after="0"/>
              <w:ind w:firstLine="0"/>
            </w:pPr>
          </w:p>
        </w:tc>
        <w:tc>
          <w:tcPr>
            <w:tcW w:w="1550" w:type="dxa"/>
          </w:tcPr>
          <w:p w14:paraId="15B9D30E" w14:textId="0A183CD6" w:rsidR="006F2AE3" w:rsidRPr="003D732D" w:rsidRDefault="006F2AE3" w:rsidP="00AE42D7">
            <w:pPr>
              <w:pStyle w:val="BodyText"/>
              <w:keepNext/>
              <w:tabs>
                <w:tab w:val="decimal" w:pos="527"/>
              </w:tabs>
              <w:spacing w:after="0"/>
              <w:ind w:firstLine="0"/>
            </w:pPr>
          </w:p>
        </w:tc>
        <w:tc>
          <w:tcPr>
            <w:tcW w:w="1549" w:type="dxa"/>
          </w:tcPr>
          <w:p w14:paraId="14E27D88" w14:textId="0B9C41AA" w:rsidR="006F2AE3" w:rsidRPr="003D732D" w:rsidRDefault="006F2AE3" w:rsidP="00AE42D7">
            <w:pPr>
              <w:pStyle w:val="BodyText"/>
              <w:keepNext/>
              <w:tabs>
                <w:tab w:val="decimal" w:pos="646"/>
              </w:tabs>
              <w:spacing w:after="0"/>
              <w:ind w:firstLine="0"/>
            </w:pPr>
          </w:p>
        </w:tc>
      </w:tr>
    </w:tbl>
    <w:p w14:paraId="43688A7A" w14:textId="77777777" w:rsidR="006F2AE3" w:rsidRDefault="006F2AE3" w:rsidP="006F2AE3">
      <w:pPr>
        <w:suppressAutoHyphens/>
        <w:jc w:val="center"/>
        <w:rPr>
          <w:szCs w:val="22"/>
        </w:rPr>
      </w:pPr>
    </w:p>
    <w:p w14:paraId="183415C0" w14:textId="7A089CE5" w:rsidR="006F2AE3" w:rsidRPr="00CA5652" w:rsidRDefault="006F2AE3" w:rsidP="006F2AE3">
      <w:pPr>
        <w:suppressAutoHyphens/>
        <w:jc w:val="center"/>
        <w:rPr>
          <w:szCs w:val="22"/>
        </w:rPr>
      </w:pPr>
      <w:r w:rsidRPr="00CA5652">
        <w:rPr>
          <w:szCs w:val="22"/>
        </w:rPr>
        <w:t>$</w:t>
      </w:r>
      <w:r w:rsidR="00033DFD">
        <w:rPr>
          <w:szCs w:val="22"/>
        </w:rPr>
        <w:t>[_____</w:t>
      </w:r>
      <w:proofErr w:type="gramStart"/>
      <w:r w:rsidR="00033DFD">
        <w:rPr>
          <w:szCs w:val="22"/>
        </w:rPr>
        <w:t>]</w:t>
      </w:r>
      <w:r>
        <w:rPr>
          <w:szCs w:val="22"/>
        </w:rPr>
        <w:t xml:space="preserve"> </w:t>
      </w:r>
      <w:r w:rsidRPr="00CA5652">
        <w:rPr>
          <w:szCs w:val="22"/>
        </w:rPr>
        <w:t xml:space="preserve"> </w:t>
      </w:r>
      <w:r w:rsidR="00033DFD">
        <w:rPr>
          <w:szCs w:val="22"/>
        </w:rPr>
        <w:t>[</w:t>
      </w:r>
      <w:proofErr w:type="gramEnd"/>
      <w:r w:rsidR="00033DFD">
        <w:rPr>
          <w:szCs w:val="22"/>
        </w:rPr>
        <w:t>____]</w:t>
      </w:r>
      <w:r w:rsidRPr="00CA5652">
        <w:rPr>
          <w:szCs w:val="22"/>
        </w:rPr>
        <w:t xml:space="preserve">% Term Bonds due </w:t>
      </w:r>
      <w:r>
        <w:rPr>
          <w:szCs w:val="22"/>
        </w:rPr>
        <w:t xml:space="preserve">December </w:t>
      </w:r>
      <w:r w:rsidRPr="00CA5652">
        <w:rPr>
          <w:szCs w:val="22"/>
        </w:rPr>
        <w:t>1, 20</w:t>
      </w:r>
      <w:r w:rsidR="00033DFD">
        <w:rPr>
          <w:szCs w:val="22"/>
        </w:rPr>
        <w:t>[__]</w:t>
      </w:r>
      <w:r>
        <w:rPr>
          <w:szCs w:val="22"/>
        </w:rPr>
        <w:t xml:space="preserve"> – Yield </w:t>
      </w:r>
      <w:r w:rsidR="00033DFD">
        <w:rPr>
          <w:szCs w:val="22"/>
        </w:rPr>
        <w:t>[_____]</w:t>
      </w:r>
      <w:r>
        <w:rPr>
          <w:szCs w:val="22"/>
        </w:rPr>
        <w:t xml:space="preserve">%; Price </w:t>
      </w:r>
      <w:r w:rsidR="00033DFD">
        <w:rPr>
          <w:szCs w:val="22"/>
        </w:rPr>
        <w:t>[____]</w:t>
      </w:r>
    </w:p>
    <w:p w14:paraId="213312F6" w14:textId="77777777" w:rsidR="006F2AE3" w:rsidRDefault="006F2AE3" w:rsidP="006F2AE3">
      <w:pPr>
        <w:suppressAutoHyphens/>
        <w:jc w:val="center"/>
        <w:rPr>
          <w:szCs w:val="22"/>
        </w:rPr>
      </w:pPr>
    </w:p>
    <w:p w14:paraId="27DD82E0" w14:textId="5B6DD250" w:rsidR="006F2AE3" w:rsidRDefault="006F2AE3" w:rsidP="006F2AE3">
      <w:pPr>
        <w:suppressAutoHyphens/>
        <w:rPr>
          <w:szCs w:val="22"/>
        </w:rPr>
      </w:pPr>
    </w:p>
    <w:p w14:paraId="15000DD5" w14:textId="77777777" w:rsidR="003B718B" w:rsidRDefault="003B718B" w:rsidP="003B718B">
      <w:pPr>
        <w:spacing w:after="240"/>
        <w:jc w:val="center"/>
      </w:pPr>
      <w:r>
        <w:rPr>
          <w:u w:val="single"/>
        </w:rPr>
        <w:t>Optional and Mandatory Redemption</w:t>
      </w:r>
    </w:p>
    <w:p w14:paraId="6E313F45" w14:textId="6FFCCA5B" w:rsidR="00033DFD" w:rsidRDefault="003B718B" w:rsidP="003B718B">
      <w:pPr>
        <w:pStyle w:val="ArticleL3"/>
        <w:numPr>
          <w:ilvl w:val="0"/>
          <w:numId w:val="0"/>
        </w:numPr>
        <w:tabs>
          <w:tab w:val="left" w:pos="720"/>
        </w:tabs>
        <w:ind w:firstLine="720"/>
      </w:pPr>
      <w:r>
        <w:rPr>
          <w:b/>
          <w:bCs/>
          <w:i/>
          <w:iCs/>
        </w:rPr>
        <w:t>Optional Redemption</w:t>
      </w:r>
      <w:r>
        <w:t xml:space="preserve">.  </w:t>
      </w:r>
      <w:r w:rsidR="00033DFD" w:rsidRPr="00033DFD">
        <w:t>The Bonds maturing on and after December 1, 20</w:t>
      </w:r>
      <w:r w:rsidR="00033DFD">
        <w:t>[</w:t>
      </w:r>
      <w:r w:rsidR="00033DFD" w:rsidRPr="00033DFD">
        <w:t>__</w:t>
      </w:r>
      <w:r w:rsidR="00033DFD">
        <w:t>]</w:t>
      </w:r>
      <w:r w:rsidR="00033DFD" w:rsidRPr="00033DFD">
        <w:t xml:space="preserve"> are subject to redemption at the option of</w:t>
      </w:r>
      <w:r w:rsidR="00033DFD">
        <w:t xml:space="preserve"> the Enterprise</w:t>
      </w:r>
      <w:r w:rsidR="00033DFD" w:rsidRPr="00033DFD">
        <w:t xml:space="preserve">, in whole or in part, and if in part in Authorized Denominations, in such maturities as </w:t>
      </w:r>
      <w:r w:rsidR="00033DFD">
        <w:t xml:space="preserve">the Enterprise </w:t>
      </w:r>
      <w:r w:rsidR="00033DFD" w:rsidRPr="00033DFD">
        <w:t xml:space="preserve">may select and by lot within a maturity, on and after </w:t>
      </w:r>
      <w:r w:rsidR="00033DFD">
        <w:t>[________]</w:t>
      </w:r>
      <w:r w:rsidR="00033DFD" w:rsidRPr="00033DFD">
        <w:t xml:space="preserve"> 1, 20</w:t>
      </w:r>
      <w:r w:rsidR="00480E6F">
        <w:t>[</w:t>
      </w:r>
      <w:r w:rsidR="00033DFD" w:rsidRPr="00033DFD">
        <w:t>__</w:t>
      </w:r>
      <w:r w:rsidR="00480E6F">
        <w:t>]</w:t>
      </w:r>
      <w:r w:rsidR="00033DFD" w:rsidRPr="00033DFD">
        <w:t>, at a redemption price equal to the principal amount of the Bonds to be redeemed (with no premium), plus accrued interest to the redemption date.</w:t>
      </w:r>
    </w:p>
    <w:p w14:paraId="534F202B" w14:textId="32E3D844" w:rsidR="003B718B" w:rsidRDefault="003B718B" w:rsidP="003B718B">
      <w:pPr>
        <w:pStyle w:val="ArticleL3"/>
        <w:numPr>
          <w:ilvl w:val="0"/>
          <w:numId w:val="0"/>
        </w:numPr>
        <w:tabs>
          <w:tab w:val="left" w:pos="720"/>
        </w:tabs>
        <w:ind w:firstLine="720"/>
      </w:pPr>
      <w:r>
        <w:rPr>
          <w:b/>
          <w:bCs/>
          <w:i/>
          <w:iCs/>
        </w:rPr>
        <w:t>Mandatory Sinking Fund Redemption</w:t>
      </w:r>
      <w:r w:rsidR="00D43568">
        <w:t>.  The Bon</w:t>
      </w:r>
      <w:r w:rsidR="008664C5">
        <w:t>ds maturing on December 1, 20</w:t>
      </w:r>
      <w:r w:rsidR="00480E6F">
        <w:t>[__]</w:t>
      </w:r>
      <w:r>
        <w:t xml:space="preserve"> are subject to mandatory sinking fund redemption on </w:t>
      </w:r>
      <w:r w:rsidR="00D43568">
        <w:t>December 1</w:t>
      </w:r>
      <w:r>
        <w:t xml:space="preserve"> of the years and in the principal amounts set forth </w:t>
      </w:r>
      <w:r w:rsidR="00361CF7">
        <w:t xml:space="preserve">in the table </w:t>
      </w:r>
      <w:r>
        <w:t>below at a redemption price equal to the principal amount thereof (with no premium), plus accrued interest to the redemption date.  The Bonds maturing on such</w:t>
      </w:r>
      <w:r w:rsidR="00D43568">
        <w:t xml:space="preserve"> date </w:t>
      </w:r>
      <w:r w:rsidR="00480E6F">
        <w:t>will</w:t>
      </w:r>
      <w:r>
        <w:t xml:space="preserve"> be selected for redemption on each mandatory sinking fund redemption date by lot from all remaining Bonds maturing on such date.</w:t>
      </w:r>
    </w:p>
    <w:tbl>
      <w:tblPr>
        <w:tblW w:w="0" w:type="auto"/>
        <w:jc w:val="center"/>
        <w:tblCellMar>
          <w:left w:w="0" w:type="dxa"/>
          <w:right w:w="0" w:type="dxa"/>
        </w:tblCellMar>
        <w:tblLook w:val="04A0" w:firstRow="1" w:lastRow="0" w:firstColumn="1" w:lastColumn="0" w:noHBand="0" w:noVBand="1"/>
      </w:tblPr>
      <w:tblGrid>
        <w:gridCol w:w="4180"/>
        <w:gridCol w:w="2255"/>
      </w:tblGrid>
      <w:tr w:rsidR="003B718B" w14:paraId="01B786F6" w14:textId="77777777" w:rsidTr="003B718B">
        <w:trPr>
          <w:jc w:val="center"/>
        </w:trPr>
        <w:tc>
          <w:tcPr>
            <w:tcW w:w="4180" w:type="dxa"/>
            <w:tcMar>
              <w:top w:w="0" w:type="dxa"/>
              <w:left w:w="108" w:type="dxa"/>
              <w:bottom w:w="0" w:type="dxa"/>
              <w:right w:w="108" w:type="dxa"/>
            </w:tcMar>
            <w:vAlign w:val="bottom"/>
            <w:hideMark/>
          </w:tcPr>
          <w:p w14:paraId="1D920277" w14:textId="6579DFDF" w:rsidR="003B718B" w:rsidRDefault="003B718B">
            <w:pPr>
              <w:pStyle w:val="BodyText"/>
              <w:keepNext/>
              <w:keepLines/>
              <w:spacing w:after="120"/>
              <w:ind w:firstLine="0"/>
              <w:jc w:val="center"/>
              <w:rPr>
                <w:b/>
              </w:rPr>
            </w:pPr>
            <w:r>
              <w:rPr>
                <w:b/>
              </w:rPr>
              <w:t>Mandatory Sinking Fu</w:t>
            </w:r>
            <w:r w:rsidR="00D43568">
              <w:rPr>
                <w:b/>
              </w:rPr>
              <w:t xml:space="preserve">nd </w:t>
            </w:r>
            <w:r w:rsidR="00D43568">
              <w:rPr>
                <w:b/>
              </w:rPr>
              <w:br/>
              <w:t>Redemption Date</w:t>
            </w:r>
            <w:r w:rsidR="00D43568">
              <w:rPr>
                <w:b/>
              </w:rPr>
              <w:br/>
              <w:t>(December 1</w:t>
            </w:r>
            <w:r>
              <w:rPr>
                <w:b/>
              </w:rPr>
              <w:t>)</w:t>
            </w:r>
          </w:p>
        </w:tc>
        <w:tc>
          <w:tcPr>
            <w:tcW w:w="2255" w:type="dxa"/>
            <w:tcMar>
              <w:top w:w="0" w:type="dxa"/>
              <w:left w:w="108" w:type="dxa"/>
              <w:bottom w:w="0" w:type="dxa"/>
              <w:right w:w="108" w:type="dxa"/>
            </w:tcMar>
            <w:vAlign w:val="bottom"/>
            <w:hideMark/>
          </w:tcPr>
          <w:p w14:paraId="057557D7" w14:textId="77777777" w:rsidR="003B718B" w:rsidRDefault="003B718B">
            <w:pPr>
              <w:pStyle w:val="BodyText"/>
              <w:keepNext/>
              <w:keepLines/>
              <w:spacing w:after="120"/>
              <w:ind w:firstLine="0"/>
              <w:jc w:val="center"/>
              <w:rPr>
                <w:b/>
              </w:rPr>
            </w:pPr>
            <w:r>
              <w:rPr>
                <w:b/>
              </w:rPr>
              <w:t>Principal Amount</w:t>
            </w:r>
          </w:p>
        </w:tc>
      </w:tr>
      <w:tr w:rsidR="003B718B" w14:paraId="3933EC9A" w14:textId="77777777" w:rsidTr="003B718B">
        <w:trPr>
          <w:jc w:val="center"/>
        </w:trPr>
        <w:tc>
          <w:tcPr>
            <w:tcW w:w="4180" w:type="dxa"/>
            <w:tcMar>
              <w:top w:w="0" w:type="dxa"/>
              <w:left w:w="108" w:type="dxa"/>
              <w:bottom w:w="0" w:type="dxa"/>
              <w:right w:w="108" w:type="dxa"/>
            </w:tcMar>
          </w:tcPr>
          <w:p w14:paraId="78C13327" w14:textId="184769D8" w:rsidR="003B718B" w:rsidRDefault="003B718B">
            <w:pPr>
              <w:pStyle w:val="BodyText"/>
              <w:spacing w:after="0"/>
              <w:ind w:left="1609" w:firstLine="0"/>
              <w:jc w:val="left"/>
            </w:pPr>
          </w:p>
        </w:tc>
        <w:tc>
          <w:tcPr>
            <w:tcW w:w="2255" w:type="dxa"/>
            <w:tcMar>
              <w:top w:w="0" w:type="dxa"/>
              <w:left w:w="108" w:type="dxa"/>
              <w:bottom w:w="0" w:type="dxa"/>
              <w:right w:w="108" w:type="dxa"/>
            </w:tcMar>
          </w:tcPr>
          <w:p w14:paraId="26D44A52" w14:textId="6EFE4AEA" w:rsidR="003B718B" w:rsidRDefault="00225DB9" w:rsidP="00225DB9">
            <w:pPr>
              <w:pStyle w:val="BodyText"/>
              <w:tabs>
                <w:tab w:val="decimal" w:pos="1543"/>
              </w:tabs>
              <w:spacing w:after="0"/>
              <w:ind w:firstLine="0"/>
            </w:pPr>
            <w:r>
              <w:t>$</w:t>
            </w:r>
            <w:r w:rsidR="008664C5">
              <w:t xml:space="preserve"> </w:t>
            </w:r>
          </w:p>
        </w:tc>
      </w:tr>
      <w:tr w:rsidR="003B718B" w14:paraId="7AB97C04" w14:textId="77777777" w:rsidTr="003B718B">
        <w:trPr>
          <w:jc w:val="center"/>
        </w:trPr>
        <w:tc>
          <w:tcPr>
            <w:tcW w:w="4180" w:type="dxa"/>
            <w:tcMar>
              <w:top w:w="0" w:type="dxa"/>
              <w:left w:w="108" w:type="dxa"/>
              <w:bottom w:w="0" w:type="dxa"/>
              <w:right w:w="108" w:type="dxa"/>
            </w:tcMar>
          </w:tcPr>
          <w:p w14:paraId="1808AE5C" w14:textId="4D93808A" w:rsidR="003B718B" w:rsidRDefault="003B718B">
            <w:pPr>
              <w:pStyle w:val="BodyText"/>
              <w:spacing w:after="0"/>
              <w:ind w:left="1609" w:firstLine="0"/>
              <w:jc w:val="left"/>
            </w:pPr>
          </w:p>
        </w:tc>
        <w:tc>
          <w:tcPr>
            <w:tcW w:w="2255" w:type="dxa"/>
            <w:tcMar>
              <w:top w:w="0" w:type="dxa"/>
              <w:left w:w="108" w:type="dxa"/>
              <w:bottom w:w="0" w:type="dxa"/>
              <w:right w:w="108" w:type="dxa"/>
            </w:tcMar>
          </w:tcPr>
          <w:p w14:paraId="2015ADCE" w14:textId="0AE44582" w:rsidR="003B718B" w:rsidRDefault="003B718B">
            <w:pPr>
              <w:pStyle w:val="BodyText"/>
              <w:tabs>
                <w:tab w:val="decimal" w:pos="1543"/>
              </w:tabs>
              <w:spacing w:after="0"/>
              <w:ind w:firstLine="0"/>
            </w:pPr>
          </w:p>
        </w:tc>
      </w:tr>
      <w:tr w:rsidR="003B718B" w14:paraId="2A0F9140" w14:textId="77777777" w:rsidTr="003B718B">
        <w:trPr>
          <w:jc w:val="center"/>
        </w:trPr>
        <w:tc>
          <w:tcPr>
            <w:tcW w:w="4180" w:type="dxa"/>
            <w:tcMar>
              <w:top w:w="0" w:type="dxa"/>
              <w:left w:w="108" w:type="dxa"/>
              <w:bottom w:w="0" w:type="dxa"/>
              <w:right w:w="108" w:type="dxa"/>
            </w:tcMar>
            <w:hideMark/>
          </w:tcPr>
          <w:p w14:paraId="38D7B0E5" w14:textId="53B16BA7" w:rsidR="003B718B" w:rsidRDefault="003B718B">
            <w:pPr>
              <w:pStyle w:val="BodyText"/>
              <w:spacing w:after="0"/>
              <w:ind w:left="1609" w:firstLine="0"/>
              <w:jc w:val="left"/>
              <w:rPr>
                <w:vertAlign w:val="superscript"/>
              </w:rPr>
            </w:pPr>
          </w:p>
        </w:tc>
        <w:tc>
          <w:tcPr>
            <w:tcW w:w="2255" w:type="dxa"/>
            <w:tcMar>
              <w:top w:w="0" w:type="dxa"/>
              <w:left w:w="108" w:type="dxa"/>
              <w:bottom w:w="0" w:type="dxa"/>
              <w:right w:w="108" w:type="dxa"/>
            </w:tcMar>
          </w:tcPr>
          <w:p w14:paraId="45AA1C61" w14:textId="726319E5" w:rsidR="003B718B" w:rsidRDefault="003B718B">
            <w:pPr>
              <w:pStyle w:val="BodyText"/>
              <w:tabs>
                <w:tab w:val="decimal" w:pos="1543"/>
              </w:tabs>
              <w:spacing w:after="0"/>
              <w:ind w:firstLine="0"/>
            </w:pPr>
          </w:p>
        </w:tc>
      </w:tr>
      <w:tr w:rsidR="00D43568" w14:paraId="293913E2" w14:textId="77777777" w:rsidTr="003B718B">
        <w:trPr>
          <w:jc w:val="center"/>
        </w:trPr>
        <w:tc>
          <w:tcPr>
            <w:tcW w:w="4180" w:type="dxa"/>
            <w:tcMar>
              <w:top w:w="0" w:type="dxa"/>
              <w:left w:w="108" w:type="dxa"/>
              <w:bottom w:w="0" w:type="dxa"/>
              <w:right w:w="108" w:type="dxa"/>
            </w:tcMar>
          </w:tcPr>
          <w:p w14:paraId="2226377B" w14:textId="507A6536" w:rsidR="00D43568" w:rsidRDefault="00D43568">
            <w:pPr>
              <w:pStyle w:val="BodyText"/>
              <w:spacing w:after="0"/>
              <w:ind w:left="1609" w:firstLine="0"/>
              <w:jc w:val="left"/>
            </w:pPr>
          </w:p>
        </w:tc>
        <w:tc>
          <w:tcPr>
            <w:tcW w:w="2255" w:type="dxa"/>
            <w:tcMar>
              <w:top w:w="0" w:type="dxa"/>
              <w:left w:w="108" w:type="dxa"/>
              <w:bottom w:w="0" w:type="dxa"/>
              <w:right w:w="108" w:type="dxa"/>
            </w:tcMar>
          </w:tcPr>
          <w:p w14:paraId="2F2B3FBD" w14:textId="7EFC3A84" w:rsidR="00D43568" w:rsidRDefault="00D43568">
            <w:pPr>
              <w:pStyle w:val="BodyText"/>
              <w:tabs>
                <w:tab w:val="decimal" w:pos="1543"/>
              </w:tabs>
              <w:spacing w:after="0"/>
              <w:ind w:firstLine="0"/>
            </w:pPr>
          </w:p>
        </w:tc>
      </w:tr>
      <w:tr w:rsidR="00D43568" w14:paraId="198432B3" w14:textId="77777777" w:rsidTr="003B718B">
        <w:trPr>
          <w:jc w:val="center"/>
        </w:trPr>
        <w:tc>
          <w:tcPr>
            <w:tcW w:w="4180" w:type="dxa"/>
            <w:tcMar>
              <w:top w:w="0" w:type="dxa"/>
              <w:left w:w="108" w:type="dxa"/>
              <w:bottom w:w="0" w:type="dxa"/>
              <w:right w:w="108" w:type="dxa"/>
            </w:tcMar>
          </w:tcPr>
          <w:p w14:paraId="7DFF2247" w14:textId="23B729C2" w:rsidR="00D43568" w:rsidRDefault="00D43568">
            <w:pPr>
              <w:pStyle w:val="BodyText"/>
              <w:spacing w:after="0"/>
              <w:ind w:left="1609" w:firstLine="0"/>
              <w:jc w:val="left"/>
            </w:pPr>
            <w:r w:rsidRPr="00D43568">
              <w:rPr>
                <w:vertAlign w:val="superscript"/>
              </w:rPr>
              <w:t>*</w:t>
            </w:r>
          </w:p>
        </w:tc>
        <w:tc>
          <w:tcPr>
            <w:tcW w:w="2255" w:type="dxa"/>
            <w:tcMar>
              <w:top w:w="0" w:type="dxa"/>
              <w:left w:w="108" w:type="dxa"/>
              <w:bottom w:w="0" w:type="dxa"/>
              <w:right w:w="108" w:type="dxa"/>
            </w:tcMar>
          </w:tcPr>
          <w:p w14:paraId="3FD2EABD" w14:textId="0CE6B066" w:rsidR="00D43568" w:rsidRDefault="00D43568">
            <w:pPr>
              <w:pStyle w:val="BodyText"/>
              <w:tabs>
                <w:tab w:val="decimal" w:pos="1543"/>
              </w:tabs>
              <w:spacing w:after="0"/>
              <w:ind w:firstLine="0"/>
            </w:pPr>
          </w:p>
        </w:tc>
      </w:tr>
      <w:tr w:rsidR="003B718B" w14:paraId="0D63BCE0" w14:textId="77777777" w:rsidTr="003B718B">
        <w:trPr>
          <w:jc w:val="center"/>
        </w:trPr>
        <w:tc>
          <w:tcPr>
            <w:tcW w:w="6435" w:type="dxa"/>
            <w:gridSpan w:val="2"/>
            <w:tcMar>
              <w:top w:w="0" w:type="dxa"/>
              <w:left w:w="108" w:type="dxa"/>
              <w:bottom w:w="0" w:type="dxa"/>
              <w:right w:w="108" w:type="dxa"/>
            </w:tcMar>
            <w:hideMark/>
          </w:tcPr>
          <w:p w14:paraId="32442030" w14:textId="77777777" w:rsidR="003B718B" w:rsidRDefault="003B718B">
            <w:pPr>
              <w:pStyle w:val="BodyText"/>
              <w:spacing w:after="0"/>
              <w:ind w:firstLine="0"/>
              <w:rPr>
                <w:sz w:val="20"/>
              </w:rPr>
            </w:pPr>
            <w:r>
              <w:rPr>
                <w:sz w:val="20"/>
              </w:rPr>
              <w:t>___________________</w:t>
            </w:r>
          </w:p>
          <w:p w14:paraId="7A93A667" w14:textId="77777777" w:rsidR="003B718B" w:rsidRDefault="003B718B">
            <w:pPr>
              <w:pStyle w:val="BodyText"/>
              <w:spacing w:after="0"/>
              <w:ind w:firstLine="0"/>
              <w:rPr>
                <w:sz w:val="20"/>
              </w:rPr>
            </w:pPr>
            <w:r>
              <w:rPr>
                <w:sz w:val="20"/>
                <w:vertAlign w:val="superscript"/>
              </w:rPr>
              <w:t>*</w:t>
            </w:r>
            <w:r>
              <w:rPr>
                <w:sz w:val="20"/>
              </w:rPr>
              <w:t xml:space="preserve"> Maturity date</w:t>
            </w:r>
          </w:p>
        </w:tc>
      </w:tr>
    </w:tbl>
    <w:p w14:paraId="46FB0BF2" w14:textId="038526AE" w:rsidR="00D43568" w:rsidRDefault="00D43568" w:rsidP="003B718B"/>
    <w:p w14:paraId="42068EAE" w14:textId="354608F3" w:rsidR="003B718B" w:rsidRDefault="003B718B" w:rsidP="003B718B">
      <w:pPr>
        <w:pStyle w:val="BodyText"/>
      </w:pPr>
      <w:r>
        <w:t xml:space="preserve">At its option, to be exercised on or before the forty-fifth day next preceding each mandatory sinking fund redemption date, the Enterprise may (i) deliver to the </w:t>
      </w:r>
      <w:r w:rsidR="00AA3720">
        <w:t xml:space="preserve">Senior </w:t>
      </w:r>
      <w:r>
        <w:t xml:space="preserve">Trustee for cancellation any Bond and (ii) receive a credit in respect of its mandatory sinking fund redemption obligation </w:t>
      </w:r>
      <w:r>
        <w:lastRenderedPageBreak/>
        <w:t>for any Bonds which, prior to such date, have been</w:t>
      </w:r>
      <w:r w:rsidR="00480E6F">
        <w:t xml:space="preserve"> optionally redeemed</w:t>
      </w:r>
      <w:r>
        <w:t xml:space="preserve"> and cancelled and not theretofore applied as a credit against any mandatory sinking fund redemption obligation.  Each Bond so delivered or previously redeemed shall be credited at the principal amount thereof to the mandatory sinking fund redemption obligation on the mandatory sinking fund redemption dates by lot, and the principal amount of Bonds to be redeemed as part of such mandatory sinking fund redemption on such dates </w:t>
      </w:r>
      <w:r w:rsidR="00480E6F">
        <w:t>will</w:t>
      </w:r>
      <w:r>
        <w:t xml:space="preserve"> be accordingly reduced.</w:t>
      </w:r>
    </w:p>
    <w:p w14:paraId="109C6F92" w14:textId="77777777" w:rsidR="003B718B" w:rsidRDefault="003B718B" w:rsidP="003B718B"/>
    <w:p w14:paraId="5C70FD05" w14:textId="77777777" w:rsidR="003B718B" w:rsidRDefault="003B718B" w:rsidP="003B718B">
      <w:pPr>
        <w:sectPr w:rsidR="003B718B" w:rsidSect="000C398D">
          <w:footerReference w:type="default" r:id="rId15"/>
          <w:pgSz w:w="12240" w:h="15840"/>
          <w:pgMar w:top="1440" w:right="1440" w:bottom="1440" w:left="1440" w:header="720" w:footer="720" w:gutter="0"/>
          <w:pgNumType w:start="1"/>
          <w:cols w:space="720"/>
          <w:docGrid w:linePitch="326"/>
        </w:sectPr>
      </w:pPr>
    </w:p>
    <w:p w14:paraId="75A77F81" w14:textId="77777777" w:rsidR="003B718B" w:rsidRDefault="003B718B" w:rsidP="003B718B">
      <w:pPr>
        <w:jc w:val="center"/>
        <w:rPr>
          <w:b/>
          <w:u w:val="single"/>
        </w:rPr>
      </w:pPr>
      <w:r>
        <w:rPr>
          <w:b/>
          <w:u w:val="single"/>
        </w:rPr>
        <w:lastRenderedPageBreak/>
        <w:t>EXHIBIT A</w:t>
      </w:r>
    </w:p>
    <w:p w14:paraId="35D37E23" w14:textId="77777777" w:rsidR="003B718B" w:rsidRDefault="003B718B" w:rsidP="003B718B">
      <w:pPr>
        <w:jc w:val="center"/>
        <w:rPr>
          <w:b/>
          <w:u w:val="single"/>
        </w:rPr>
      </w:pPr>
    </w:p>
    <w:p w14:paraId="1D6D5E6B" w14:textId="1DA169CF" w:rsidR="003B718B" w:rsidRDefault="003B718B" w:rsidP="0080532E">
      <w:pPr>
        <w:ind w:hanging="10"/>
        <w:jc w:val="center"/>
      </w:pPr>
      <w:r>
        <w:rPr>
          <w:b/>
        </w:rPr>
        <w:t>$</w:t>
      </w:r>
      <w:r w:rsidR="004247C5">
        <w:rPr>
          <w:b/>
        </w:rPr>
        <w:t>[______]</w:t>
      </w:r>
    </w:p>
    <w:p w14:paraId="37A554BE" w14:textId="53E099E3" w:rsidR="003B718B" w:rsidRDefault="003B718B" w:rsidP="0080532E">
      <w:pPr>
        <w:spacing w:after="157"/>
        <w:ind w:hanging="10"/>
        <w:jc w:val="center"/>
        <w:rPr>
          <w:b/>
        </w:rPr>
      </w:pPr>
      <w:r>
        <w:rPr>
          <w:b/>
        </w:rPr>
        <w:t>Colorado Bridge and Tunnel Enterprise</w:t>
      </w:r>
      <w:r>
        <w:rPr>
          <w:b/>
        </w:rPr>
        <w:br/>
      </w:r>
      <w:r w:rsidR="00FA52E0">
        <w:rPr>
          <w:b/>
        </w:rPr>
        <w:t xml:space="preserve">Senior </w:t>
      </w:r>
      <w:r>
        <w:rPr>
          <w:b/>
        </w:rPr>
        <w:t>Revenue</w:t>
      </w:r>
      <w:r w:rsidR="004247C5">
        <w:rPr>
          <w:b/>
        </w:rPr>
        <w:t xml:space="preserve"> Refunding</w:t>
      </w:r>
      <w:r>
        <w:rPr>
          <w:b/>
        </w:rPr>
        <w:t xml:space="preserve"> Bonds</w:t>
      </w:r>
      <w:r w:rsidR="0080532E">
        <w:rPr>
          <w:b/>
        </w:rPr>
        <w:br/>
      </w:r>
      <w:r w:rsidR="004247C5">
        <w:rPr>
          <w:b/>
        </w:rPr>
        <w:t>Series 2024B</w:t>
      </w:r>
    </w:p>
    <w:p w14:paraId="5CB0BF7C" w14:textId="77777777" w:rsidR="003B718B" w:rsidRDefault="003B718B" w:rsidP="0080532E">
      <w:pPr>
        <w:spacing w:after="157"/>
        <w:ind w:hanging="10"/>
        <w:jc w:val="center"/>
      </w:pPr>
      <w:r>
        <w:rPr>
          <w:b/>
        </w:rPr>
        <w:t xml:space="preserve">ISSUE PRICE CERTIFICATE </w:t>
      </w:r>
    </w:p>
    <w:p w14:paraId="65605B81" w14:textId="51E8E46B" w:rsidR="003B718B" w:rsidRDefault="003B718B" w:rsidP="00E740A1">
      <w:pPr>
        <w:spacing w:after="155" w:line="261" w:lineRule="auto"/>
        <w:ind w:left="465" w:right="8" w:firstLine="710"/>
        <w:jc w:val="both"/>
      </w:pPr>
      <w:r>
        <w:t xml:space="preserve">The undersigned, on behalf of </w:t>
      </w:r>
      <w:r w:rsidR="000707D0" w:rsidRPr="000707D0">
        <w:t xml:space="preserve">Wells Fargo </w:t>
      </w:r>
      <w:r w:rsidR="00E06091">
        <w:t>Bank, National Association</w:t>
      </w:r>
      <w:r>
        <w:t xml:space="preserve"> (the “</w:t>
      </w:r>
      <w:r>
        <w:rPr>
          <w:u w:val="single"/>
        </w:rPr>
        <w:t>Representative</w:t>
      </w:r>
      <w:r>
        <w:t>”),</w:t>
      </w:r>
      <w:r w:rsidR="004247C5">
        <w:t xml:space="preserve"> </w:t>
      </w:r>
      <w:r>
        <w:t xml:space="preserve">on behalf of itself and </w:t>
      </w:r>
      <w:r w:rsidR="004247C5" w:rsidRPr="004247C5">
        <w:rPr>
          <w:rFonts w:eastAsia="Calibri"/>
          <w:szCs w:val="24"/>
        </w:rPr>
        <w:t>Jefferies LLC, Loop Capital Markets LLC, Piper Sandler &amp; Co., RBC Capital Markets LLC, and Siebert Williams Shank &amp; Co., LLC</w:t>
      </w:r>
      <w:r>
        <w:t xml:space="preserve"> (together, the “</w:t>
      </w:r>
      <w:r>
        <w:rPr>
          <w:u w:val="single"/>
        </w:rPr>
        <w:t>Underwriting Group</w:t>
      </w:r>
      <w:r>
        <w:t>”), hereby certifies as set forth below with respect to the sale and issuance of the above-captioned obligations (the “</w:t>
      </w:r>
      <w:r>
        <w:rPr>
          <w:u w:val="single"/>
        </w:rPr>
        <w:t>Bonds</w:t>
      </w:r>
      <w:r>
        <w:t>”).</w:t>
      </w:r>
    </w:p>
    <w:p w14:paraId="5F25409A" w14:textId="295700AF" w:rsidR="003B718B" w:rsidRPr="00E740A1" w:rsidRDefault="003B718B" w:rsidP="00E740A1">
      <w:pPr>
        <w:numPr>
          <w:ilvl w:val="0"/>
          <w:numId w:val="8"/>
        </w:numPr>
        <w:spacing w:after="185" w:line="261" w:lineRule="auto"/>
        <w:ind w:right="8" w:firstLine="710"/>
        <w:jc w:val="both"/>
      </w:pPr>
      <w:r>
        <w:t xml:space="preserve"> </w:t>
      </w:r>
      <w:r>
        <w:rPr>
          <w:b/>
          <w:i/>
        </w:rPr>
        <w:t>Sale of the Bonds</w:t>
      </w:r>
      <w:r>
        <w:t>.  As of the date of this certificate, for each Maturity of the Bonds, the first price at which at least 10% of such Maturity of the Bonds was sold to the Public is the respect</w:t>
      </w:r>
      <w:r w:rsidR="00E740A1">
        <w:t>ive price listed in Schedule A.</w:t>
      </w:r>
      <w:r>
        <w:rPr>
          <w:sz w:val="20"/>
        </w:rPr>
        <w:t xml:space="preserve"> </w:t>
      </w:r>
    </w:p>
    <w:p w14:paraId="332C2C5D" w14:textId="6F922EF0" w:rsidR="003B718B" w:rsidRDefault="003B718B" w:rsidP="003B718B">
      <w:pPr>
        <w:tabs>
          <w:tab w:val="center" w:pos="1283"/>
          <w:tab w:val="center" w:pos="2622"/>
        </w:tabs>
        <w:spacing w:after="159" w:line="259" w:lineRule="auto"/>
      </w:pPr>
      <w:r>
        <w:tab/>
      </w:r>
      <w:r w:rsidR="00C11E4E">
        <w:t>2</w:t>
      </w:r>
      <w:r>
        <w:t>.</w:t>
      </w:r>
      <w:r>
        <w:tab/>
      </w:r>
      <w:r>
        <w:rPr>
          <w:b/>
          <w:i/>
        </w:rPr>
        <w:t>Defined Terms</w:t>
      </w:r>
      <w:r>
        <w:t>.</w:t>
      </w:r>
    </w:p>
    <w:p w14:paraId="40AEAC26" w14:textId="5B5FECA5" w:rsidR="003B718B" w:rsidRDefault="003B718B" w:rsidP="003B718B">
      <w:pPr>
        <w:tabs>
          <w:tab w:val="left" w:pos="1890"/>
        </w:tabs>
        <w:spacing w:after="163" w:line="256" w:lineRule="auto"/>
        <w:ind w:left="466" w:right="10" w:firstLine="710"/>
        <w:jc w:val="both"/>
      </w:pPr>
      <w:r>
        <w:t>(a)</w:t>
      </w:r>
      <w:r>
        <w:tab/>
      </w:r>
      <w:r>
        <w:rPr>
          <w:i/>
        </w:rPr>
        <w:t>Enterprise</w:t>
      </w:r>
      <w:r>
        <w:t xml:space="preserve"> means the Colorado Statewide Bridge and Tunnel Enterprise, a government-owned business within the Colorado Department of Transportation created by the Funding Advancements for Surface Transportation and Economic Recovery Act of 2009, C.R.S. </w:t>
      </w:r>
      <w:r w:rsidR="00E06091">
        <w:t>T</w:t>
      </w:r>
      <w:r>
        <w:t xml:space="preserve">itle 43, </w:t>
      </w:r>
      <w:r w:rsidR="00E06091">
        <w:t>Article </w:t>
      </w:r>
      <w:r>
        <w:t xml:space="preserve">4, </w:t>
      </w:r>
      <w:r w:rsidR="00E06091">
        <w:t>Part </w:t>
      </w:r>
      <w:r>
        <w:t>8, as amended.</w:t>
      </w:r>
    </w:p>
    <w:p w14:paraId="76E8FCDC" w14:textId="4EEBCD31" w:rsidR="003B718B" w:rsidRDefault="00EE5813" w:rsidP="003B718B">
      <w:pPr>
        <w:tabs>
          <w:tab w:val="left" w:pos="1890"/>
        </w:tabs>
        <w:spacing w:after="187" w:line="256" w:lineRule="auto"/>
        <w:ind w:left="466" w:right="10" w:firstLine="710"/>
        <w:jc w:val="both"/>
      </w:pPr>
      <w:r>
        <w:t>(b</w:t>
      </w:r>
      <w:r w:rsidR="003B718B">
        <w:t>)</w:t>
      </w:r>
      <w:r w:rsidR="003B718B">
        <w:rPr>
          <w:i/>
        </w:rPr>
        <w:tab/>
        <w:t>Maturity</w:t>
      </w:r>
      <w:r w:rsidR="003B718B">
        <w:t xml:space="preserve"> means Bonds with the same credit and payment terms.  Bonds with different maturity dates, or Bonds with the same maturity date but different stated interest rates, are treated as separate maturities. </w:t>
      </w:r>
    </w:p>
    <w:p w14:paraId="63398DF0" w14:textId="7CA853E1" w:rsidR="003B718B" w:rsidRDefault="00EE5813" w:rsidP="003B718B">
      <w:pPr>
        <w:tabs>
          <w:tab w:val="left" w:pos="1890"/>
        </w:tabs>
        <w:spacing w:after="187" w:line="256" w:lineRule="auto"/>
        <w:ind w:left="466" w:right="10" w:firstLine="710"/>
        <w:jc w:val="both"/>
      </w:pPr>
      <w:r>
        <w:t>(c</w:t>
      </w:r>
      <w:r w:rsidR="003B718B">
        <w:t>)</w:t>
      </w:r>
      <w:r w:rsidR="003B718B">
        <w:tab/>
      </w:r>
      <w:r w:rsidR="003B718B">
        <w:rPr>
          <w:i/>
        </w:rPr>
        <w:t>Public</w:t>
      </w:r>
      <w:r w:rsidR="003B718B">
        <w:t xml:space="preserve"> means any person (including an individual, trust, estate, partnership, association, company, or corporation) other than an Underwriter or a related party to an Underwriter.  The term “related party” for purposes of this certificate means any two or more persons who have greater than 50 percent common ownership, directly or indirectly. </w:t>
      </w:r>
    </w:p>
    <w:p w14:paraId="32072082" w14:textId="41F01B85" w:rsidR="003B718B" w:rsidRDefault="00EE5813" w:rsidP="003B718B">
      <w:pPr>
        <w:tabs>
          <w:tab w:val="left" w:pos="1890"/>
        </w:tabs>
        <w:spacing w:after="187" w:line="256" w:lineRule="auto"/>
        <w:ind w:left="466" w:right="10" w:firstLine="710"/>
        <w:jc w:val="both"/>
      </w:pPr>
      <w:r>
        <w:t>(d</w:t>
      </w:r>
      <w:r w:rsidR="003B718B">
        <w:t>)</w:t>
      </w:r>
      <w:r w:rsidR="003B718B">
        <w:tab/>
      </w:r>
      <w:r w:rsidR="003B718B">
        <w:rPr>
          <w:i/>
        </w:rPr>
        <w:t>Sale Date</w:t>
      </w:r>
      <w:r w:rsidR="003B718B">
        <w:t xml:space="preserve"> means the first day on which there is a binding contract in writing for the sale of a Maturity of the Bonds. </w:t>
      </w:r>
      <w:r w:rsidR="00971391">
        <w:t xml:space="preserve"> The Sale Date of the Bonds is </w:t>
      </w:r>
      <w:r w:rsidR="004247C5">
        <w:t>December [5]</w:t>
      </w:r>
      <w:r w:rsidR="001F1CD2">
        <w:t>, 2024</w:t>
      </w:r>
      <w:r w:rsidR="003B718B">
        <w:t xml:space="preserve">. </w:t>
      </w:r>
    </w:p>
    <w:p w14:paraId="5676D96A" w14:textId="1E4EB281" w:rsidR="003B718B" w:rsidRDefault="00EE5813" w:rsidP="003B718B">
      <w:pPr>
        <w:tabs>
          <w:tab w:val="left" w:pos="1890"/>
        </w:tabs>
        <w:spacing w:after="187" w:line="256" w:lineRule="auto"/>
        <w:ind w:left="466" w:right="10" w:firstLine="710"/>
        <w:jc w:val="both"/>
      </w:pPr>
      <w:r>
        <w:t>(e</w:t>
      </w:r>
      <w:r w:rsidR="003B718B">
        <w:t>)</w:t>
      </w:r>
      <w:r w:rsidR="003B718B">
        <w:tab/>
      </w:r>
      <w:r w:rsidR="003B718B">
        <w:rPr>
          <w:i/>
        </w:rPr>
        <w:t>Underwriter</w:t>
      </w:r>
      <w:r w:rsidR="003B718B">
        <w:t xml:space="preserve"> means (i) any person that agrees pursuant to a written contract with the Enterprise (or with the lead underwriter to form an underwriting syndicate) to participate in the initial sale of the Bonds to the Public, and (ii) any person that agrees pursuant to a written contract directly or indirectly with a person described in clause (i) of this paragraph to participate in the initial sale of the Bonds to the Public (including a member of a selling group or a party to a retail distribution agreement participating in the initial sale of the Bonds to the Public). </w:t>
      </w:r>
    </w:p>
    <w:p w14:paraId="287FAE92" w14:textId="0D5BBF7A" w:rsidR="003B718B" w:rsidRDefault="003B718B" w:rsidP="003B718B">
      <w:pPr>
        <w:spacing w:after="241" w:line="256" w:lineRule="auto"/>
        <w:ind w:left="450" w:firstLine="720"/>
        <w:jc w:val="both"/>
      </w:pPr>
      <w:r>
        <w:t xml:space="preserve">The representations set forth in this certificate are limited to factual matters only.  Nothing in this certificate represents the Representative’s interpretation of any laws, including </w:t>
      </w:r>
      <w:r>
        <w:lastRenderedPageBreak/>
        <w:t>specifically Sections 103 and 148 of the Internal Revenue Code of 1986, as amended, and the Treasury Regulations thereunder.  The undersigned understands that the foregoing information will be relied upon by the Enterprise  with respect to certain of the representations set forth in the Tax Compliance Certificate and with respect to compliance with the federal income tax rules affecting the Bonds, and by Kutak Rock LLP in connection with rendering its opinion that the interest on the Bonds is excluded from gross income for federal income tax purposes, the preparation of Internal Revenue Service Form 8038-G, and other federal income tax advice it may give to the Enterprise from time to time relating to the Bonds. The representations set forth herein are not necessarily based on personal knowledge and, in certain cases, the undersigned is relying on representations made by the other members of the Underwriting Group.</w:t>
      </w:r>
    </w:p>
    <w:p w14:paraId="13CD6505" w14:textId="79EB7FCE" w:rsidR="00E06091" w:rsidRDefault="00E06091" w:rsidP="00A9196A">
      <w:pPr>
        <w:spacing w:after="241" w:line="256" w:lineRule="auto"/>
        <w:ind w:left="4314"/>
        <w:jc w:val="both"/>
      </w:pPr>
      <w:r w:rsidRPr="0030560F">
        <w:rPr>
          <w:b/>
        </w:rPr>
        <w:t>WELLS</w:t>
      </w:r>
      <w:r>
        <w:rPr>
          <w:b/>
        </w:rPr>
        <w:t xml:space="preserve"> FARGO BANK, NATIONAL ASSOCIATION</w:t>
      </w:r>
      <w:r>
        <w:t>, as Representative</w:t>
      </w:r>
    </w:p>
    <w:p w14:paraId="39808DA7" w14:textId="0CD17387" w:rsidR="003B718B" w:rsidRDefault="003B718B" w:rsidP="00A9196A">
      <w:pPr>
        <w:spacing w:after="241" w:line="256" w:lineRule="auto"/>
        <w:ind w:left="4081" w:right="21" w:firstLine="239"/>
        <w:jc w:val="both"/>
      </w:pPr>
      <w:r>
        <w:t xml:space="preserve"> By: _____________________________________</w:t>
      </w:r>
    </w:p>
    <w:p w14:paraId="13C719F6" w14:textId="77777777" w:rsidR="003B718B" w:rsidRDefault="003B718B" w:rsidP="00A9196A">
      <w:pPr>
        <w:spacing w:after="181" w:line="237" w:lineRule="auto"/>
        <w:ind w:left="3600" w:right="236" w:firstLine="720"/>
      </w:pPr>
      <w:r>
        <w:t>Name: ______________________________</w:t>
      </w:r>
    </w:p>
    <w:p w14:paraId="583BA11F" w14:textId="3488BA79" w:rsidR="003B718B" w:rsidRDefault="003B718B" w:rsidP="003B718B">
      <w:pPr>
        <w:spacing w:after="181" w:line="237" w:lineRule="auto"/>
        <w:ind w:right="236" w:firstLine="540"/>
      </w:pPr>
      <w:r>
        <w:t xml:space="preserve">Dated:  </w:t>
      </w:r>
      <w:r w:rsidR="00416931">
        <w:t>December</w:t>
      </w:r>
      <w:r w:rsidR="00971391">
        <w:t xml:space="preserve"> </w:t>
      </w:r>
      <w:r w:rsidR="00416931">
        <w:t>[5]</w:t>
      </w:r>
      <w:r w:rsidR="00971391">
        <w:t>, 2024</w:t>
      </w:r>
    </w:p>
    <w:p w14:paraId="02A1094B" w14:textId="77777777" w:rsidR="003B718B" w:rsidRDefault="003B718B" w:rsidP="003B718B">
      <w:pPr>
        <w:spacing w:line="237" w:lineRule="auto"/>
        <w:sectPr w:rsidR="003B718B">
          <w:footerReference w:type="default" r:id="rId16"/>
          <w:pgSz w:w="12240" w:h="15840"/>
          <w:pgMar w:top="1440" w:right="1440" w:bottom="1440" w:left="1440" w:header="720" w:footer="720" w:gutter="0"/>
          <w:pgNumType w:start="1"/>
          <w:cols w:space="720"/>
        </w:sectPr>
      </w:pPr>
    </w:p>
    <w:p w14:paraId="76EE2C5A" w14:textId="77777777" w:rsidR="003B718B" w:rsidRDefault="003B718B" w:rsidP="003B718B">
      <w:pPr>
        <w:spacing w:after="181" w:line="237" w:lineRule="auto"/>
        <w:ind w:right="236"/>
      </w:pPr>
    </w:p>
    <w:p w14:paraId="2A287C0C" w14:textId="77777777" w:rsidR="003B718B" w:rsidRDefault="003B718B" w:rsidP="003B718B">
      <w:pPr>
        <w:spacing w:after="181" w:line="237" w:lineRule="auto"/>
        <w:ind w:right="236"/>
        <w:jc w:val="center"/>
      </w:pPr>
      <w:r>
        <w:rPr>
          <w:b/>
        </w:rPr>
        <w:t>SCHEDULE A</w:t>
      </w:r>
    </w:p>
    <w:p w14:paraId="6E2BB2CC" w14:textId="31DF22D0" w:rsidR="003B718B" w:rsidRDefault="003B718B" w:rsidP="003B718B">
      <w:pPr>
        <w:spacing w:after="181" w:line="237" w:lineRule="auto"/>
        <w:ind w:right="236"/>
        <w:jc w:val="center"/>
      </w:pPr>
      <w:r>
        <w:rPr>
          <w:b/>
        </w:rPr>
        <w:t>SALE PRICES</w:t>
      </w:r>
      <w:r w:rsidR="00E740A1">
        <w:rPr>
          <w:b/>
        </w:rPr>
        <w:t xml:space="preserve"> </w:t>
      </w:r>
    </w:p>
    <w:p w14:paraId="1D771F2B" w14:textId="77777777" w:rsidR="003B718B" w:rsidRDefault="003B718B" w:rsidP="003B718B">
      <w:pPr>
        <w:spacing w:after="184"/>
        <w:ind w:right="484"/>
        <w:jc w:val="center"/>
        <w:rPr>
          <w:i/>
        </w:rPr>
      </w:pPr>
      <w:r>
        <w:rPr>
          <w:i/>
        </w:rPr>
        <w:t>(Attached)</w:t>
      </w:r>
    </w:p>
    <w:p w14:paraId="7DF36D30" w14:textId="77777777" w:rsidR="003B718B" w:rsidRDefault="003B718B" w:rsidP="003B718B">
      <w:pPr>
        <w:rPr>
          <w:i/>
        </w:rPr>
        <w:sectPr w:rsidR="003B718B">
          <w:pgSz w:w="12240" w:h="15840"/>
          <w:pgMar w:top="1440" w:right="1440" w:bottom="1440" w:left="1440" w:header="720" w:footer="720" w:gutter="0"/>
          <w:pgNumType w:start="1"/>
          <w:cols w:space="720"/>
        </w:sectPr>
      </w:pPr>
    </w:p>
    <w:p w14:paraId="7EB0CFF5" w14:textId="77777777" w:rsidR="003B718B" w:rsidRDefault="003B718B" w:rsidP="003B718B">
      <w:pPr>
        <w:spacing w:after="158"/>
        <w:jc w:val="center"/>
      </w:pPr>
      <w:r>
        <w:rPr>
          <w:b/>
        </w:rPr>
        <w:lastRenderedPageBreak/>
        <w:t>SCHEDULE B</w:t>
      </w:r>
    </w:p>
    <w:p w14:paraId="6026DE37" w14:textId="77777777" w:rsidR="003B718B" w:rsidRDefault="003B718B" w:rsidP="003B718B">
      <w:pPr>
        <w:spacing w:after="157"/>
        <w:jc w:val="center"/>
      </w:pPr>
      <w:r>
        <w:rPr>
          <w:b/>
        </w:rPr>
        <w:t>PRICING WIRE OR EQUIVALENT COMMUNICATION</w:t>
      </w:r>
    </w:p>
    <w:p w14:paraId="67491778" w14:textId="77777777" w:rsidR="00E9030F" w:rsidRDefault="003B718B" w:rsidP="003B718B">
      <w:pPr>
        <w:spacing w:after="79"/>
        <w:ind w:right="274"/>
        <w:jc w:val="center"/>
        <w:sectPr w:rsidR="00E9030F" w:rsidSect="00F51D19">
          <w:footerReference w:type="default" r:id="rId17"/>
          <w:pgSz w:w="12240" w:h="15840"/>
          <w:pgMar w:top="1440" w:right="1440" w:bottom="1440" w:left="1440" w:header="720" w:footer="720" w:gutter="0"/>
          <w:pgNumType w:start="1"/>
          <w:cols w:space="720"/>
          <w:docGrid w:linePitch="360"/>
        </w:sectPr>
      </w:pPr>
      <w:r>
        <w:t>(</w:t>
      </w:r>
      <w:r>
        <w:rPr>
          <w:i/>
        </w:rPr>
        <w:t>Attached</w:t>
      </w:r>
      <w:r>
        <w:t>)</w:t>
      </w:r>
    </w:p>
    <w:p w14:paraId="0FB4EB84" w14:textId="6C52087A" w:rsidR="00E9030F" w:rsidRDefault="00E9030F" w:rsidP="00E9030F">
      <w:pPr>
        <w:jc w:val="center"/>
        <w:rPr>
          <w:b/>
          <w:u w:val="single"/>
        </w:rPr>
      </w:pPr>
      <w:r>
        <w:rPr>
          <w:b/>
          <w:u w:val="single"/>
        </w:rPr>
        <w:lastRenderedPageBreak/>
        <w:t>EXHIBIT B</w:t>
      </w:r>
    </w:p>
    <w:p w14:paraId="221C2642" w14:textId="77777777" w:rsidR="00E9030F" w:rsidRDefault="00E9030F" w:rsidP="00E9030F">
      <w:pPr>
        <w:jc w:val="center"/>
        <w:rPr>
          <w:b/>
          <w:u w:val="single"/>
        </w:rPr>
      </w:pPr>
    </w:p>
    <w:p w14:paraId="6B4F54CD" w14:textId="2CC0A832" w:rsidR="00E9030F" w:rsidRDefault="00E9030F" w:rsidP="00E9030F">
      <w:pPr>
        <w:spacing w:after="157"/>
        <w:jc w:val="center"/>
        <w:rPr>
          <w:b/>
        </w:rPr>
      </w:pPr>
      <w:r>
        <w:rPr>
          <w:b/>
        </w:rPr>
        <w:t>FORM OF SUPPLEMENTAL OPINION OF BOND COUNSEL</w:t>
      </w:r>
    </w:p>
    <w:p w14:paraId="54F99175" w14:textId="2F6A1C82" w:rsidR="002E030F" w:rsidRPr="00CB6EE6" w:rsidRDefault="00416931" w:rsidP="008C7585">
      <w:pPr>
        <w:spacing w:before="720" w:after="480"/>
        <w:jc w:val="center"/>
      </w:pPr>
      <w:bookmarkStart w:id="1" w:name="_Hlk162505599"/>
      <w:r>
        <w:t>December [19]</w:t>
      </w:r>
      <w:r w:rsidR="002E030F">
        <w:t>, 2024</w:t>
      </w:r>
    </w:p>
    <w:bookmarkEnd w:id="1"/>
    <w:p w14:paraId="054E0635" w14:textId="77777777" w:rsidR="002E030F" w:rsidRDefault="002E030F" w:rsidP="002E030F">
      <w:pPr>
        <w:pStyle w:val="BodyText"/>
        <w:keepNext/>
        <w:spacing w:after="0"/>
        <w:ind w:firstLine="0"/>
      </w:pPr>
      <w:r>
        <w:t>Colorado Statewide Bridge and Tunnel Enterprise</w:t>
      </w:r>
    </w:p>
    <w:p w14:paraId="1D50C46C" w14:textId="77777777" w:rsidR="002E030F" w:rsidRDefault="002E030F" w:rsidP="002E030F">
      <w:pPr>
        <w:pStyle w:val="BodyText"/>
        <w:keepNext/>
        <w:ind w:firstLine="0"/>
      </w:pPr>
      <w:r>
        <w:t>Denver, Colorado</w:t>
      </w:r>
    </w:p>
    <w:p w14:paraId="3E8C1A4F" w14:textId="5A49C21B" w:rsidR="002E030F" w:rsidRDefault="00E06091" w:rsidP="002E030F">
      <w:pPr>
        <w:pStyle w:val="BodyText"/>
        <w:keepNext/>
        <w:spacing w:after="0"/>
        <w:ind w:firstLine="0"/>
      </w:pPr>
      <w:r>
        <w:t>Wells Fargo Bank, National Association</w:t>
      </w:r>
    </w:p>
    <w:p w14:paraId="1FDA0F95" w14:textId="3B92D936" w:rsidR="002E030F" w:rsidRDefault="00416931" w:rsidP="002E030F">
      <w:pPr>
        <w:pStyle w:val="BodyText"/>
        <w:keepNext/>
        <w:ind w:firstLine="0"/>
      </w:pPr>
      <w:r>
        <w:t>New York, New York</w:t>
      </w:r>
    </w:p>
    <w:p w14:paraId="0B949A87" w14:textId="40BFC019" w:rsidR="002E030F" w:rsidRDefault="00416931" w:rsidP="002E030F">
      <w:pPr>
        <w:pStyle w:val="BodyText"/>
        <w:keepNext/>
        <w:spacing w:after="0"/>
        <w:ind w:firstLine="0"/>
      </w:pPr>
      <w:r w:rsidRPr="00A812BE">
        <w:t>Jefferies LLC</w:t>
      </w:r>
    </w:p>
    <w:p w14:paraId="5EF8E6E3" w14:textId="5AE31661" w:rsidR="002E030F" w:rsidRDefault="00416931" w:rsidP="002E030F">
      <w:pPr>
        <w:pStyle w:val="BodyText"/>
        <w:keepNext/>
        <w:ind w:firstLine="0"/>
      </w:pPr>
      <w:r>
        <w:t>New York, New York</w:t>
      </w:r>
    </w:p>
    <w:p w14:paraId="0DBE7500" w14:textId="70B7218A" w:rsidR="002E030F" w:rsidRDefault="00416931" w:rsidP="002E030F">
      <w:pPr>
        <w:pStyle w:val="BodyText"/>
        <w:keepNext/>
        <w:spacing w:after="0"/>
        <w:ind w:firstLine="0"/>
      </w:pPr>
      <w:r w:rsidRPr="00416931">
        <w:t>Piper Sandler &amp; Co.</w:t>
      </w:r>
    </w:p>
    <w:p w14:paraId="5E9B2F01" w14:textId="16167E5C" w:rsidR="002E030F" w:rsidRDefault="00416931" w:rsidP="002E030F">
      <w:pPr>
        <w:pStyle w:val="BodyText"/>
        <w:keepNext/>
        <w:ind w:firstLine="0"/>
      </w:pPr>
      <w:r>
        <w:t>Denver</w:t>
      </w:r>
      <w:r w:rsidR="002E030F">
        <w:t xml:space="preserve">, </w:t>
      </w:r>
      <w:r>
        <w:t>Colorado</w:t>
      </w:r>
    </w:p>
    <w:p w14:paraId="02672770" w14:textId="2ED98D26" w:rsidR="002E030F" w:rsidRDefault="00416931" w:rsidP="002E030F">
      <w:pPr>
        <w:pStyle w:val="BodyText"/>
        <w:keepNext/>
        <w:spacing w:after="0"/>
        <w:ind w:firstLine="0"/>
      </w:pPr>
      <w:r w:rsidRPr="00A812BE">
        <w:t>RBC Capital Markets LLC</w:t>
      </w:r>
    </w:p>
    <w:p w14:paraId="4A60A0A5" w14:textId="5951249F" w:rsidR="002E030F" w:rsidRDefault="00416931" w:rsidP="002E030F">
      <w:pPr>
        <w:pStyle w:val="BodyText"/>
        <w:keepNext/>
        <w:ind w:firstLine="0"/>
      </w:pPr>
      <w:r>
        <w:t>Denver</w:t>
      </w:r>
      <w:r w:rsidR="002E030F">
        <w:t xml:space="preserve">, </w:t>
      </w:r>
      <w:r>
        <w:t>Colorado</w:t>
      </w:r>
    </w:p>
    <w:p w14:paraId="77FFB32E" w14:textId="41053EC6" w:rsidR="002E030F" w:rsidRDefault="00416931" w:rsidP="002E030F">
      <w:pPr>
        <w:pStyle w:val="BodyText"/>
        <w:keepNext/>
        <w:spacing w:after="0"/>
        <w:ind w:firstLine="0"/>
      </w:pPr>
      <w:r w:rsidRPr="00A812BE">
        <w:t>Siebert Williams Shank &amp; Co., LLC</w:t>
      </w:r>
    </w:p>
    <w:p w14:paraId="2789E95E" w14:textId="5FFDA385" w:rsidR="002E030F" w:rsidRDefault="00416931" w:rsidP="002E030F">
      <w:pPr>
        <w:pStyle w:val="BodyText"/>
        <w:keepNext/>
        <w:ind w:firstLine="0"/>
      </w:pPr>
      <w:r>
        <w:t>Los Angeles</w:t>
      </w:r>
      <w:r w:rsidR="002E030F">
        <w:t xml:space="preserve">, </w:t>
      </w:r>
      <w:r>
        <w:t>California</w:t>
      </w:r>
    </w:p>
    <w:p w14:paraId="70CA8626" w14:textId="1E1FFCF8" w:rsidR="002E030F" w:rsidRDefault="00416931" w:rsidP="002E030F">
      <w:pPr>
        <w:pStyle w:val="BodyText"/>
        <w:keepNext/>
        <w:spacing w:after="0"/>
        <w:ind w:firstLine="0"/>
        <w:rPr>
          <w:szCs w:val="24"/>
        </w:rPr>
      </w:pPr>
      <w:r>
        <w:rPr>
          <w:szCs w:val="24"/>
        </w:rPr>
        <w:t>Loop Capital Markets LLC</w:t>
      </w:r>
    </w:p>
    <w:p w14:paraId="24895931" w14:textId="7BC8BB34" w:rsidR="002E030F" w:rsidRPr="004E0098" w:rsidRDefault="00416931" w:rsidP="002E030F">
      <w:pPr>
        <w:pStyle w:val="BodyText"/>
        <w:keepNext/>
        <w:spacing w:after="360"/>
        <w:ind w:firstLine="0"/>
      </w:pPr>
      <w:r>
        <w:rPr>
          <w:szCs w:val="24"/>
        </w:rPr>
        <w:t xml:space="preserve">Chicago, Illinois </w:t>
      </w:r>
    </w:p>
    <w:p w14:paraId="442F6A2B" w14:textId="11A2BDA4" w:rsidR="002E030F" w:rsidRDefault="00416931" w:rsidP="002E030F">
      <w:pPr>
        <w:pStyle w:val="BodyText"/>
        <w:spacing w:after="0"/>
        <w:ind w:firstLine="0"/>
      </w:pPr>
      <w:r>
        <w:t>$[_____]</w:t>
      </w:r>
    </w:p>
    <w:p w14:paraId="6A08C464" w14:textId="77777777" w:rsidR="002E030F" w:rsidRDefault="002E030F" w:rsidP="002E030F">
      <w:pPr>
        <w:pStyle w:val="BodyText"/>
        <w:spacing w:after="0"/>
        <w:ind w:firstLine="0"/>
      </w:pPr>
      <w:r>
        <w:t>Colorado Bridge and Tunnel Enterprise</w:t>
      </w:r>
    </w:p>
    <w:p w14:paraId="6D63292F" w14:textId="1050D9BC" w:rsidR="002E030F" w:rsidRDefault="002E030F" w:rsidP="002E030F">
      <w:pPr>
        <w:pStyle w:val="BodyText"/>
        <w:spacing w:after="0"/>
        <w:ind w:firstLine="0"/>
      </w:pPr>
      <w:r>
        <w:t xml:space="preserve">Senior Revenue </w:t>
      </w:r>
      <w:r w:rsidR="00416931">
        <w:t xml:space="preserve">Refunding </w:t>
      </w:r>
      <w:r>
        <w:t>Bonds</w:t>
      </w:r>
    </w:p>
    <w:p w14:paraId="102FEFC1" w14:textId="44306A0D" w:rsidR="002E030F" w:rsidRDefault="00416931" w:rsidP="002E030F">
      <w:pPr>
        <w:pStyle w:val="BodyText"/>
        <w:spacing w:after="360"/>
        <w:ind w:firstLine="0"/>
      </w:pPr>
      <w:r>
        <w:t>Series 2024B</w:t>
      </w:r>
    </w:p>
    <w:p w14:paraId="1A0D865F" w14:textId="77777777" w:rsidR="002E030F" w:rsidRPr="00CB6EE6" w:rsidRDefault="002E030F" w:rsidP="002E030F">
      <w:pPr>
        <w:suppressAutoHyphens/>
        <w:spacing w:before="120" w:after="240"/>
        <w:jc w:val="both"/>
      </w:pPr>
      <w:r w:rsidRPr="00CB6EE6">
        <w:t>Ladies and Gentlemen:</w:t>
      </w:r>
    </w:p>
    <w:p w14:paraId="6A1A227F" w14:textId="43375945" w:rsidR="002669D8" w:rsidRDefault="002E030F" w:rsidP="002669D8">
      <w:pPr>
        <w:pStyle w:val="BodyText"/>
      </w:pPr>
      <w:r>
        <w:t>We have acted as Bond Counsel to the Colorado Statewide Bridge and Tunnel Enterprise (the “</w:t>
      </w:r>
      <w:r w:rsidRPr="00C86D40">
        <w:rPr>
          <w:u w:val="single"/>
        </w:rPr>
        <w:t>Enterprise</w:t>
      </w:r>
      <w:r>
        <w:t>”), a government-owned business within the Colorado Department of Transportation, created by the Funding Advancements for Surface Transportation and Economic Recovery Act of 2009, title 43, article 4, part 8, Colorado Revised Statutes, as amended (“</w:t>
      </w:r>
      <w:r w:rsidRPr="00C86D40">
        <w:rPr>
          <w:u w:val="single"/>
        </w:rPr>
        <w:t>FASTER</w:t>
      </w:r>
      <w:r>
        <w:t xml:space="preserve">”), in connection with the Enterprise’s issuance of </w:t>
      </w:r>
      <w:r w:rsidRPr="00B729D0">
        <w:rPr>
          <w:szCs w:val="22"/>
        </w:rPr>
        <w:t>$</w:t>
      </w:r>
      <w:r w:rsidR="00C86D40">
        <w:rPr>
          <w:szCs w:val="22"/>
        </w:rPr>
        <w:t>[______]</w:t>
      </w:r>
      <w:r w:rsidRPr="00B729D0">
        <w:rPr>
          <w:szCs w:val="22"/>
        </w:rPr>
        <w:t xml:space="preserve"> aggregate principal amount of its</w:t>
      </w:r>
      <w:r>
        <w:t xml:space="preserve"> Colorado Bridge and Tunnel Enterprise </w:t>
      </w:r>
      <w:r w:rsidR="00C86D40">
        <w:t xml:space="preserve">Senior </w:t>
      </w:r>
      <w:r w:rsidRPr="00514336">
        <w:t>Revenue</w:t>
      </w:r>
      <w:r w:rsidR="00C86D40">
        <w:t xml:space="preserve"> Refunding Bonds, Series 2024B (the “</w:t>
      </w:r>
      <w:r w:rsidR="00C86D40" w:rsidRPr="00C86D40">
        <w:rPr>
          <w:u w:val="single"/>
        </w:rPr>
        <w:t xml:space="preserve">Series 2024B </w:t>
      </w:r>
      <w:r w:rsidRPr="00C86D40">
        <w:rPr>
          <w:u w:val="single"/>
        </w:rPr>
        <w:t>Bonds</w:t>
      </w:r>
      <w:r w:rsidRPr="00514336">
        <w:t>”).</w:t>
      </w:r>
      <w:r>
        <w:t xml:space="preserve">  </w:t>
      </w:r>
      <w:r w:rsidR="00C86D40">
        <w:t>The Series 2024B</w:t>
      </w:r>
      <w:r w:rsidRPr="00514336">
        <w:t xml:space="preserve"> Bonds are being issued pursuant to: FASTER; the Supplemental Public Securities Act, title 11, article 57, part 2, Colorado Revised Statutes</w:t>
      </w:r>
      <w:r>
        <w:t>,</w:t>
      </w:r>
      <w:r w:rsidRPr="00514336">
        <w:t xml:space="preserve"> as amended </w:t>
      </w:r>
      <w:r>
        <w:t>(</w:t>
      </w:r>
      <w:r w:rsidRPr="00514336">
        <w:t>the “</w:t>
      </w:r>
      <w:r w:rsidRPr="002669D8">
        <w:rPr>
          <w:u w:val="single"/>
        </w:rPr>
        <w:t>Supplemental Securities Act</w:t>
      </w:r>
      <w:r w:rsidRPr="00514336">
        <w:t>”);</w:t>
      </w:r>
      <w:r w:rsidR="002669D8">
        <w:t xml:space="preserve"> </w:t>
      </w:r>
      <w:r w:rsidR="002669D8" w:rsidRPr="002669D8">
        <w:t>the Public Securities Refunding Act, C.R.S. title 11, article 56, as amended (the “</w:t>
      </w:r>
      <w:r w:rsidR="002669D8" w:rsidRPr="002669D8">
        <w:rPr>
          <w:u w:val="single"/>
        </w:rPr>
        <w:t>Refunding Act</w:t>
      </w:r>
      <w:r w:rsidR="004D6DFD">
        <w:t>”)</w:t>
      </w:r>
      <w:r w:rsidR="002669D8">
        <w:t xml:space="preserve">; and </w:t>
      </w:r>
      <w:r w:rsidR="002669D8">
        <w:rPr>
          <w:rStyle w:val="BodyTextChar"/>
        </w:rPr>
        <w:t>that certain</w:t>
      </w:r>
      <w:r w:rsidR="002669D8" w:rsidRPr="00AE42D7">
        <w:rPr>
          <w:szCs w:val="24"/>
        </w:rPr>
        <w:t xml:space="preserve"> </w:t>
      </w:r>
      <w:r w:rsidR="002669D8" w:rsidRPr="00AE42D7">
        <w:t xml:space="preserve">Master Trust </w:t>
      </w:r>
      <w:r w:rsidR="002669D8" w:rsidRPr="00AE42D7">
        <w:lastRenderedPageBreak/>
        <w:t>Indenture dated as of</w:t>
      </w:r>
      <w:r w:rsidR="002669D8">
        <w:t xml:space="preserve"> December 15, 2010 </w:t>
      </w:r>
      <w:r w:rsidR="002669D8" w:rsidRPr="00100D94">
        <w:t>(the “</w:t>
      </w:r>
      <w:r w:rsidR="002669D8" w:rsidRPr="00100D94">
        <w:rPr>
          <w:u w:val="single"/>
        </w:rPr>
        <w:t>2010 Master Indenture</w:t>
      </w:r>
      <w:r w:rsidR="002669D8" w:rsidRPr="00100D94">
        <w:t>”)</w:t>
      </w:r>
      <w:r w:rsidR="002669D8" w:rsidRPr="00AE42D7">
        <w:t xml:space="preserve"> </w:t>
      </w:r>
      <w:r w:rsidR="002669D8">
        <w:t xml:space="preserve">entered into between the Enterprise and </w:t>
      </w:r>
      <w:r w:rsidR="002669D8" w:rsidRPr="00AE42D7">
        <w:t xml:space="preserve">Wells Fargo Bank, </w:t>
      </w:r>
      <w:proofErr w:type="spellStart"/>
      <w:r w:rsidR="002669D8" w:rsidRPr="00AE42D7">
        <w:t>N.A</w:t>
      </w:r>
      <w:proofErr w:type="spellEnd"/>
      <w:r w:rsidR="002669D8" w:rsidRPr="00AE42D7">
        <w:t>., as trustee (as succeeded by Zions Bancorporation, National Association, in such capacity, the “</w:t>
      </w:r>
      <w:r w:rsidR="00AA3720" w:rsidRPr="00AA3720">
        <w:rPr>
          <w:u w:val="single"/>
        </w:rPr>
        <w:t xml:space="preserve">Senior </w:t>
      </w:r>
      <w:r w:rsidR="002669D8" w:rsidRPr="00054EFC">
        <w:rPr>
          <w:u w:val="single"/>
        </w:rPr>
        <w:t>Trustee</w:t>
      </w:r>
      <w:r w:rsidR="002669D8" w:rsidRPr="00AE42D7">
        <w:t xml:space="preserve">”), </w:t>
      </w:r>
      <w:r w:rsidR="002669D8">
        <w:t xml:space="preserve">as supplemented by (i) that certain </w:t>
      </w:r>
      <w:r w:rsidR="002669D8" w:rsidRPr="00AE42D7">
        <w:t>2010 Supplemental Trust Indenture dated as of December 15, 2010 (the “</w:t>
      </w:r>
      <w:r w:rsidR="002669D8" w:rsidRPr="00054EFC">
        <w:rPr>
          <w:u w:val="single"/>
        </w:rPr>
        <w:t>2010 Supplemental Indenture</w:t>
      </w:r>
      <w:r w:rsidR="002669D8" w:rsidRPr="00AE42D7">
        <w:t xml:space="preserve">”) between the Enterprise and the </w:t>
      </w:r>
      <w:r w:rsidR="00AA3720">
        <w:t xml:space="preserve">Senior </w:t>
      </w:r>
      <w:r w:rsidR="002669D8" w:rsidRPr="00AE42D7">
        <w:t>Trustee</w:t>
      </w:r>
      <w:r w:rsidR="002669D8">
        <w:t>; (ii</w:t>
      </w:r>
      <w:r w:rsidR="002669D8" w:rsidRPr="00AE42D7">
        <w:t xml:space="preserve">) </w:t>
      </w:r>
      <w:r w:rsidR="002669D8">
        <w:t xml:space="preserve">that certain </w:t>
      </w:r>
      <w:r w:rsidR="002669D8" w:rsidRPr="002669D8">
        <w:t>2017 Supplemental Trust Indenture</w:t>
      </w:r>
      <w:r w:rsidR="002669D8" w:rsidRPr="00AE42D7">
        <w:t xml:space="preserve"> dated as of December 21, 2017 </w:t>
      </w:r>
      <w:r w:rsidR="002669D8" w:rsidRPr="00FF15EB">
        <w:t>(the “</w:t>
      </w:r>
      <w:r w:rsidR="002669D8">
        <w:rPr>
          <w:u w:val="single"/>
        </w:rPr>
        <w:t>2017</w:t>
      </w:r>
      <w:r w:rsidR="002669D8" w:rsidRPr="00FF15EB">
        <w:rPr>
          <w:u w:val="single"/>
        </w:rPr>
        <w:t xml:space="preserve"> Supplemental Indenture</w:t>
      </w:r>
      <w:r w:rsidR="002669D8" w:rsidRPr="00FF15EB">
        <w:t>”)</w:t>
      </w:r>
      <w:r w:rsidR="002669D8">
        <w:t xml:space="preserve"> </w:t>
      </w:r>
      <w:r w:rsidR="002669D8" w:rsidRPr="00AE42D7">
        <w:t xml:space="preserve">between the Enterprise and the </w:t>
      </w:r>
      <w:r w:rsidR="00AA3720">
        <w:t xml:space="preserve">Senior </w:t>
      </w:r>
      <w:r w:rsidR="002669D8" w:rsidRPr="00AE42D7">
        <w:t>Trustee</w:t>
      </w:r>
      <w:r w:rsidR="002669D8">
        <w:t>; (iii</w:t>
      </w:r>
      <w:r w:rsidR="002669D8" w:rsidRPr="00AE42D7">
        <w:t xml:space="preserve">) </w:t>
      </w:r>
      <w:r w:rsidR="002669D8">
        <w:t xml:space="preserve">that certain </w:t>
      </w:r>
      <w:r w:rsidR="002669D8" w:rsidRPr="00AE42D7">
        <w:t xml:space="preserve">2019 Supplemental Trust Indenture dated as of December 3, 2019 </w:t>
      </w:r>
      <w:r w:rsidR="002669D8" w:rsidRPr="00FF15EB">
        <w:t>(the “</w:t>
      </w:r>
      <w:r w:rsidR="002669D8">
        <w:rPr>
          <w:u w:val="single"/>
        </w:rPr>
        <w:t>2019</w:t>
      </w:r>
      <w:r w:rsidR="002669D8" w:rsidRPr="00FF15EB">
        <w:rPr>
          <w:u w:val="single"/>
        </w:rPr>
        <w:t xml:space="preserve"> Supplemental Indenture</w:t>
      </w:r>
      <w:r w:rsidR="002669D8" w:rsidRPr="00FF15EB">
        <w:t>”)</w:t>
      </w:r>
      <w:r w:rsidR="002669D8">
        <w:t xml:space="preserve"> </w:t>
      </w:r>
      <w:r w:rsidR="002669D8" w:rsidRPr="00AE42D7">
        <w:t>between</w:t>
      </w:r>
      <w:r w:rsidR="002669D8">
        <w:t xml:space="preserve"> the Enterprise and the </w:t>
      </w:r>
      <w:r w:rsidR="00AA3720">
        <w:t xml:space="preserve">Senior </w:t>
      </w:r>
      <w:r w:rsidR="002669D8">
        <w:t>Trustee; (iv) that certain</w:t>
      </w:r>
      <w:r w:rsidR="002669D8" w:rsidRPr="00AE42D7">
        <w:t xml:space="preserve"> 2024 Supplemental Trust Indenture</w:t>
      </w:r>
      <w:r w:rsidR="002669D8" w:rsidRPr="001E74CC">
        <w:t xml:space="preserve"> dated as of April 16, 2024 between the Enterprise and the </w:t>
      </w:r>
      <w:r w:rsidR="00AA3720">
        <w:t xml:space="preserve">Senior </w:t>
      </w:r>
      <w:r w:rsidR="002669D8" w:rsidRPr="001E74CC">
        <w:t>Trustee</w:t>
      </w:r>
      <w:r w:rsidR="002669D8" w:rsidRPr="00AE42D7">
        <w:t xml:space="preserve"> (the “</w:t>
      </w:r>
      <w:r w:rsidR="002669D8" w:rsidRPr="00FF15EB">
        <w:rPr>
          <w:u w:val="single"/>
        </w:rPr>
        <w:t>2024 Supplemental Indenture</w:t>
      </w:r>
      <w:r w:rsidR="002669D8">
        <w:t>”); and (v) a 2024B Supplemental Trust Indentur</w:t>
      </w:r>
      <w:r w:rsidR="004D6DFD">
        <w:t>e to be dated as of December [__</w:t>
      </w:r>
      <w:r w:rsidR="002669D8">
        <w:t>], 2024 (the “</w:t>
      </w:r>
      <w:r w:rsidR="002669D8" w:rsidRPr="00FF15EB">
        <w:rPr>
          <w:u w:val="single"/>
        </w:rPr>
        <w:t>2024B Supplemental Indenture</w:t>
      </w:r>
      <w:r w:rsidR="002669D8">
        <w:t>”) (the 2010 Master Indenture, as supplemented by the 2010 Supplemental Indenture, the 2</w:t>
      </w:r>
      <w:r w:rsidR="004D6DFD">
        <w:t xml:space="preserve">017 Supplemental Indenture, </w:t>
      </w:r>
      <w:r w:rsidR="002669D8">
        <w:t>the 2019 Supplemental Indenture</w:t>
      </w:r>
      <w:r w:rsidR="006140F2">
        <w:t>, the 2024 Supplemental Indenture and the 2024B Supplemental Indenture,</w:t>
      </w:r>
      <w:r w:rsidR="002669D8">
        <w:t xml:space="preserve"> collectively, the “</w:t>
      </w:r>
      <w:r w:rsidR="00294498" w:rsidRPr="00294498">
        <w:rPr>
          <w:u w:val="single"/>
        </w:rPr>
        <w:t xml:space="preserve">Senior </w:t>
      </w:r>
      <w:r w:rsidR="002669D8" w:rsidRPr="002669D8">
        <w:rPr>
          <w:u w:val="single"/>
        </w:rPr>
        <w:t>Indenture</w:t>
      </w:r>
      <w:r w:rsidR="002669D8">
        <w:t xml:space="preserve">”). </w:t>
      </w:r>
    </w:p>
    <w:p w14:paraId="13E8BA63" w14:textId="3D68956B" w:rsidR="002E030F" w:rsidRPr="00716741" w:rsidRDefault="002E030F" w:rsidP="002669D8">
      <w:pPr>
        <w:pStyle w:val="00BodyText5"/>
        <w:jc w:val="both"/>
      </w:pPr>
      <w:r w:rsidRPr="00716741">
        <w:t xml:space="preserve">We are delivering this opinion letter pursuant to </w:t>
      </w:r>
      <w:r>
        <w:t>Section</w:t>
      </w:r>
      <w:r w:rsidRPr="00716741">
        <w:t xml:space="preserve"> </w:t>
      </w:r>
      <w:r>
        <w:t>7</w:t>
      </w:r>
      <w:r w:rsidRPr="00EC1439">
        <w:t>(</w:t>
      </w:r>
      <w:r>
        <w:t>h</w:t>
      </w:r>
      <w:proofErr w:type="gramStart"/>
      <w:r w:rsidRPr="00EC1439">
        <w:t>)(</w:t>
      </w:r>
      <w:proofErr w:type="gramEnd"/>
      <w:r w:rsidR="002669D8">
        <w:t>vi</w:t>
      </w:r>
      <w:r w:rsidRPr="00EC1439">
        <w:t xml:space="preserve">) </w:t>
      </w:r>
      <w:r w:rsidRPr="00716741">
        <w:t xml:space="preserve">of the Bond Purchase Agreement, dated </w:t>
      </w:r>
      <w:r w:rsidR="002669D8">
        <w:t>December [5]</w:t>
      </w:r>
      <w:r>
        <w:t>, 2024</w:t>
      </w:r>
      <w:r w:rsidRPr="00716741">
        <w:t xml:space="preserve"> (the “</w:t>
      </w:r>
      <w:r w:rsidRPr="002669D8">
        <w:rPr>
          <w:u w:val="single"/>
        </w:rPr>
        <w:t>Bond Purchase Agreement</w:t>
      </w:r>
      <w:r w:rsidRPr="00716741">
        <w:t>”), between</w:t>
      </w:r>
      <w:r w:rsidR="002669D8">
        <w:t xml:space="preserve"> </w:t>
      </w:r>
      <w:r w:rsidR="00E06091">
        <w:t>Wells Fargo Bank, National Association</w:t>
      </w:r>
      <w:r w:rsidR="002669D8">
        <w:t xml:space="preserve"> on behalf of itself and as representative of Jefferies LLC, </w:t>
      </w:r>
      <w:r w:rsidR="002669D8" w:rsidRPr="00A812BE">
        <w:t>Piper Sandler &amp; Co., RBC Capital Markets LLC, and Siebert Williams Shank &amp; Co., LLC</w:t>
      </w:r>
      <w:r w:rsidRPr="000B0226">
        <w:t xml:space="preserve">, </w:t>
      </w:r>
      <w:r w:rsidRPr="00716741">
        <w:t xml:space="preserve">the underwriters of the </w:t>
      </w:r>
      <w:r w:rsidR="002669D8">
        <w:t>Series 2024B</w:t>
      </w:r>
      <w:r>
        <w:t xml:space="preserve"> Bonds</w:t>
      </w:r>
      <w:r w:rsidRPr="00716741">
        <w:t xml:space="preserve">, and the </w:t>
      </w:r>
      <w:r>
        <w:t>Enterprise.</w:t>
      </w:r>
      <w:r w:rsidRPr="00716741">
        <w:t xml:space="preserve">  Capitalized terms used herein and not otherwise defined shall have the meanings as set forth in the Bond Purchase Agreement.</w:t>
      </w:r>
    </w:p>
    <w:p w14:paraId="62433391" w14:textId="6FD6666B" w:rsidR="002E030F" w:rsidRDefault="002E030F" w:rsidP="002E030F">
      <w:pPr>
        <w:pStyle w:val="BodyText"/>
        <w:rPr>
          <w:highlight w:val="green"/>
        </w:rPr>
      </w:pPr>
      <w:r w:rsidRPr="00716741">
        <w:t xml:space="preserve">In connection with the issuance of the </w:t>
      </w:r>
      <w:r w:rsidR="002669D8">
        <w:t>Series 2024B</w:t>
      </w:r>
      <w:r>
        <w:t xml:space="preserve"> Bonds</w:t>
      </w:r>
      <w:r w:rsidRPr="00716741">
        <w:t xml:space="preserve"> and the opinions set forth below, we have examined </w:t>
      </w:r>
      <w:r>
        <w:t>the Constitution and the laws of the State of Colorado (incl</w:t>
      </w:r>
      <w:r w:rsidR="002669D8">
        <w:t xml:space="preserve">uding FASTER, </w:t>
      </w:r>
      <w:r>
        <w:t>the Supplemental Securities Act</w:t>
      </w:r>
      <w:r w:rsidR="004D6DFD">
        <w:t xml:space="preserve">, </w:t>
      </w:r>
      <w:r w:rsidR="00E06091">
        <w:t xml:space="preserve">and </w:t>
      </w:r>
      <w:r w:rsidR="002669D8">
        <w:t xml:space="preserve">the </w:t>
      </w:r>
      <w:r w:rsidR="00DD3BC4">
        <w:t>Refunding Act</w:t>
      </w:r>
      <w:r>
        <w:t xml:space="preserve">); </w:t>
      </w:r>
      <w:r w:rsidRPr="00C67611">
        <w:t>the Infrastructure Indenture</w:t>
      </w:r>
      <w:r>
        <w:t xml:space="preserve">; the </w:t>
      </w:r>
      <w:r w:rsidR="00294498">
        <w:t xml:space="preserve">Senior </w:t>
      </w:r>
      <w:r w:rsidR="00DD3BC4">
        <w:t>Indenture</w:t>
      </w:r>
      <w:r>
        <w:t>; the Bond Purchase Agreement;</w:t>
      </w:r>
      <w:r w:rsidRPr="00E719B7">
        <w:t xml:space="preserve"> </w:t>
      </w:r>
      <w:r>
        <w:t>the Continuing Dis</w:t>
      </w:r>
      <w:r w:rsidR="00DD3BC4">
        <w:t>closure Undertaking, dated December</w:t>
      </w:r>
      <w:r>
        <w:t xml:space="preserve"> </w:t>
      </w:r>
      <w:r w:rsidR="00DD3BC4">
        <w:t>[19]</w:t>
      </w:r>
      <w:r>
        <w:t>, 2024 (the “</w:t>
      </w:r>
      <w:r w:rsidRPr="00DD3BC4">
        <w:rPr>
          <w:u w:val="single"/>
        </w:rPr>
        <w:t>Continuing Disclosure Undertaking</w:t>
      </w:r>
      <w:r>
        <w:t xml:space="preserve">”), by the Enterprise; </w:t>
      </w:r>
      <w:r w:rsidRPr="00E719B7">
        <w:t>the Tax Compliance Certificate</w:t>
      </w:r>
      <w:r>
        <w:t>,</w:t>
      </w:r>
      <w:r w:rsidRPr="00E719B7">
        <w:t xml:space="preserve"> dated </w:t>
      </w:r>
      <w:r w:rsidR="00DD3BC4">
        <w:t>December</w:t>
      </w:r>
      <w:r>
        <w:t xml:space="preserve"> </w:t>
      </w:r>
      <w:r w:rsidR="00DD3BC4">
        <w:t>[19]</w:t>
      </w:r>
      <w:r>
        <w:t xml:space="preserve">, 2024, with respect to the </w:t>
      </w:r>
      <w:r w:rsidRPr="00856F0A">
        <w:t xml:space="preserve">Series </w:t>
      </w:r>
      <w:r w:rsidR="00DD3BC4">
        <w:t>2024B</w:t>
      </w:r>
      <w:r>
        <w:t xml:space="preserve"> Bond</w:t>
      </w:r>
      <w:r w:rsidRPr="00856F0A">
        <w:t>s</w:t>
      </w:r>
      <w:r>
        <w:t xml:space="preserve"> (the “</w:t>
      </w:r>
      <w:r w:rsidRPr="00DD3BC4">
        <w:rPr>
          <w:u w:val="single"/>
        </w:rPr>
        <w:t>Tax Compliance Certificate</w:t>
      </w:r>
      <w:r>
        <w:t>”), by the Enterprise;</w:t>
      </w:r>
      <w:r w:rsidRPr="00E719B7">
        <w:t xml:space="preserve"> </w:t>
      </w:r>
      <w:r w:rsidR="000122EF">
        <w:t xml:space="preserve">the </w:t>
      </w:r>
      <w:r w:rsidR="000122EF" w:rsidRPr="000122EF">
        <w:t>Defeasance Escrow Agreement dated [___], 2024</w:t>
      </w:r>
      <w:r w:rsidR="000122EF" w:rsidRPr="000122EF">
        <w:rPr>
          <w:i/>
        </w:rPr>
        <w:t xml:space="preserve"> </w:t>
      </w:r>
      <w:r w:rsidR="000122EF" w:rsidRPr="000122EF">
        <w:t>by and between the Enterprise and Zions Bancorporation, National Association, as escrow agent</w:t>
      </w:r>
      <w:r w:rsidR="000122EF" w:rsidRPr="000122EF">
        <w:rPr>
          <w:i/>
        </w:rPr>
        <w:t xml:space="preserve"> </w:t>
      </w:r>
      <w:r w:rsidR="000122EF" w:rsidRPr="000122EF">
        <w:t>(the “</w:t>
      </w:r>
      <w:r w:rsidR="000122EF" w:rsidRPr="000122EF">
        <w:rPr>
          <w:u w:val="single"/>
        </w:rPr>
        <w:t>Escrow Agreement</w:t>
      </w:r>
      <w:r w:rsidR="000122EF" w:rsidRPr="000122EF">
        <w:t>”)</w:t>
      </w:r>
      <w:r w:rsidR="000122EF">
        <w:t xml:space="preserve">; </w:t>
      </w:r>
      <w:r w:rsidR="000122EF" w:rsidRPr="000122EF">
        <w:t>the report prepared by Causey Public Finance, LLC, independent certified public accountants verifying the mathematical accuracy of (a) the computation of the Redemption Price of the Refunded Series 2010A Senior Bonds, and (b) the computations contained in the schedules provided by [</w:t>
      </w:r>
      <w:r w:rsidR="00E06091">
        <w:t>Wells Fargo Bank, National Association</w:t>
      </w:r>
      <w:r w:rsidR="000122EF" w:rsidRPr="000122EF">
        <w:t>] to determine that the amounts to be held in the Escrow Fund will be sufficient to pay the Redemption Price of the Refunded Series 2010A Senior Bonds on</w:t>
      </w:r>
      <w:r w:rsidR="000122EF">
        <w:t xml:space="preserve"> January [_], 2025; </w:t>
      </w:r>
      <w:r>
        <w:t xml:space="preserve">the resolution adopted by the board of directors of the Enterprise on </w:t>
      </w:r>
      <w:r w:rsidR="00DD3BC4">
        <w:t>November [__]</w:t>
      </w:r>
      <w:r>
        <w:t xml:space="preserve">, 2024 with respect to the Series 2024 Bonds; </w:t>
      </w:r>
      <w:r w:rsidRPr="00E719B7">
        <w:t>the Official Statement</w:t>
      </w:r>
      <w:r w:rsidR="000B159F">
        <w:t xml:space="preserve">, dated </w:t>
      </w:r>
      <w:r w:rsidR="00DD3BC4">
        <w:t>December</w:t>
      </w:r>
      <w:r w:rsidR="000B159F">
        <w:t xml:space="preserve"> </w:t>
      </w:r>
      <w:r w:rsidR="00DD3BC4">
        <w:t>[5]</w:t>
      </w:r>
      <w:r>
        <w:t xml:space="preserve">, 2024, relating </w:t>
      </w:r>
      <w:r w:rsidR="00DD3BC4">
        <w:t>to the Series 2024B</w:t>
      </w:r>
      <w:r>
        <w:t xml:space="preserve"> Bonds (the “</w:t>
      </w:r>
      <w:r w:rsidRPr="00DD3BC4">
        <w:rPr>
          <w:u w:val="single"/>
        </w:rPr>
        <w:t>Official Statement</w:t>
      </w:r>
      <w:r>
        <w:t>”);</w:t>
      </w:r>
      <w:r w:rsidRPr="00E719B7">
        <w:t xml:space="preserve"> and such other documents, instruments and materials as we deemed necessary to render this opinion.</w:t>
      </w:r>
    </w:p>
    <w:p w14:paraId="471E2614" w14:textId="77777777" w:rsidR="002E030F" w:rsidRPr="009D74FE" w:rsidRDefault="002E030F" w:rsidP="002E030F">
      <w:pPr>
        <w:suppressAutoHyphens/>
        <w:spacing w:after="240"/>
        <w:ind w:firstLine="720"/>
        <w:jc w:val="both"/>
      </w:pPr>
      <w:r w:rsidRPr="009D74FE">
        <w:t>The opinions and conclusions expressed herein are based on an analysis of existing laws, regulations, rulings and court decisions and cover certain matters not directly addressed by such authorities.  Such opinions or conclusions may be affected by actions taken or omitted or events occurring after the date hereof.  We have not undertaken to determine, or to inform any person, whether any such actions are taken or omitted or events do occur or any other matters come to our attention after the date hereof.</w:t>
      </w:r>
    </w:p>
    <w:p w14:paraId="6AA7B663" w14:textId="77777777" w:rsidR="002E030F" w:rsidRPr="009D74FE" w:rsidRDefault="002E030F" w:rsidP="002E030F">
      <w:pPr>
        <w:suppressAutoHyphens/>
        <w:spacing w:after="240"/>
        <w:ind w:firstLine="720"/>
        <w:jc w:val="both"/>
      </w:pPr>
      <w:r w:rsidRPr="009D74FE">
        <w:lastRenderedPageBreak/>
        <w:t xml:space="preserve">We have assumed the genuineness of all documents and signatures presented to us (whether as originals or as copies) and the due and legal execution and delivery thereof by, and validity against, any parties other than the </w:t>
      </w:r>
      <w:r>
        <w:t>Enterprise</w:t>
      </w:r>
      <w:r w:rsidRPr="009D74FE">
        <w:t>.  We have assumed, without undertaking to verify, the accuracy of the factual matters represented, warranted or certified in the documents</w:t>
      </w:r>
      <w:r>
        <w:t xml:space="preserve"> </w:t>
      </w:r>
      <w:r w:rsidRPr="009D74FE">
        <w:t>referred to in the second paragraph hereof.  We have further assumed compliance with all covenants and agreements contained in such documents.</w:t>
      </w:r>
    </w:p>
    <w:p w14:paraId="3F0CEE19" w14:textId="25356179" w:rsidR="002E030F" w:rsidRPr="004770CD" w:rsidRDefault="002E030F" w:rsidP="002E030F">
      <w:pPr>
        <w:suppressAutoHyphens/>
        <w:spacing w:after="240"/>
        <w:ind w:firstLine="720"/>
        <w:jc w:val="both"/>
      </w:pPr>
      <w:r w:rsidRPr="004770CD">
        <w:t xml:space="preserve">In addition, we call attention to the fact that the rights and obligations under the </w:t>
      </w:r>
      <w:r w:rsidR="00DD3BC4">
        <w:t>Series 2024B</w:t>
      </w:r>
      <w:r>
        <w:t xml:space="preserve"> Bonds, the </w:t>
      </w:r>
      <w:r w:rsidR="00294498">
        <w:t xml:space="preserve">Senior </w:t>
      </w:r>
      <w:r>
        <w:t xml:space="preserve">Indenture, </w:t>
      </w:r>
      <w:r w:rsidRPr="004770CD">
        <w:t xml:space="preserve">the Bond Purchase Agreement, the Continuing Disclosure </w:t>
      </w:r>
      <w:r>
        <w:t>Undertaking and the Tax Compliance Certificate</w:t>
      </w:r>
      <w:r w:rsidRPr="004770CD">
        <w:t xml:space="preserve"> and their enforce</w:t>
      </w:r>
      <w:r>
        <w:t>ab</w:t>
      </w:r>
      <w:r w:rsidRPr="004770CD">
        <w:t>ility may be subject to bankruptcy, insolvency, reorganization, arrangement, fraudulent conveyance, moratorium and other laws relating to or affecting creditors’ rights, to the application of equit</w:t>
      </w:r>
      <w:r>
        <w:t>ab</w:t>
      </w:r>
      <w:r w:rsidRPr="004770CD">
        <w:t xml:space="preserve">le principles, and to the exercise of judicial discretion in appropriate cases.  We express no opinion with respect to any indemnification, contribution, penalty, </w:t>
      </w:r>
      <w:proofErr w:type="gramStart"/>
      <w:r w:rsidRPr="004770CD">
        <w:t>choice</w:t>
      </w:r>
      <w:proofErr w:type="gramEnd"/>
      <w:r w:rsidRPr="004770CD">
        <w:t xml:space="preserve"> of law, choice of forum or waiver provisions contained in the foregoing documents.</w:t>
      </w:r>
      <w:r>
        <w:t xml:space="preserve">  </w:t>
      </w:r>
      <w:r w:rsidRPr="001C2376">
        <w:t>Except as expressly set forth in numbered paragraph</w:t>
      </w:r>
      <w:r>
        <w:t>s</w:t>
      </w:r>
      <w:r w:rsidRPr="001C2376">
        <w:t xml:space="preserve"> </w:t>
      </w:r>
      <w:r>
        <w:t>3 and 4</w:t>
      </w:r>
      <w:r w:rsidRPr="001C2376">
        <w:t xml:space="preserve"> below, we have not undertaken any responsibility for the accuracy, completeness or fairness of the Official Statement or any other offering material relating to the </w:t>
      </w:r>
      <w:r w:rsidR="00DD3BC4">
        <w:t>Series 2024B</w:t>
      </w:r>
      <w:r>
        <w:t xml:space="preserve"> Bonds</w:t>
      </w:r>
      <w:r w:rsidRPr="001C2376">
        <w:t xml:space="preserve"> and express no opinion relating thereto.</w:t>
      </w:r>
    </w:p>
    <w:p w14:paraId="6E1711C4" w14:textId="77777777" w:rsidR="002E030F" w:rsidRPr="004770CD" w:rsidRDefault="002E030F" w:rsidP="002E030F">
      <w:pPr>
        <w:keepNext/>
        <w:keepLines/>
        <w:widowControl w:val="0"/>
        <w:spacing w:after="240"/>
        <w:ind w:firstLine="720"/>
        <w:jc w:val="both"/>
      </w:pPr>
      <w:r w:rsidRPr="004770CD">
        <w:t>From such examination we are of the opinion that:</w:t>
      </w:r>
    </w:p>
    <w:p w14:paraId="0611807F" w14:textId="40B7F1AF" w:rsidR="002E030F" w:rsidRPr="00A73876" w:rsidRDefault="002E030F" w:rsidP="002E030F">
      <w:pPr>
        <w:keepNext/>
        <w:keepLines/>
        <w:widowControl w:val="0"/>
        <w:tabs>
          <w:tab w:val="left" w:pos="-720"/>
        </w:tabs>
        <w:spacing w:after="240"/>
        <w:ind w:left="720" w:firstLine="720"/>
        <w:jc w:val="both"/>
        <w:rPr>
          <w:highlight w:val="green"/>
        </w:rPr>
      </w:pPr>
      <w:r w:rsidRPr="00A73876">
        <w:t>(</w:t>
      </w:r>
      <w:r>
        <w:t>1</w:t>
      </w:r>
      <w:r w:rsidRPr="00A73876">
        <w:t>)</w:t>
      </w:r>
      <w:r w:rsidRPr="00A73876">
        <w:tab/>
      </w:r>
      <w:r>
        <w:t>T</w:t>
      </w:r>
      <w:r w:rsidRPr="00A73876">
        <w:t xml:space="preserve">he </w:t>
      </w:r>
      <w:r>
        <w:t xml:space="preserve">Bond </w:t>
      </w:r>
      <w:r w:rsidRPr="00A73876">
        <w:t>Purchase Agreement</w:t>
      </w:r>
      <w:r w:rsidR="000122EF">
        <w:t>, the Escrow Agreement</w:t>
      </w:r>
      <w:r w:rsidR="001D6324">
        <w:t xml:space="preserve">, the </w:t>
      </w:r>
      <w:r w:rsidR="001D6324" w:rsidRPr="001D6324">
        <w:t>2024B Supplemental Indenture</w:t>
      </w:r>
      <w:r w:rsidR="000122EF">
        <w:t xml:space="preserve"> and </w:t>
      </w:r>
      <w:r>
        <w:t xml:space="preserve">the </w:t>
      </w:r>
      <w:r w:rsidRPr="00A73876">
        <w:t xml:space="preserve">Continuing Disclosure </w:t>
      </w:r>
      <w:r>
        <w:t>Undertaking</w:t>
      </w:r>
      <w:r w:rsidRPr="00A73876">
        <w:t xml:space="preserve"> have been duly authorized, executed and delivered by the </w:t>
      </w:r>
      <w:r>
        <w:t>Enterprise</w:t>
      </w:r>
      <w:r w:rsidRPr="00A73876">
        <w:t xml:space="preserve"> and, assuming the due authorization, execution and delivery by the other parties thereto, as applic</w:t>
      </w:r>
      <w:r>
        <w:t>ab</w:t>
      </w:r>
      <w:r w:rsidRPr="00A73876">
        <w:t>le, constitute binding and enforce</w:t>
      </w:r>
      <w:r>
        <w:t>ab</w:t>
      </w:r>
      <w:r w:rsidRPr="00A73876">
        <w:t>l</w:t>
      </w:r>
      <w:r>
        <w:t>e obligations of the Enterprise.</w:t>
      </w:r>
    </w:p>
    <w:p w14:paraId="687B3804" w14:textId="27E8F2BF" w:rsidR="002E030F" w:rsidRPr="00107C8B" w:rsidRDefault="002E030F" w:rsidP="002E030F">
      <w:pPr>
        <w:tabs>
          <w:tab w:val="left" w:pos="-720"/>
        </w:tabs>
        <w:spacing w:after="240"/>
        <w:ind w:left="720" w:firstLine="720"/>
        <w:jc w:val="both"/>
      </w:pPr>
      <w:r w:rsidRPr="00107C8B">
        <w:t>(</w:t>
      </w:r>
      <w:r>
        <w:t>2</w:t>
      </w:r>
      <w:r w:rsidRPr="00107C8B">
        <w:t>)</w:t>
      </w:r>
      <w:r w:rsidRPr="00107C8B">
        <w:tab/>
        <w:t xml:space="preserve">The </w:t>
      </w:r>
      <w:r w:rsidR="00DD3BC4">
        <w:t>Series 2024B</w:t>
      </w:r>
      <w:r>
        <w:t xml:space="preserve"> Bonds</w:t>
      </w:r>
      <w:r w:rsidRPr="00107C8B">
        <w:t xml:space="preserve"> are exempt from registration under Section 3(a</w:t>
      </w:r>
      <w:proofErr w:type="gramStart"/>
      <w:r w:rsidRPr="00107C8B">
        <w:t>)(</w:t>
      </w:r>
      <w:proofErr w:type="gramEnd"/>
      <w:r w:rsidRPr="00107C8B">
        <w:t xml:space="preserve">2) of the Securities Act of 1933, as amended, and the </w:t>
      </w:r>
      <w:r w:rsidR="00294498">
        <w:t xml:space="preserve">Senior </w:t>
      </w:r>
      <w:r>
        <w:t>Indenture</w:t>
      </w:r>
      <w:r w:rsidRPr="00107C8B">
        <w:t xml:space="preserve"> </w:t>
      </w:r>
      <w:r>
        <w:t xml:space="preserve">is </w:t>
      </w:r>
      <w:r w:rsidRPr="00107C8B">
        <w:t>exempt from qualification under the Trust Indenture Act of 1939, as amended.</w:t>
      </w:r>
    </w:p>
    <w:p w14:paraId="5A20CDEA" w14:textId="6DB000AC" w:rsidR="002E030F" w:rsidRDefault="002E030F" w:rsidP="002E030F">
      <w:pPr>
        <w:tabs>
          <w:tab w:val="left" w:pos="-720"/>
        </w:tabs>
        <w:spacing w:after="240"/>
        <w:ind w:left="720" w:firstLine="720"/>
        <w:jc w:val="both"/>
      </w:pPr>
      <w:r w:rsidRPr="006B5DE7">
        <w:t>(3)</w:t>
      </w:r>
      <w:r w:rsidRPr="006B5DE7">
        <w:tab/>
      </w:r>
      <w:r w:rsidRPr="00FD1ED2">
        <w:t xml:space="preserve">The information in the Official Statement under the headings </w:t>
      </w:r>
      <w:r>
        <w:t>“INTRODUCTION—Security and Sources</w:t>
      </w:r>
      <w:r w:rsidR="00DD3BC4">
        <w:t xml:space="preserve"> of Payment for the Series 2024B</w:t>
      </w:r>
      <w:r>
        <w:t xml:space="preserve"> </w:t>
      </w:r>
      <w:r w:rsidR="00DD3BC4">
        <w:t xml:space="preserve">Senior </w:t>
      </w:r>
      <w:r>
        <w:t>Bonds,” “INTRODUCTION—</w:t>
      </w:r>
      <w:r w:rsidR="00DD3BC4">
        <w:t xml:space="preserve">Senior Bonds,” “INTRODUCTION—Subordinate Obligations,” </w:t>
      </w:r>
      <w:r>
        <w:t>“</w:t>
      </w:r>
      <w:r w:rsidRPr="00FD1ED2">
        <w:t xml:space="preserve">THE </w:t>
      </w:r>
      <w:r w:rsidRPr="00FD1ED2">
        <w:rPr>
          <w:caps/>
        </w:rPr>
        <w:t xml:space="preserve">Series </w:t>
      </w:r>
      <w:r w:rsidR="00DD3BC4">
        <w:rPr>
          <w:caps/>
        </w:rPr>
        <w:t>2024B SENIOR</w:t>
      </w:r>
      <w:r w:rsidRPr="00FD1ED2">
        <w:rPr>
          <w:caps/>
        </w:rPr>
        <w:t xml:space="preserve"> Bonds</w:t>
      </w:r>
      <w:r w:rsidRPr="00FD1ED2">
        <w:t xml:space="preserve">,” “SECURITY AND SOURCES OF PAYMENT FOR THE </w:t>
      </w:r>
      <w:r w:rsidRPr="00FD1ED2">
        <w:rPr>
          <w:caps/>
        </w:rPr>
        <w:t xml:space="preserve">Series </w:t>
      </w:r>
      <w:r w:rsidR="00DD3BC4">
        <w:rPr>
          <w:caps/>
        </w:rPr>
        <w:t>2024B SENIOR</w:t>
      </w:r>
      <w:r w:rsidRPr="00FD1ED2">
        <w:rPr>
          <w:caps/>
        </w:rPr>
        <w:t xml:space="preserve"> Bonds</w:t>
      </w:r>
      <w:r w:rsidRPr="00FD1ED2">
        <w:t>,”</w:t>
      </w:r>
      <w:r>
        <w:t xml:space="preserve"> </w:t>
      </w:r>
      <w:r w:rsidRPr="0023601A">
        <w:t>“OUTSTANDING OBLIGATIONS AND DEBT SERVICE SCHEDULE</w:t>
      </w:r>
      <w:r>
        <w:t>—</w:t>
      </w:r>
      <w:r w:rsidR="00DD3BC4">
        <w:t>Senior Bonds</w:t>
      </w:r>
      <w:r w:rsidRPr="0023601A">
        <w:t>,” “OUTSTANDING OBLIGATIONS AND DEBT SERVICE SCHEDULE</w:t>
      </w:r>
      <w:r>
        <w:t>—</w:t>
      </w:r>
      <w:r w:rsidR="00DD3BC4">
        <w:t>First Tier Subordinate Bonds (Central 70 Note)</w:t>
      </w:r>
      <w:r w:rsidRPr="0023601A">
        <w:t>,”</w:t>
      </w:r>
      <w:r w:rsidR="00DD3BC4">
        <w:t xml:space="preserve"> </w:t>
      </w:r>
      <w:r w:rsidR="00DD3BC4" w:rsidRPr="0023601A">
        <w:t>“OUTSTANDING OBLIGATIONS AND DEBT SERVICE SCHEDULE</w:t>
      </w:r>
      <w:r w:rsidR="00DD3BC4">
        <w:t>—Infrastructure Bonds</w:t>
      </w:r>
      <w:r w:rsidR="00DD3BC4" w:rsidRPr="0023601A">
        <w:t>,”</w:t>
      </w:r>
      <w:r w:rsidR="00DD3BC4">
        <w:t xml:space="preserve"> </w:t>
      </w:r>
      <w:r>
        <w:t>and</w:t>
      </w:r>
      <w:r w:rsidRPr="00FD1ED2">
        <w:t xml:space="preserve"> </w:t>
      </w:r>
      <w:r>
        <w:t>“</w:t>
      </w:r>
      <w:r w:rsidRPr="00FD1ED2">
        <w:t xml:space="preserve">APPENDIX </w:t>
      </w:r>
      <w:r w:rsidR="00DD3BC4">
        <w:t>D</w:t>
      </w:r>
      <w:r w:rsidRPr="00FD1ED2">
        <w:t>—</w:t>
      </w:r>
      <w:r>
        <w:t>SUMMARY O</w:t>
      </w:r>
      <w:r w:rsidR="00DD3BC4">
        <w:t>F CERTAIN PROVISIONS OF THE SENIOR</w:t>
      </w:r>
      <w:r>
        <w:t xml:space="preserve"> INDENTURE</w:t>
      </w:r>
      <w:r w:rsidRPr="00FD1ED2">
        <w:t>,” e</w:t>
      </w:r>
      <w:r w:rsidRPr="006B5DE7">
        <w:t xml:space="preserve">xcluding any material that may be treated as included under such </w:t>
      </w:r>
      <w:r>
        <w:t>headings</w:t>
      </w:r>
      <w:r w:rsidRPr="006B5DE7">
        <w:t xml:space="preserve"> by cross-reference, insofar as such statements expressly summarize certain provisions of the </w:t>
      </w:r>
      <w:r>
        <w:t xml:space="preserve">Infrastructure </w:t>
      </w:r>
      <w:r w:rsidR="00DD3BC4">
        <w:t>Indenture and the</w:t>
      </w:r>
      <w:r>
        <w:t xml:space="preserve"> </w:t>
      </w:r>
      <w:r w:rsidR="00294498">
        <w:t xml:space="preserve">Senior </w:t>
      </w:r>
      <w:r w:rsidRPr="006B5DE7">
        <w:t>Indenture, are accurate in all material respects.</w:t>
      </w:r>
    </w:p>
    <w:p w14:paraId="144B71B2" w14:textId="74F0D78A" w:rsidR="000122EF" w:rsidRDefault="002E030F" w:rsidP="002E030F">
      <w:pPr>
        <w:tabs>
          <w:tab w:val="left" w:pos="-720"/>
        </w:tabs>
        <w:spacing w:after="240"/>
        <w:ind w:left="720" w:firstLine="720"/>
        <w:jc w:val="both"/>
      </w:pPr>
      <w:r>
        <w:t>(4)</w:t>
      </w:r>
      <w:r>
        <w:tab/>
      </w:r>
      <w:r w:rsidRPr="00F0021D">
        <w:t xml:space="preserve">The information contained in the paragraph at the top of the cover page of the Official Statement and </w:t>
      </w:r>
      <w:r>
        <w:t xml:space="preserve">under the headings “INTRODUCTION—Legal and Tax </w:t>
      </w:r>
      <w:r>
        <w:lastRenderedPageBreak/>
        <w:t xml:space="preserve">Matters” and </w:t>
      </w:r>
      <w:r w:rsidRPr="00F0021D">
        <w:t xml:space="preserve">“TAX MATTERS” </w:t>
      </w:r>
      <w:r w:rsidRPr="00974899">
        <w:t>insofar as such statements expressly summarize our opinions concerning certain federal tax matters and certain State of</w:t>
      </w:r>
      <w:r>
        <w:t xml:space="preserve"> Colorado </w:t>
      </w:r>
      <w:r w:rsidRPr="00974899">
        <w:t xml:space="preserve">tax matters relating to the Series </w:t>
      </w:r>
      <w:r w:rsidR="00DD3BC4">
        <w:t>2024B</w:t>
      </w:r>
      <w:r w:rsidRPr="00974899">
        <w:t xml:space="preserve"> Bonds, are accurate in all material respects.</w:t>
      </w:r>
      <w:r w:rsidR="00A9196A" w:rsidDel="00A9196A">
        <w:t xml:space="preserve"> </w:t>
      </w:r>
      <w:r w:rsidR="00A9196A">
        <w:t xml:space="preserve"> </w:t>
      </w:r>
      <w:r w:rsidR="004D6DFD">
        <w:t xml:space="preserve"> </w:t>
      </w:r>
    </w:p>
    <w:p w14:paraId="074003F0" w14:textId="5689D207" w:rsidR="002E030F" w:rsidRPr="008B61C8" w:rsidRDefault="002E030F" w:rsidP="008C7585">
      <w:pPr>
        <w:pStyle w:val="Address"/>
        <w:spacing w:after="240"/>
        <w:ind w:firstLine="720"/>
      </w:pPr>
      <w:r w:rsidRPr="008B61C8">
        <w:t xml:space="preserve">This </w:t>
      </w:r>
      <w:r>
        <w:t xml:space="preserve">opinion </w:t>
      </w:r>
      <w:r w:rsidRPr="008B61C8">
        <w:t>letter is furnished by us as Bond Counsel</w:t>
      </w:r>
      <w:r>
        <w:t xml:space="preserve"> to the Enterprise</w:t>
      </w:r>
      <w:r w:rsidRPr="008B61C8">
        <w:t>.  No attorney-client relationship has existed or exists between our firm and</w:t>
      </w:r>
      <w:r w:rsidR="00DD3BC4" w:rsidRPr="00DD3BC4">
        <w:rPr>
          <w:rFonts w:eastAsiaTheme="minorHAnsi" w:cstheme="minorBidi"/>
          <w:szCs w:val="24"/>
        </w:rPr>
        <w:t xml:space="preserve"> </w:t>
      </w:r>
      <w:r w:rsidR="00E06091">
        <w:t>Wells Fargo Bank, National Association</w:t>
      </w:r>
      <w:r w:rsidR="000707D0">
        <w:t>,</w:t>
      </w:r>
      <w:r w:rsidR="00DD3BC4" w:rsidRPr="00DD3BC4">
        <w:t xml:space="preserve"> </w:t>
      </w:r>
      <w:r w:rsidR="008C7585">
        <w:t xml:space="preserve">Jefferies LLC, </w:t>
      </w:r>
      <w:r w:rsidR="00DD3BC4" w:rsidRPr="00DD3BC4">
        <w:t>Piper Sandler &amp; C</w:t>
      </w:r>
      <w:r w:rsidR="008C7585">
        <w:t>o., RBC Capital Markets LLC or</w:t>
      </w:r>
      <w:r w:rsidR="00DD3BC4" w:rsidRPr="00DD3BC4">
        <w:t xml:space="preserve"> Siebert Williams Shank &amp; Co., LLC </w:t>
      </w:r>
      <w:r w:rsidRPr="008B61C8">
        <w:t xml:space="preserve">in </w:t>
      </w:r>
      <w:r w:rsidR="008C7585">
        <w:t>connection with the Series 2024B</w:t>
      </w:r>
      <w:r>
        <w:t xml:space="preserve"> Bonds</w:t>
      </w:r>
      <w:r w:rsidRPr="008B61C8">
        <w:t xml:space="preserve"> or by virtue of this </w:t>
      </w:r>
      <w:r>
        <w:t xml:space="preserve">opinion </w:t>
      </w:r>
      <w:r w:rsidRPr="008B61C8">
        <w:t xml:space="preserve">letter.  This opinion </w:t>
      </w:r>
      <w:r>
        <w:t xml:space="preserve">letter </w:t>
      </w:r>
      <w:r w:rsidRPr="008B61C8">
        <w:t>is issued to a</w:t>
      </w:r>
      <w:r>
        <w:t xml:space="preserve">nd for the sole benefit of the addressees </w:t>
      </w:r>
      <w:r w:rsidRPr="008B61C8">
        <w:t>and is issued for the sole purpose of the transaction specifically referred to herei</w:t>
      </w:r>
      <w:r>
        <w:t xml:space="preserve">n.  No person other than the addressees </w:t>
      </w:r>
      <w:r w:rsidRPr="008B61C8">
        <w:t xml:space="preserve">may rely upon this opinion </w:t>
      </w:r>
      <w:r>
        <w:t xml:space="preserve">letter </w:t>
      </w:r>
      <w:r w:rsidRPr="008B61C8">
        <w:t>without our express prior written consent.  This opin</w:t>
      </w:r>
      <w:r>
        <w:t xml:space="preserve">ion letter may not be utilized by the addressees </w:t>
      </w:r>
      <w:r w:rsidRPr="008B61C8">
        <w:t xml:space="preserve">for any other purpose whatsoever and may not be quoted by such addressees without our express prior written consent.  Our engagement with respect to the </w:t>
      </w:r>
      <w:r w:rsidR="008C7585">
        <w:t>Series 2024B</w:t>
      </w:r>
      <w:r>
        <w:t xml:space="preserve"> Bonds</w:t>
      </w:r>
      <w:r w:rsidRPr="008B61C8">
        <w:t xml:space="preserve"> has concluded with their issuance.  We assume no obligation to review or supplement this </w:t>
      </w:r>
      <w:r>
        <w:t>opinion letter s</w:t>
      </w:r>
      <w:r w:rsidRPr="008B61C8">
        <w:t>ubsequent to its date, whether by reason of a change in the current laws, by legislative or regulatory action, by judicial decision or for any other reason.</w:t>
      </w:r>
    </w:p>
    <w:p w14:paraId="1B2FB8CD" w14:textId="3DE3C32A" w:rsidR="002E030F" w:rsidRDefault="002E030F" w:rsidP="002E030F">
      <w:pPr>
        <w:spacing w:after="157"/>
        <w:jc w:val="both"/>
        <w:rPr>
          <w:b/>
        </w:rPr>
      </w:pPr>
      <w:r w:rsidRPr="00E91901">
        <w:t>Very</w:t>
      </w:r>
      <w:r>
        <w:t xml:space="preserve"> truly yours,</w:t>
      </w:r>
    </w:p>
    <w:p w14:paraId="65378BF1" w14:textId="598B3026" w:rsidR="002E030F" w:rsidRDefault="002E030F" w:rsidP="00E9030F">
      <w:pPr>
        <w:spacing w:after="157"/>
        <w:jc w:val="center"/>
        <w:rPr>
          <w:b/>
        </w:rPr>
      </w:pPr>
    </w:p>
    <w:p w14:paraId="4BC31412" w14:textId="77777777" w:rsidR="002E030F" w:rsidRDefault="002E030F" w:rsidP="00E9030F">
      <w:pPr>
        <w:spacing w:after="157"/>
        <w:jc w:val="center"/>
        <w:rPr>
          <w:b/>
        </w:rPr>
        <w:sectPr w:rsidR="002E030F" w:rsidSect="00F51D19">
          <w:pgSz w:w="12240" w:h="15840"/>
          <w:pgMar w:top="1440" w:right="1440" w:bottom="1440" w:left="1440" w:header="720" w:footer="720" w:gutter="0"/>
          <w:pgNumType w:start="1"/>
          <w:cols w:space="720"/>
          <w:docGrid w:linePitch="360"/>
        </w:sectPr>
      </w:pPr>
    </w:p>
    <w:p w14:paraId="24BEB2A1" w14:textId="776BEBC1" w:rsidR="00E9030F" w:rsidRDefault="00E9030F" w:rsidP="00E9030F">
      <w:pPr>
        <w:jc w:val="center"/>
        <w:rPr>
          <w:b/>
          <w:u w:val="single"/>
        </w:rPr>
      </w:pPr>
      <w:r>
        <w:rPr>
          <w:b/>
          <w:u w:val="single"/>
        </w:rPr>
        <w:lastRenderedPageBreak/>
        <w:t>EXHIBIT C</w:t>
      </w:r>
    </w:p>
    <w:p w14:paraId="42D79F3B" w14:textId="77777777" w:rsidR="00E9030F" w:rsidRDefault="00E9030F" w:rsidP="00E9030F">
      <w:pPr>
        <w:jc w:val="center"/>
        <w:rPr>
          <w:b/>
          <w:u w:val="single"/>
        </w:rPr>
      </w:pPr>
    </w:p>
    <w:p w14:paraId="00EBB996" w14:textId="7876A3C7" w:rsidR="00E9030F" w:rsidRDefault="00E9030F" w:rsidP="00E9030F">
      <w:pPr>
        <w:spacing w:after="157"/>
        <w:jc w:val="center"/>
        <w:rPr>
          <w:b/>
        </w:rPr>
      </w:pPr>
      <w:r>
        <w:rPr>
          <w:b/>
        </w:rPr>
        <w:t>FORM OF OPINION OF DISCLOSURE COUNSEL</w:t>
      </w:r>
    </w:p>
    <w:p w14:paraId="7A760F69" w14:textId="037D9B96" w:rsidR="002964D6" w:rsidRDefault="002964D6" w:rsidP="00E9030F">
      <w:pPr>
        <w:spacing w:after="157"/>
        <w:jc w:val="center"/>
        <w:rPr>
          <w:b/>
        </w:rPr>
      </w:pPr>
    </w:p>
    <w:p w14:paraId="0F526357" w14:textId="65C9644F" w:rsidR="002964D6" w:rsidRPr="00CE3069" w:rsidRDefault="008C7585" w:rsidP="002964D6">
      <w:pPr>
        <w:pStyle w:val="BodyText"/>
        <w:spacing w:after="480"/>
        <w:ind w:firstLine="0"/>
        <w:jc w:val="center"/>
      </w:pPr>
      <w:bookmarkStart w:id="2" w:name="_Hlk162509786"/>
      <w:r>
        <w:t>December [19]</w:t>
      </w:r>
      <w:r w:rsidR="002964D6">
        <w:t>, 2024</w:t>
      </w:r>
    </w:p>
    <w:bookmarkEnd w:id="2"/>
    <w:p w14:paraId="55DEDF4B" w14:textId="77777777" w:rsidR="008C7585" w:rsidRDefault="008C7585" w:rsidP="008C7585">
      <w:pPr>
        <w:pStyle w:val="BodyText"/>
        <w:keepNext/>
        <w:spacing w:after="0"/>
        <w:ind w:firstLine="0"/>
      </w:pPr>
      <w:r>
        <w:t>Colorado Statewide Bridge and Tunnel Enterprise</w:t>
      </w:r>
    </w:p>
    <w:p w14:paraId="62291297" w14:textId="77777777" w:rsidR="008C7585" w:rsidRDefault="008C7585" w:rsidP="008C7585">
      <w:pPr>
        <w:pStyle w:val="BodyText"/>
        <w:keepNext/>
        <w:ind w:firstLine="0"/>
      </w:pPr>
      <w:r>
        <w:t>Denver, Colorado</w:t>
      </w:r>
    </w:p>
    <w:p w14:paraId="5CBB1C98" w14:textId="004B2AFE" w:rsidR="008C7585" w:rsidRDefault="00E06091" w:rsidP="008C7585">
      <w:pPr>
        <w:pStyle w:val="BodyText"/>
        <w:keepNext/>
        <w:spacing w:after="0"/>
        <w:ind w:firstLine="0"/>
      </w:pPr>
      <w:r>
        <w:t>Wells Fargo Bank, National Association</w:t>
      </w:r>
    </w:p>
    <w:p w14:paraId="1144E916" w14:textId="77777777" w:rsidR="008C7585" w:rsidRDefault="008C7585" w:rsidP="008C7585">
      <w:pPr>
        <w:pStyle w:val="BodyText"/>
        <w:keepNext/>
        <w:ind w:firstLine="0"/>
      </w:pPr>
      <w:r>
        <w:t>New York, New York</w:t>
      </w:r>
    </w:p>
    <w:p w14:paraId="1BAE99C1" w14:textId="77777777" w:rsidR="008C7585" w:rsidRDefault="008C7585" w:rsidP="008C7585">
      <w:pPr>
        <w:pStyle w:val="BodyText"/>
        <w:keepNext/>
        <w:spacing w:after="0"/>
        <w:ind w:firstLine="0"/>
      </w:pPr>
      <w:r w:rsidRPr="00A812BE">
        <w:t>Jefferies LLC</w:t>
      </w:r>
    </w:p>
    <w:p w14:paraId="144D53C3" w14:textId="77777777" w:rsidR="008C7585" w:rsidRDefault="008C7585" w:rsidP="008C7585">
      <w:pPr>
        <w:pStyle w:val="BodyText"/>
        <w:keepNext/>
        <w:ind w:firstLine="0"/>
      </w:pPr>
      <w:r>
        <w:t>New York, New York</w:t>
      </w:r>
    </w:p>
    <w:p w14:paraId="759320BA" w14:textId="77777777" w:rsidR="008C7585" w:rsidRDefault="008C7585" w:rsidP="008C7585">
      <w:pPr>
        <w:pStyle w:val="BodyText"/>
        <w:keepNext/>
        <w:spacing w:after="0"/>
        <w:ind w:firstLine="0"/>
      </w:pPr>
      <w:r w:rsidRPr="00416931">
        <w:t>Piper Sandler &amp; Co.</w:t>
      </w:r>
    </w:p>
    <w:p w14:paraId="285B64F3" w14:textId="77777777" w:rsidR="008C7585" w:rsidRDefault="008C7585" w:rsidP="008C7585">
      <w:pPr>
        <w:pStyle w:val="BodyText"/>
        <w:keepNext/>
        <w:ind w:firstLine="0"/>
      </w:pPr>
      <w:r>
        <w:t>Denver, Colorado</w:t>
      </w:r>
    </w:p>
    <w:p w14:paraId="553C8EF9" w14:textId="77777777" w:rsidR="008C7585" w:rsidRDefault="008C7585" w:rsidP="008C7585">
      <w:pPr>
        <w:pStyle w:val="BodyText"/>
        <w:keepNext/>
        <w:spacing w:after="0"/>
        <w:ind w:firstLine="0"/>
      </w:pPr>
      <w:r w:rsidRPr="00A812BE">
        <w:t>RBC Capital Markets LLC</w:t>
      </w:r>
    </w:p>
    <w:p w14:paraId="0F45D85A" w14:textId="77777777" w:rsidR="008C7585" w:rsidRDefault="008C7585" w:rsidP="008C7585">
      <w:pPr>
        <w:pStyle w:val="BodyText"/>
        <w:keepNext/>
        <w:ind w:firstLine="0"/>
      </w:pPr>
      <w:r>
        <w:t>Denver, Colorado</w:t>
      </w:r>
    </w:p>
    <w:p w14:paraId="0589ABC6" w14:textId="77777777" w:rsidR="008C7585" w:rsidRDefault="008C7585" w:rsidP="008C7585">
      <w:pPr>
        <w:pStyle w:val="BodyText"/>
        <w:keepNext/>
        <w:spacing w:after="0"/>
        <w:ind w:firstLine="0"/>
      </w:pPr>
      <w:r w:rsidRPr="00A812BE">
        <w:t>Siebert Williams Shank &amp; Co., LLC</w:t>
      </w:r>
    </w:p>
    <w:p w14:paraId="0D8F6B74" w14:textId="77777777" w:rsidR="008C7585" w:rsidRDefault="008C7585" w:rsidP="008C7585">
      <w:pPr>
        <w:pStyle w:val="BodyText"/>
        <w:keepNext/>
        <w:ind w:firstLine="0"/>
      </w:pPr>
      <w:r>
        <w:t>Los Angeles, California</w:t>
      </w:r>
    </w:p>
    <w:p w14:paraId="5219EE2C" w14:textId="77777777" w:rsidR="008C7585" w:rsidRDefault="008C7585" w:rsidP="008C7585">
      <w:pPr>
        <w:pStyle w:val="BodyText"/>
        <w:keepNext/>
        <w:spacing w:after="0"/>
        <w:ind w:firstLine="0"/>
        <w:rPr>
          <w:szCs w:val="24"/>
        </w:rPr>
      </w:pPr>
      <w:r>
        <w:rPr>
          <w:szCs w:val="24"/>
        </w:rPr>
        <w:t>Loop Capital Markets LLC</w:t>
      </w:r>
    </w:p>
    <w:p w14:paraId="47D2EE31" w14:textId="77777777" w:rsidR="008C7585" w:rsidRPr="004E0098" w:rsidRDefault="008C7585" w:rsidP="008C7585">
      <w:pPr>
        <w:pStyle w:val="BodyText"/>
        <w:keepNext/>
        <w:spacing w:after="360"/>
        <w:ind w:firstLine="0"/>
      </w:pPr>
      <w:r>
        <w:rPr>
          <w:szCs w:val="24"/>
        </w:rPr>
        <w:t xml:space="preserve">Chicago, Illinois </w:t>
      </w:r>
    </w:p>
    <w:p w14:paraId="1A84EBAD" w14:textId="4D0938B1" w:rsidR="002964D6" w:rsidRDefault="000B159F" w:rsidP="002964D6">
      <w:pPr>
        <w:pStyle w:val="BodyText"/>
        <w:spacing w:after="0"/>
        <w:ind w:firstLine="0"/>
        <w:jc w:val="center"/>
      </w:pPr>
      <w:r>
        <w:t>$</w:t>
      </w:r>
      <w:r w:rsidR="00D608A2">
        <w:t>[______]</w:t>
      </w:r>
    </w:p>
    <w:p w14:paraId="78521653" w14:textId="77777777" w:rsidR="002964D6" w:rsidRDefault="002964D6" w:rsidP="002964D6">
      <w:pPr>
        <w:pStyle w:val="BodyText"/>
        <w:spacing w:after="0"/>
        <w:ind w:firstLine="0"/>
        <w:jc w:val="center"/>
      </w:pPr>
      <w:r>
        <w:t>Colorado Bridge and Tunnel Enterprise</w:t>
      </w:r>
    </w:p>
    <w:p w14:paraId="002F5D20" w14:textId="5CBE0587" w:rsidR="002964D6" w:rsidRDefault="00D608A2" w:rsidP="002964D6">
      <w:pPr>
        <w:pStyle w:val="BodyText"/>
        <w:spacing w:after="0"/>
        <w:ind w:firstLine="0"/>
        <w:jc w:val="center"/>
      </w:pPr>
      <w:r>
        <w:t xml:space="preserve">Senior </w:t>
      </w:r>
      <w:r w:rsidR="002964D6">
        <w:t>Revenue</w:t>
      </w:r>
      <w:r>
        <w:t xml:space="preserve"> Refunding</w:t>
      </w:r>
      <w:r w:rsidR="002964D6">
        <w:t xml:space="preserve"> Bonds</w:t>
      </w:r>
    </w:p>
    <w:p w14:paraId="3414488D" w14:textId="4048CFD1" w:rsidR="002964D6" w:rsidRDefault="00D608A2" w:rsidP="002964D6">
      <w:pPr>
        <w:pStyle w:val="BodyText"/>
        <w:spacing w:after="360"/>
        <w:ind w:firstLine="0"/>
        <w:jc w:val="center"/>
      </w:pPr>
      <w:r>
        <w:t>Series 2024B</w:t>
      </w:r>
    </w:p>
    <w:p w14:paraId="09301E59" w14:textId="77777777" w:rsidR="002964D6" w:rsidRPr="00CB6EE6" w:rsidRDefault="002964D6" w:rsidP="002964D6">
      <w:pPr>
        <w:suppressAutoHyphens/>
        <w:spacing w:before="120" w:after="240"/>
      </w:pPr>
      <w:r w:rsidRPr="00CB6EE6">
        <w:t>Ladies and Gentlemen:</w:t>
      </w:r>
    </w:p>
    <w:p w14:paraId="1608E505" w14:textId="3059914F" w:rsidR="002964D6" w:rsidRDefault="002964D6" w:rsidP="00D608A2">
      <w:pPr>
        <w:pStyle w:val="BodyText"/>
      </w:pPr>
      <w:r>
        <w:t>We have acted as Disclosure Counsel to the Colorado Statewide Bridge and Tunnel Enterprise (the “</w:t>
      </w:r>
      <w:r w:rsidRPr="00D608A2">
        <w:rPr>
          <w:u w:val="single"/>
        </w:rPr>
        <w:t>Enterprise</w:t>
      </w:r>
      <w:r>
        <w:t>”), a government-owned business within the Colorado Department of Transportation (“</w:t>
      </w:r>
      <w:r w:rsidRPr="00D608A2">
        <w:rPr>
          <w:u w:val="single"/>
        </w:rPr>
        <w:t>CDOT</w:t>
      </w:r>
      <w:r>
        <w:t>”), created by the Funding Advancements for Surface Transportation and Economic Recovery Act of 2009, title 43, article 4, part 8, Colorado Revised Statutes, as amended (“</w:t>
      </w:r>
      <w:r w:rsidRPr="00D608A2">
        <w:rPr>
          <w:u w:val="single"/>
        </w:rPr>
        <w:t>FASTER</w:t>
      </w:r>
      <w:r>
        <w:t xml:space="preserve">”), in connection with the Enterprise’s issuance of </w:t>
      </w:r>
      <w:r w:rsidRPr="00B729D0">
        <w:rPr>
          <w:szCs w:val="22"/>
        </w:rPr>
        <w:t>$</w:t>
      </w:r>
      <w:r w:rsidR="00D608A2">
        <w:rPr>
          <w:szCs w:val="22"/>
        </w:rPr>
        <w:t xml:space="preserve">[______] </w:t>
      </w:r>
      <w:r w:rsidRPr="00B729D0">
        <w:rPr>
          <w:szCs w:val="22"/>
        </w:rPr>
        <w:t>aggregate principal amount of its</w:t>
      </w:r>
      <w:r>
        <w:t xml:space="preserve"> Colorado Bridge and Tunnel Enterprise </w:t>
      </w:r>
      <w:r w:rsidRPr="00514336">
        <w:t xml:space="preserve">Senior Revenue </w:t>
      </w:r>
      <w:r w:rsidR="00D608A2">
        <w:t>Refunding Bonds, Series 2024B (the “</w:t>
      </w:r>
      <w:r w:rsidR="00D608A2" w:rsidRPr="00D608A2">
        <w:rPr>
          <w:u w:val="single"/>
        </w:rPr>
        <w:t>Series 2024B</w:t>
      </w:r>
      <w:r w:rsidRPr="00D608A2">
        <w:rPr>
          <w:u w:val="single"/>
        </w:rPr>
        <w:t xml:space="preserve"> Bonds</w:t>
      </w:r>
      <w:r w:rsidRPr="00514336">
        <w:t>”).</w:t>
      </w:r>
      <w:r>
        <w:t xml:space="preserve">  </w:t>
      </w:r>
      <w:r w:rsidR="00D608A2">
        <w:t>The Series 2024B</w:t>
      </w:r>
      <w:r w:rsidRPr="00514336">
        <w:t xml:space="preserve"> Bonds are being issued pursuant to: FASTER; the Supplemental Public Securities Act, title 11, article 57, part 2, Colorado Revised Statutes</w:t>
      </w:r>
      <w:r>
        <w:t>,</w:t>
      </w:r>
      <w:r w:rsidRPr="00514336">
        <w:t xml:space="preserve"> as amended</w:t>
      </w:r>
      <w:r w:rsidR="00D608A2" w:rsidRPr="00D608A2">
        <w:t xml:space="preserve"> (the “</w:t>
      </w:r>
      <w:r w:rsidR="00D608A2" w:rsidRPr="00D608A2">
        <w:rPr>
          <w:u w:val="single"/>
        </w:rPr>
        <w:t>Supplemental Securities Act</w:t>
      </w:r>
      <w:r w:rsidR="004D6DFD">
        <w:t xml:space="preserve">”); </w:t>
      </w:r>
      <w:r w:rsidR="00D608A2" w:rsidRPr="00D608A2">
        <w:t>the Public Securities Refunding Act, C.R.S. title 11, article 56, as amended (the “</w:t>
      </w:r>
      <w:r w:rsidR="00D608A2" w:rsidRPr="00D608A2">
        <w:rPr>
          <w:u w:val="single"/>
        </w:rPr>
        <w:t>Refunding Act</w:t>
      </w:r>
      <w:r w:rsidR="004D6DFD">
        <w:t>”);</w:t>
      </w:r>
      <w:r w:rsidR="00D608A2" w:rsidRPr="00D608A2">
        <w:t xml:space="preserve"> and that certain Master Trust Indenture</w:t>
      </w:r>
      <w:r w:rsidR="004D6DFD">
        <w:t>,</w:t>
      </w:r>
      <w:r w:rsidR="00D608A2" w:rsidRPr="00D608A2">
        <w:t xml:space="preserve"> dated as of December 15, 2010 (the “</w:t>
      </w:r>
      <w:r w:rsidR="00D608A2" w:rsidRPr="00D608A2">
        <w:rPr>
          <w:u w:val="single"/>
        </w:rPr>
        <w:t>2010 Master Indenture</w:t>
      </w:r>
      <w:r w:rsidR="00D608A2" w:rsidRPr="00D608A2">
        <w:t xml:space="preserve">”) entered into between the </w:t>
      </w:r>
      <w:r w:rsidR="00D608A2" w:rsidRPr="00D608A2">
        <w:lastRenderedPageBreak/>
        <w:t xml:space="preserve">Enterprise and Wells Fargo Bank, </w:t>
      </w:r>
      <w:proofErr w:type="spellStart"/>
      <w:r w:rsidR="00D608A2" w:rsidRPr="00D608A2">
        <w:t>N.A</w:t>
      </w:r>
      <w:proofErr w:type="spellEnd"/>
      <w:r w:rsidR="00D608A2" w:rsidRPr="00D608A2">
        <w:t>., as trustee (as succeeded by Zions Bancorporation, National Association, in such capacity, the “</w:t>
      </w:r>
      <w:r w:rsidR="00C8451A" w:rsidRPr="00C8451A">
        <w:rPr>
          <w:u w:val="single"/>
        </w:rPr>
        <w:t xml:space="preserve">Senior </w:t>
      </w:r>
      <w:r w:rsidR="00D608A2" w:rsidRPr="00D608A2">
        <w:rPr>
          <w:u w:val="single"/>
        </w:rPr>
        <w:t>Trustee</w:t>
      </w:r>
      <w:r w:rsidR="00D608A2" w:rsidRPr="00D608A2">
        <w:t>”), as supplemented by (i) that certain 2010 Supplemental Trust Indenture dated as of December 15, 2010 (the “</w:t>
      </w:r>
      <w:r w:rsidR="00D608A2" w:rsidRPr="00D608A2">
        <w:rPr>
          <w:u w:val="single"/>
        </w:rPr>
        <w:t>2010 Supplemental Indenture</w:t>
      </w:r>
      <w:r w:rsidR="00D608A2" w:rsidRPr="00D608A2">
        <w:t xml:space="preserve">”) between the Enterprise and the </w:t>
      </w:r>
      <w:r w:rsidR="00C8451A">
        <w:t xml:space="preserve">Senior </w:t>
      </w:r>
      <w:r w:rsidR="00D608A2" w:rsidRPr="00D608A2">
        <w:t>Trustee; (ii) that certain 2017 Supplemental Trust Indenture dated as of December 21, 2017 (the “</w:t>
      </w:r>
      <w:r w:rsidR="00D608A2" w:rsidRPr="00D608A2">
        <w:rPr>
          <w:u w:val="single"/>
        </w:rPr>
        <w:t>2017 Supplemental Indenture</w:t>
      </w:r>
      <w:r w:rsidR="00D608A2" w:rsidRPr="00D608A2">
        <w:t xml:space="preserve">”) between the Enterprise and the </w:t>
      </w:r>
      <w:r w:rsidR="00C8451A">
        <w:t xml:space="preserve">Senior </w:t>
      </w:r>
      <w:r w:rsidR="00D608A2" w:rsidRPr="00D608A2">
        <w:t>Trustee; (iii) that certain 2019 Supplemental Trust Indenture dated as of December 3, 2019 (the “</w:t>
      </w:r>
      <w:r w:rsidR="00D608A2" w:rsidRPr="00D608A2">
        <w:rPr>
          <w:u w:val="single"/>
        </w:rPr>
        <w:t>2019 Supplemental Indenture</w:t>
      </w:r>
      <w:r w:rsidR="00D608A2" w:rsidRPr="00D608A2">
        <w:t xml:space="preserve">”) between the Enterprise and the </w:t>
      </w:r>
      <w:r w:rsidR="00C8451A">
        <w:t xml:space="preserve">Senior </w:t>
      </w:r>
      <w:r w:rsidR="00D608A2" w:rsidRPr="00D608A2">
        <w:t xml:space="preserve">Trustee; (iv) that certain 2024 Supplemental Trust Indenture dated as of April 16, 2024 between the Enterprise and the </w:t>
      </w:r>
      <w:r w:rsidR="00C8451A">
        <w:t xml:space="preserve">Senior </w:t>
      </w:r>
      <w:r w:rsidR="00D608A2" w:rsidRPr="00D608A2">
        <w:t>Trustee (the “</w:t>
      </w:r>
      <w:r w:rsidR="00D608A2" w:rsidRPr="00D608A2">
        <w:rPr>
          <w:u w:val="single"/>
        </w:rPr>
        <w:t>2024 Supplemental Indenture</w:t>
      </w:r>
      <w:r w:rsidR="00D608A2" w:rsidRPr="00D608A2">
        <w:t>”); and (v) a 2024B Supplemental Trust Indentur</w:t>
      </w:r>
      <w:r w:rsidR="0049159E">
        <w:t>e to be dated as of December [__</w:t>
      </w:r>
      <w:r w:rsidR="00D608A2" w:rsidRPr="00D608A2">
        <w:t>], 2024 (the “</w:t>
      </w:r>
      <w:r w:rsidR="00D608A2" w:rsidRPr="00D608A2">
        <w:rPr>
          <w:u w:val="single"/>
        </w:rPr>
        <w:t>2024B Supplemental Indenture</w:t>
      </w:r>
      <w:r w:rsidR="00D608A2" w:rsidRPr="00D608A2">
        <w:t xml:space="preserve">”) (the 2010 Master Indenture, as supplemented by the 2010 Supplemental Indenture, </w:t>
      </w:r>
      <w:r w:rsidR="0049159E">
        <w:t xml:space="preserve">the 2017 Supplemental Indenture, </w:t>
      </w:r>
      <w:r w:rsidR="00D608A2" w:rsidRPr="00D608A2">
        <w:t>the 2019 Supplemental Indenture</w:t>
      </w:r>
      <w:r w:rsidR="00D16EAF">
        <w:t>, the 2024 Supplemental Indenture and the 2024B Supplemental Indenture,</w:t>
      </w:r>
      <w:r w:rsidR="00D608A2" w:rsidRPr="00D608A2">
        <w:t xml:space="preserve"> collectively, the “</w:t>
      </w:r>
      <w:r w:rsidR="00294498" w:rsidRPr="00294498">
        <w:rPr>
          <w:u w:val="single"/>
        </w:rPr>
        <w:t>Senior</w:t>
      </w:r>
      <w:r w:rsidR="00294498">
        <w:t xml:space="preserve"> </w:t>
      </w:r>
      <w:r w:rsidR="00D608A2" w:rsidRPr="00D608A2">
        <w:rPr>
          <w:u w:val="single"/>
        </w:rPr>
        <w:t>Indenture</w:t>
      </w:r>
      <w:r w:rsidR="00D608A2">
        <w:t xml:space="preserve">”). </w:t>
      </w:r>
      <w:r w:rsidRPr="008F10E3">
        <w:t>Capitalized terms not otherwise defined herein shall have the meanings ascribed thereto in the</w:t>
      </w:r>
      <w:r>
        <w:t xml:space="preserve"> </w:t>
      </w:r>
      <w:r w:rsidR="00294498">
        <w:t xml:space="preserve">Senior </w:t>
      </w:r>
      <w:r w:rsidRPr="008F10E3">
        <w:t>Indenture and the hereinafter defined Preliminary Official Statement and Official Statement.</w:t>
      </w:r>
    </w:p>
    <w:p w14:paraId="6E46BC7E" w14:textId="77285179" w:rsidR="002964D6" w:rsidRDefault="002964D6" w:rsidP="00D608A2">
      <w:pPr>
        <w:pStyle w:val="00BodyText5"/>
        <w:jc w:val="both"/>
      </w:pPr>
      <w:r>
        <w:t xml:space="preserve">In our capacity as Disclosure Counsel, we participated with you and other parties in the preparation of (a) the Preliminary Official Statement dated </w:t>
      </w:r>
      <w:r w:rsidR="00D608A2">
        <w:t>November</w:t>
      </w:r>
      <w:r>
        <w:t xml:space="preserve"> </w:t>
      </w:r>
      <w:r w:rsidR="00D608A2">
        <w:t>[22]</w:t>
      </w:r>
      <w:r>
        <w:t>, 20</w:t>
      </w:r>
      <w:r w:rsidR="00D608A2">
        <w:t>24, relating to the Series 2024B</w:t>
      </w:r>
      <w:r>
        <w:t xml:space="preserve"> Bonds (the “</w:t>
      </w:r>
      <w:r w:rsidRPr="00D608A2">
        <w:rPr>
          <w:u w:val="single"/>
        </w:rPr>
        <w:t>Preliminary Official Statement</w:t>
      </w:r>
      <w:r>
        <w:t>”), and (b) the O</w:t>
      </w:r>
      <w:r w:rsidR="000B159F">
        <w:t xml:space="preserve">fficial Statement dated </w:t>
      </w:r>
      <w:r w:rsidR="00D608A2">
        <w:t>December [5], 2024, relating to the Series 2024B</w:t>
      </w:r>
      <w:r>
        <w:t xml:space="preserve"> Bonds (the “</w:t>
      </w:r>
      <w:r w:rsidRPr="00D608A2">
        <w:rPr>
          <w:u w:val="single"/>
        </w:rPr>
        <w:t>Official Statement</w:t>
      </w:r>
      <w:r>
        <w:t xml:space="preserve">”).  In the course of such participation, we generally reviewed information furnished to us by, and participated in conferences with representatives of the Enterprise; CDOT; the Office of the Attorney General of the State of Colorado; </w:t>
      </w:r>
      <w:proofErr w:type="spellStart"/>
      <w:r w:rsidRPr="007A69ED">
        <w:t>Stifel</w:t>
      </w:r>
      <w:proofErr w:type="spellEnd"/>
      <w:r w:rsidRPr="007A69ED">
        <w:t>, Nicolaus &amp; Company, Incorporated</w:t>
      </w:r>
      <w:r>
        <w:t>, municipal advisor to the Enterprise;</w:t>
      </w:r>
      <w:r w:rsidR="00D608A2" w:rsidRPr="00D608A2">
        <w:t xml:space="preserve"> </w:t>
      </w:r>
      <w:r w:rsidR="00E06091">
        <w:t>Wells Fargo Bank, National Association</w:t>
      </w:r>
      <w:r w:rsidR="00D608A2">
        <w:t xml:space="preserve">, </w:t>
      </w:r>
      <w:r w:rsidR="00D608A2" w:rsidRPr="00A812BE">
        <w:t>Jefferies LLC, Piper Sandler &amp; Co., RBC Capital Markets LLC, and Siebert Williams Shank &amp; Co., LLC</w:t>
      </w:r>
      <w:r>
        <w:t xml:space="preserve">, the </w:t>
      </w:r>
      <w:r w:rsidR="00D608A2">
        <w:t>underwriters of the Series 2024B</w:t>
      </w:r>
      <w:r>
        <w:t xml:space="preserve"> Bonds (the “</w:t>
      </w:r>
      <w:r w:rsidRPr="00D608A2">
        <w:rPr>
          <w:u w:val="single"/>
        </w:rPr>
        <w:t>Underwriters</w:t>
      </w:r>
      <w:r>
        <w:t xml:space="preserve">”); and Ballard Spahr LLP, as counsel to the Underwriters.  We also have reviewed the documents, certificates and opinions delivered this date related to </w:t>
      </w:r>
      <w:r w:rsidR="00975653">
        <w:t>the issuance of the Series 2024B</w:t>
      </w:r>
      <w:r>
        <w:t xml:space="preserve"> Bonds, other documents and records relating to the authorization, issuance, deliv</w:t>
      </w:r>
      <w:r w:rsidR="00975653">
        <w:t>ery and sale of the Series 2024B</w:t>
      </w:r>
      <w:r>
        <w:t xml:space="preserve"> Bonds and certain other files, records and documents of the Enterprise.  In addition, we have relied upon, and assumed the correctness of, the certificates of the officials of the Enterprise and upon certain documents, opinions and letters.  We are not passing upon, and do not assume any responsibility for, the accuracy, completeness or fairness of any of the statements contained in the Preliminary Official Statement or the Official Statement and make no representation that we have independently verified the accuracy, completeness or fairness of any such statements.</w:t>
      </w:r>
    </w:p>
    <w:p w14:paraId="2ABA1926" w14:textId="6AE8CF4C" w:rsidR="002964D6" w:rsidRDefault="002964D6" w:rsidP="002964D6">
      <w:pPr>
        <w:pStyle w:val="BodyText"/>
      </w:pPr>
      <w:r>
        <w:t>Based solely on the foregoing, we advise you that although we have made no independent investigation or verification of the accuracy, correctness, fairness or completeness of, and do not pass upon or assume any responsibility for, the statements included in the Preliminary Official Statement or the Official Statement, during the course of the activities described in the preceding paragraph, nothing has come to the attention of the attorneys in our firm rendering legal services to the Enterprise in connection with the preparation of the Preliminary Official Statement and the Official Statement which leads us to believe that the Preliminary Official Statement, as</w:t>
      </w:r>
      <w:r w:rsidR="00975653">
        <w:t xml:space="preserve"> of its date and as of December [5]</w:t>
      </w:r>
      <w:r>
        <w:t xml:space="preserve">, 2024, or the Official Statement, as of its date and as of the date hereof, contained or contains any untrue statement of a material fact or omitted or omits to state a material fact necessary in order to make the statements therein, in the light of the circumstances under which they were made, not misleading.  </w:t>
      </w:r>
      <w:r w:rsidRPr="00E43CC2">
        <w:t>We express no belief or opinion as to Appendices A</w:t>
      </w:r>
      <w:r w:rsidR="00975653">
        <w:t>-1</w:t>
      </w:r>
      <w:r w:rsidRPr="00E43CC2">
        <w:t>,</w:t>
      </w:r>
      <w:r w:rsidR="00975653">
        <w:t xml:space="preserve"> A-</w:t>
      </w:r>
      <w:r w:rsidR="00975653">
        <w:lastRenderedPageBreak/>
        <w:t>2</w:t>
      </w:r>
      <w:r w:rsidRPr="00E43CC2">
        <w:t xml:space="preserve"> </w:t>
      </w:r>
      <w:r>
        <w:t>B</w:t>
      </w:r>
      <w:r w:rsidRPr="00E43CC2">
        <w:t xml:space="preserve">, </w:t>
      </w:r>
      <w:r>
        <w:t>C</w:t>
      </w:r>
      <w:r w:rsidRPr="00E43CC2">
        <w:t xml:space="preserve"> or </w:t>
      </w:r>
      <w:r w:rsidR="00975653">
        <w:t>G</w:t>
      </w:r>
      <w:r w:rsidRPr="00E43CC2">
        <w:t xml:space="preserve"> to the Preliminary Official Statement </w:t>
      </w:r>
      <w:r w:rsidR="00975653">
        <w:t>and</w:t>
      </w:r>
      <w:r w:rsidRPr="00E43CC2">
        <w:t xml:space="preserve"> the Official Statement or as to any </w:t>
      </w:r>
      <w:proofErr w:type="spellStart"/>
      <w:r w:rsidRPr="00E43CC2">
        <w:t>CUSIP</w:t>
      </w:r>
      <w:proofErr w:type="spellEnd"/>
      <w:r w:rsidRPr="00E43CC2">
        <w:t xml:space="preserve"> numbers, financial, technical, statistical, economic, engineering, demographic or tabular data or forecasts, numbers, charts, tables, graphs, estimates, projections, assumptions or expressions of opinion included in the Preliminary Official Statement and the Official Statement, any information in the Preliminary Official Statement and the Official Statement under the caption “UNDERWRITING</w:t>
      </w:r>
      <w:r>
        <w:t>,</w:t>
      </w:r>
      <w:r w:rsidRPr="00E43CC2">
        <w:t xml:space="preserve">” any information in the Preliminary Official Statement or the Official Statement about the book-entry system, Cede &amp; Co. or </w:t>
      </w:r>
      <w:proofErr w:type="spellStart"/>
      <w:r w:rsidRPr="00E43CC2">
        <w:t>DTC</w:t>
      </w:r>
      <w:proofErr w:type="spellEnd"/>
      <w:r w:rsidRPr="00E43CC2">
        <w:t>, or, with respect to the Preliminary Official Statement, any permitted omissions in accordance with Rule 15c2-12 under the Securities Exchange Act of 1934, as amended</w:t>
      </w:r>
      <w:r w:rsidR="00975653">
        <w:t>.</w:t>
      </w:r>
    </w:p>
    <w:p w14:paraId="40638585" w14:textId="0553D533" w:rsidR="002964D6" w:rsidRDefault="002964D6" w:rsidP="002964D6">
      <w:pPr>
        <w:pStyle w:val="BodyText"/>
      </w:pPr>
      <w:r>
        <w:t>The scope of our engagement has not and does not extend beyond the examinations and the rendering of the conclusions expressed herein.  Our engagement with respect to the transaction referred to herein terminates upon the date of this letter.  We assume no obligation to review or supplement this letter subsequent to its date, whether by reason of a change in current laws, by legislative or regulatory action, by judicial decision or for any other reason.  The conclusions set forth in this letter are based solely upon existing laws, regulations, rulings and judicial decisions.  No person (including, but in no way by limitation, the registered and benef</w:t>
      </w:r>
      <w:r w:rsidR="00975653">
        <w:t>icial owners of the Series 2024B</w:t>
      </w:r>
      <w:r>
        <w:t xml:space="preserve"> Bonds) other than the addressees may rely upon this letter without our express prior written consent.  This letter may not be utilized by the addressees for any other purpose whatsoever and may not be quoted by the addressees without our express prior written consent.  No attorney-client relationship has existed or exists between our firm and </w:t>
      </w:r>
      <w:r w:rsidR="00975653">
        <w:t>the Underwriters</w:t>
      </w:r>
      <w:r>
        <w:t xml:space="preserve"> in </w:t>
      </w:r>
      <w:r w:rsidR="00975653">
        <w:t>connection with the Series 2024B</w:t>
      </w:r>
      <w:r>
        <w:t xml:space="preserve"> Bonds or by virtue of this letter.</w:t>
      </w:r>
    </w:p>
    <w:p w14:paraId="04C67687" w14:textId="45061A6E" w:rsidR="002964D6" w:rsidRDefault="002964D6" w:rsidP="002964D6">
      <w:pPr>
        <w:spacing w:after="157"/>
        <w:jc w:val="center"/>
        <w:rPr>
          <w:b/>
        </w:rPr>
      </w:pPr>
      <w:r w:rsidRPr="00CE3069">
        <w:t>Very truly yours,</w:t>
      </w:r>
    </w:p>
    <w:p w14:paraId="77CD6B56" w14:textId="6B47E604" w:rsidR="002964D6" w:rsidRDefault="002964D6" w:rsidP="00E9030F">
      <w:pPr>
        <w:spacing w:after="157"/>
        <w:jc w:val="center"/>
        <w:rPr>
          <w:b/>
        </w:rPr>
      </w:pPr>
    </w:p>
    <w:p w14:paraId="405022EF" w14:textId="77777777" w:rsidR="002964D6" w:rsidRDefault="002964D6" w:rsidP="00E9030F">
      <w:pPr>
        <w:spacing w:after="157"/>
        <w:jc w:val="center"/>
        <w:rPr>
          <w:b/>
        </w:rPr>
        <w:sectPr w:rsidR="002964D6" w:rsidSect="00F51D19">
          <w:footerReference w:type="default" r:id="rId18"/>
          <w:pgSz w:w="12240" w:h="15840"/>
          <w:pgMar w:top="1440" w:right="1440" w:bottom="1440" w:left="1440" w:header="720" w:footer="720" w:gutter="0"/>
          <w:pgNumType w:start="1"/>
          <w:cols w:space="720"/>
          <w:docGrid w:linePitch="360"/>
        </w:sectPr>
      </w:pPr>
    </w:p>
    <w:p w14:paraId="50F21112" w14:textId="2A686BE8" w:rsidR="00E9030F" w:rsidRDefault="00E9030F" w:rsidP="00E9030F">
      <w:pPr>
        <w:jc w:val="center"/>
        <w:rPr>
          <w:b/>
          <w:u w:val="single"/>
        </w:rPr>
      </w:pPr>
      <w:r>
        <w:rPr>
          <w:b/>
          <w:u w:val="single"/>
        </w:rPr>
        <w:lastRenderedPageBreak/>
        <w:t>EXHIBIT D</w:t>
      </w:r>
    </w:p>
    <w:p w14:paraId="7185B747" w14:textId="77777777" w:rsidR="00E9030F" w:rsidRDefault="00E9030F" w:rsidP="00E9030F">
      <w:pPr>
        <w:jc w:val="center"/>
        <w:rPr>
          <w:b/>
          <w:u w:val="single"/>
        </w:rPr>
      </w:pPr>
    </w:p>
    <w:p w14:paraId="7D5C9519" w14:textId="25B87971" w:rsidR="00B72D3D" w:rsidRDefault="00E9030F" w:rsidP="00A400E4">
      <w:pPr>
        <w:spacing w:after="79"/>
        <w:ind w:right="274"/>
        <w:jc w:val="center"/>
        <w:rPr>
          <w:b/>
        </w:rPr>
      </w:pPr>
      <w:r>
        <w:rPr>
          <w:b/>
        </w:rPr>
        <w:t>FORM OF ATTORNEY GENERAL APPROVING OPINION</w:t>
      </w:r>
    </w:p>
    <w:p w14:paraId="12450DD9" w14:textId="420F1B4C" w:rsidR="009604D9" w:rsidRDefault="009604D9" w:rsidP="009604D9">
      <w:pPr>
        <w:spacing w:after="79"/>
        <w:ind w:right="274"/>
        <w:rPr>
          <w:b/>
        </w:rPr>
      </w:pPr>
    </w:p>
    <w:p w14:paraId="75BC0663" w14:textId="49F14741" w:rsidR="009604D9" w:rsidRDefault="005817A3" w:rsidP="009604D9">
      <w:pPr>
        <w:pStyle w:val="BodyText"/>
        <w:spacing w:after="480"/>
        <w:ind w:firstLine="0"/>
        <w:jc w:val="center"/>
      </w:pPr>
      <w:r>
        <w:t>December</w:t>
      </w:r>
      <w:r w:rsidR="009604D9">
        <w:t> </w:t>
      </w:r>
      <w:r>
        <w:t>[19]</w:t>
      </w:r>
      <w:r w:rsidR="009604D9">
        <w:t>, 2024</w:t>
      </w:r>
    </w:p>
    <w:p w14:paraId="7555720F" w14:textId="77777777" w:rsidR="005817A3" w:rsidRDefault="005817A3" w:rsidP="005817A3">
      <w:pPr>
        <w:pStyle w:val="BodyText"/>
        <w:keepNext/>
        <w:spacing w:after="0"/>
        <w:ind w:firstLine="0"/>
      </w:pPr>
      <w:r>
        <w:t>Colorado Statewide Bridge and Tunnel Enterprise</w:t>
      </w:r>
    </w:p>
    <w:p w14:paraId="6A05AD3F" w14:textId="77777777" w:rsidR="005817A3" w:rsidRDefault="005817A3" w:rsidP="005817A3">
      <w:pPr>
        <w:pStyle w:val="BodyText"/>
        <w:keepNext/>
        <w:ind w:firstLine="0"/>
      </w:pPr>
      <w:r>
        <w:t>Denver, Colorado</w:t>
      </w:r>
    </w:p>
    <w:p w14:paraId="76D43734" w14:textId="52F58E8C" w:rsidR="005817A3" w:rsidRDefault="00E06091" w:rsidP="005817A3">
      <w:pPr>
        <w:pStyle w:val="BodyText"/>
        <w:keepNext/>
        <w:spacing w:after="0"/>
        <w:ind w:firstLine="0"/>
      </w:pPr>
      <w:r>
        <w:t>Wells Fargo Bank, National Association</w:t>
      </w:r>
    </w:p>
    <w:p w14:paraId="4656C69E" w14:textId="77777777" w:rsidR="005817A3" w:rsidRDefault="005817A3" w:rsidP="005817A3">
      <w:pPr>
        <w:pStyle w:val="BodyText"/>
        <w:keepNext/>
        <w:ind w:firstLine="0"/>
      </w:pPr>
      <w:r>
        <w:t>New York, New York</w:t>
      </w:r>
    </w:p>
    <w:p w14:paraId="0A0E77A4" w14:textId="77777777" w:rsidR="005817A3" w:rsidRDefault="005817A3" w:rsidP="005817A3">
      <w:pPr>
        <w:pStyle w:val="BodyText"/>
        <w:keepNext/>
        <w:spacing w:after="0"/>
        <w:ind w:firstLine="0"/>
      </w:pPr>
      <w:r w:rsidRPr="00A812BE">
        <w:t>Jefferies LLC</w:t>
      </w:r>
    </w:p>
    <w:p w14:paraId="681072B1" w14:textId="77777777" w:rsidR="005817A3" w:rsidRDefault="005817A3" w:rsidP="005817A3">
      <w:pPr>
        <w:pStyle w:val="BodyText"/>
        <w:keepNext/>
        <w:ind w:firstLine="0"/>
      </w:pPr>
      <w:r>
        <w:t>New York, New York</w:t>
      </w:r>
    </w:p>
    <w:p w14:paraId="5A0CDF45" w14:textId="77777777" w:rsidR="005817A3" w:rsidRDefault="005817A3" w:rsidP="005817A3">
      <w:pPr>
        <w:pStyle w:val="BodyText"/>
        <w:keepNext/>
        <w:spacing w:after="0"/>
        <w:ind w:firstLine="0"/>
      </w:pPr>
      <w:r w:rsidRPr="00416931">
        <w:t>Piper Sandler &amp; Co.</w:t>
      </w:r>
    </w:p>
    <w:p w14:paraId="3ADE3448" w14:textId="77777777" w:rsidR="005817A3" w:rsidRDefault="005817A3" w:rsidP="005817A3">
      <w:pPr>
        <w:pStyle w:val="BodyText"/>
        <w:keepNext/>
        <w:ind w:firstLine="0"/>
      </w:pPr>
      <w:r>
        <w:t>Denver, Colorado</w:t>
      </w:r>
    </w:p>
    <w:p w14:paraId="79887C4E" w14:textId="77777777" w:rsidR="005817A3" w:rsidRDefault="005817A3" w:rsidP="005817A3">
      <w:pPr>
        <w:pStyle w:val="BodyText"/>
        <w:keepNext/>
        <w:spacing w:after="0"/>
        <w:ind w:firstLine="0"/>
      </w:pPr>
      <w:r w:rsidRPr="00A812BE">
        <w:t>RBC Capital Markets LLC</w:t>
      </w:r>
    </w:p>
    <w:p w14:paraId="0415A77D" w14:textId="77777777" w:rsidR="005817A3" w:rsidRDefault="005817A3" w:rsidP="005817A3">
      <w:pPr>
        <w:pStyle w:val="BodyText"/>
        <w:keepNext/>
        <w:ind w:firstLine="0"/>
      </w:pPr>
      <w:r>
        <w:t>Denver, Colorado</w:t>
      </w:r>
    </w:p>
    <w:p w14:paraId="4DC7104B" w14:textId="77777777" w:rsidR="005817A3" w:rsidRDefault="005817A3" w:rsidP="005817A3">
      <w:pPr>
        <w:pStyle w:val="BodyText"/>
        <w:keepNext/>
        <w:spacing w:after="0"/>
        <w:ind w:firstLine="0"/>
      </w:pPr>
      <w:r w:rsidRPr="00A812BE">
        <w:t>Siebert Williams Shank &amp; Co., LLC</w:t>
      </w:r>
    </w:p>
    <w:p w14:paraId="68C8FBB0" w14:textId="77777777" w:rsidR="005817A3" w:rsidRDefault="005817A3" w:rsidP="005817A3">
      <w:pPr>
        <w:pStyle w:val="BodyText"/>
        <w:keepNext/>
        <w:ind w:firstLine="0"/>
      </w:pPr>
      <w:r>
        <w:t>Los Angeles, California</w:t>
      </w:r>
    </w:p>
    <w:p w14:paraId="016C851B" w14:textId="77777777" w:rsidR="005817A3" w:rsidRDefault="005817A3" w:rsidP="005817A3">
      <w:pPr>
        <w:pStyle w:val="BodyText"/>
        <w:keepNext/>
        <w:spacing w:after="0"/>
        <w:ind w:firstLine="0"/>
        <w:rPr>
          <w:szCs w:val="24"/>
        </w:rPr>
      </w:pPr>
      <w:r>
        <w:rPr>
          <w:szCs w:val="24"/>
        </w:rPr>
        <w:t>Loop Capital Markets LLC</w:t>
      </w:r>
    </w:p>
    <w:p w14:paraId="3B3AFB15" w14:textId="77777777" w:rsidR="005817A3" w:rsidRPr="004E0098" w:rsidRDefault="005817A3" w:rsidP="005817A3">
      <w:pPr>
        <w:pStyle w:val="BodyText"/>
        <w:keepNext/>
        <w:spacing w:after="360"/>
        <w:ind w:firstLine="0"/>
      </w:pPr>
      <w:r>
        <w:rPr>
          <w:szCs w:val="24"/>
        </w:rPr>
        <w:t xml:space="preserve">Chicago, Illinois </w:t>
      </w:r>
    </w:p>
    <w:p w14:paraId="26E4CC42" w14:textId="3C1EB50D" w:rsidR="009604D9" w:rsidRDefault="009604D9" w:rsidP="009604D9">
      <w:pPr>
        <w:pStyle w:val="BodyText"/>
        <w:spacing w:before="240"/>
        <w:ind w:firstLine="0"/>
      </w:pPr>
      <w:r>
        <w:t>Ladies and Gentlemen:</w:t>
      </w:r>
    </w:p>
    <w:p w14:paraId="327CD0C0" w14:textId="1AF6A10C" w:rsidR="009604D9" w:rsidRDefault="009604D9" w:rsidP="00F362BD">
      <w:pPr>
        <w:pStyle w:val="BodyText"/>
      </w:pPr>
      <w:r>
        <w:t xml:space="preserve">We have served, in a limited role, as advisory </w:t>
      </w:r>
      <w:proofErr w:type="spellStart"/>
      <w:r>
        <w:t>counsel</w:t>
      </w:r>
      <w:proofErr w:type="spellEnd"/>
      <w:r>
        <w:t xml:space="preserve"> (but not as bond or disclosure counsel) to the Colorado Bridge and Tunnel Enterprise (the “</w:t>
      </w:r>
      <w:r w:rsidRPr="005817A3">
        <w:rPr>
          <w:u w:val="single"/>
        </w:rPr>
        <w:t>Enterprise</w:t>
      </w:r>
      <w:r>
        <w:t xml:space="preserve">”) in connection with the issuance and sale by the Enterprise, pursuant to </w:t>
      </w:r>
      <w:r w:rsidR="005817A3">
        <w:t>the Funding Advancements for Surface Transportation and Economic Recovery Act of 2009, title 43, article 4, part 8, Colorado Revised Statutes, as amended (“</w:t>
      </w:r>
      <w:r w:rsidR="005817A3" w:rsidRPr="00D608A2">
        <w:rPr>
          <w:u w:val="single"/>
        </w:rPr>
        <w:t>FASTER</w:t>
      </w:r>
      <w:r w:rsidR="005817A3">
        <w:t>”)</w:t>
      </w:r>
      <w:r w:rsidR="005817A3" w:rsidRPr="00514336">
        <w:t>; the Supplemental Public Securities Act, title 11, article 57, part 2, Colorado Revised Statutes</w:t>
      </w:r>
      <w:r w:rsidR="005817A3">
        <w:t>,</w:t>
      </w:r>
      <w:r w:rsidR="005817A3" w:rsidRPr="00514336">
        <w:t xml:space="preserve"> as amended</w:t>
      </w:r>
      <w:r w:rsidR="005817A3" w:rsidRPr="00D608A2">
        <w:t xml:space="preserve"> (the “</w:t>
      </w:r>
      <w:r w:rsidR="005817A3" w:rsidRPr="00D608A2">
        <w:rPr>
          <w:u w:val="single"/>
        </w:rPr>
        <w:t>Supplemental Securities Act</w:t>
      </w:r>
      <w:r w:rsidR="0049159E">
        <w:t xml:space="preserve">”); </w:t>
      </w:r>
      <w:r w:rsidR="005817A3" w:rsidRPr="00D608A2">
        <w:t>the Public Securities Refunding Act, C.R.S. title 11, article 56, as amended (the “</w:t>
      </w:r>
      <w:r w:rsidR="005817A3" w:rsidRPr="00D608A2">
        <w:rPr>
          <w:u w:val="single"/>
        </w:rPr>
        <w:t>Refunding Act</w:t>
      </w:r>
      <w:r w:rsidR="0049159E">
        <w:t>”</w:t>
      </w:r>
      <w:r w:rsidR="00E06091">
        <w:t xml:space="preserve"> </w:t>
      </w:r>
      <w:r w:rsidR="004956CE">
        <w:t>and together with FASTER, the Supplemental Securities Act and the Refunding Act, collectively, the “</w:t>
      </w:r>
      <w:r w:rsidR="004956CE" w:rsidRPr="004956CE">
        <w:rPr>
          <w:u w:val="single"/>
        </w:rPr>
        <w:t>Act</w:t>
      </w:r>
      <w:r w:rsidR="004956CE">
        <w:t>”</w:t>
      </w:r>
      <w:r w:rsidR="005817A3" w:rsidRPr="00D608A2">
        <w:t>)</w:t>
      </w:r>
      <w:r>
        <w:t>, of $</w:t>
      </w:r>
      <w:r w:rsidR="00F362BD">
        <w:t>[_____]</w:t>
      </w:r>
      <w:r>
        <w:t xml:space="preserve"> aggregate principal amount of its “</w:t>
      </w:r>
      <w:r w:rsidRPr="009A59E1">
        <w:t xml:space="preserve">Colorado Bridge </w:t>
      </w:r>
      <w:r>
        <w:t xml:space="preserve">and Tunnel </w:t>
      </w:r>
      <w:r w:rsidRPr="009A59E1">
        <w:t>Enterprise Senior Revenue</w:t>
      </w:r>
      <w:r w:rsidR="00F362BD">
        <w:t xml:space="preserve"> Refunding</w:t>
      </w:r>
      <w:r w:rsidRPr="009A59E1">
        <w:t xml:space="preserve"> Bonds, Series </w:t>
      </w:r>
      <w:r w:rsidR="00F362BD">
        <w:t>2024B</w:t>
      </w:r>
      <w:r>
        <w:t>”</w:t>
      </w:r>
      <w:r w:rsidRPr="009A59E1">
        <w:t xml:space="preserve"> </w:t>
      </w:r>
      <w:r>
        <w:t>(the “</w:t>
      </w:r>
      <w:r w:rsidRPr="00F362BD">
        <w:rPr>
          <w:u w:val="single"/>
        </w:rPr>
        <w:t>Bonds</w:t>
      </w:r>
      <w:r>
        <w:t xml:space="preserve">”).  Capitalized terms used herein but not specifically defined have the meanings assigned in the </w:t>
      </w:r>
      <w:r w:rsidR="00294498">
        <w:t xml:space="preserve">Senior </w:t>
      </w:r>
      <w:r>
        <w:t>Indenture (defined below).</w:t>
      </w:r>
    </w:p>
    <w:p w14:paraId="7961283E" w14:textId="77777777" w:rsidR="009604D9" w:rsidRDefault="009604D9" w:rsidP="009604D9">
      <w:pPr>
        <w:pStyle w:val="BodyText"/>
      </w:pPr>
      <w:r>
        <w:t>In this connection, we have examined:</w:t>
      </w:r>
    </w:p>
    <w:p w14:paraId="18074A42" w14:textId="09A34086" w:rsidR="00F362BD" w:rsidRDefault="009604D9" w:rsidP="00F362BD">
      <w:pPr>
        <w:pStyle w:val="BodyText"/>
        <w:numPr>
          <w:ilvl w:val="0"/>
          <w:numId w:val="24"/>
        </w:numPr>
      </w:pPr>
      <w:r>
        <w:t xml:space="preserve">executed counterparts of the </w:t>
      </w:r>
      <w:r w:rsidR="00F362BD" w:rsidRPr="00F362BD">
        <w:t>Master Trust Indenture dated as of December 15, 2010 (the “</w:t>
      </w:r>
      <w:r w:rsidR="00F362BD" w:rsidRPr="00F362BD">
        <w:rPr>
          <w:u w:val="single"/>
        </w:rPr>
        <w:t>2010 Master Indenture</w:t>
      </w:r>
      <w:r w:rsidR="00F362BD" w:rsidRPr="00F362BD">
        <w:t xml:space="preserve">”) entered into between the Enterprise and Wells Fargo Bank, </w:t>
      </w:r>
      <w:proofErr w:type="spellStart"/>
      <w:r w:rsidR="00F362BD" w:rsidRPr="00F362BD">
        <w:t>N.A</w:t>
      </w:r>
      <w:proofErr w:type="spellEnd"/>
      <w:r w:rsidR="00F362BD" w:rsidRPr="00F362BD">
        <w:t xml:space="preserve">., as trustee (as succeeded by Zions Bancorporation, National </w:t>
      </w:r>
      <w:r w:rsidR="00F362BD" w:rsidRPr="00F362BD">
        <w:lastRenderedPageBreak/>
        <w:t>Association, in such capacity, the “</w:t>
      </w:r>
      <w:r w:rsidR="00C8451A" w:rsidRPr="00C8451A">
        <w:rPr>
          <w:u w:val="single"/>
        </w:rPr>
        <w:t xml:space="preserve">Senior </w:t>
      </w:r>
      <w:r w:rsidR="00F362BD" w:rsidRPr="00F362BD">
        <w:rPr>
          <w:u w:val="single"/>
        </w:rPr>
        <w:t>Trustee</w:t>
      </w:r>
      <w:r w:rsidR="00F362BD" w:rsidRPr="00F362BD">
        <w:t>”), as supplemented</w:t>
      </w:r>
      <w:r w:rsidR="0049159E">
        <w:t xml:space="preserve"> and amended</w:t>
      </w:r>
      <w:r w:rsidR="00F362BD" w:rsidRPr="00F362BD">
        <w:t xml:space="preserve"> by (i) that certain 2010 Supplemental Trust Indenture dated as of December 15, 2010 (the “</w:t>
      </w:r>
      <w:r w:rsidR="00F362BD" w:rsidRPr="00F362BD">
        <w:rPr>
          <w:u w:val="single"/>
        </w:rPr>
        <w:t>2010 Supplemental Indenture</w:t>
      </w:r>
      <w:r w:rsidR="00F362BD" w:rsidRPr="00F362BD">
        <w:t xml:space="preserve">”) between the Enterprise and the </w:t>
      </w:r>
      <w:r w:rsidR="00C8451A">
        <w:t xml:space="preserve">Senior </w:t>
      </w:r>
      <w:r w:rsidR="00F362BD" w:rsidRPr="00F362BD">
        <w:t>Trustee; (ii) that certain 2017 Supplemental Trust Indenture dated as of December 21, 2017 (the “</w:t>
      </w:r>
      <w:r w:rsidR="00F362BD" w:rsidRPr="00F362BD">
        <w:rPr>
          <w:u w:val="single"/>
        </w:rPr>
        <w:t>2017 Supplemental Indenture</w:t>
      </w:r>
      <w:r w:rsidR="00F362BD" w:rsidRPr="00F362BD">
        <w:t xml:space="preserve">”) between the Enterprise and the </w:t>
      </w:r>
      <w:r w:rsidR="00C8451A">
        <w:t xml:space="preserve">Senior </w:t>
      </w:r>
      <w:r w:rsidR="00F362BD" w:rsidRPr="00F362BD">
        <w:t>Trustee; (iii) that certain 2019 Supplemental Trust Indenture dated as of December 3, 2019 (the “</w:t>
      </w:r>
      <w:r w:rsidR="00F362BD" w:rsidRPr="00F362BD">
        <w:rPr>
          <w:u w:val="single"/>
        </w:rPr>
        <w:t>2019 Supplemental Indenture</w:t>
      </w:r>
      <w:r w:rsidR="00F362BD" w:rsidRPr="00F362BD">
        <w:t xml:space="preserve">”) between the Enterprise and the </w:t>
      </w:r>
      <w:r w:rsidR="00C8451A">
        <w:t xml:space="preserve">Senior </w:t>
      </w:r>
      <w:r w:rsidR="00F362BD" w:rsidRPr="00F362BD">
        <w:t xml:space="preserve">Trustee; (iv) that certain 2024 Supplemental Trust Indenture dated as of April 16, 2024 between the Enterprise and the </w:t>
      </w:r>
      <w:r w:rsidR="00C8451A">
        <w:t xml:space="preserve">Senior </w:t>
      </w:r>
      <w:r w:rsidR="00F362BD" w:rsidRPr="00F362BD">
        <w:t>Trustee (the “</w:t>
      </w:r>
      <w:r w:rsidR="00F362BD" w:rsidRPr="00F362BD">
        <w:rPr>
          <w:u w:val="single"/>
        </w:rPr>
        <w:t>2024 Supplemental Indenture</w:t>
      </w:r>
      <w:r w:rsidR="00F362BD" w:rsidRPr="00F362BD">
        <w:t>”); and (v) a 2024B Supplemental Trust In</w:t>
      </w:r>
      <w:r w:rsidR="0049159E">
        <w:t>denture dated as of December [__</w:t>
      </w:r>
      <w:r w:rsidR="00F362BD" w:rsidRPr="00F362BD">
        <w:t>], 2024 (the “</w:t>
      </w:r>
      <w:r w:rsidR="00F362BD" w:rsidRPr="00F362BD">
        <w:rPr>
          <w:u w:val="single"/>
        </w:rPr>
        <w:t>2024B Supplemental Indenture</w:t>
      </w:r>
      <w:r w:rsidR="00F362BD" w:rsidRPr="00F362BD">
        <w:t xml:space="preserve">”) (the 2010 Master Indenture, as supplemented by the 2010 Supplemental Indenture, </w:t>
      </w:r>
      <w:r w:rsidR="00D16EAF">
        <w:t xml:space="preserve">the 2017 Supplemental Indenture, </w:t>
      </w:r>
      <w:r w:rsidR="00F362BD" w:rsidRPr="00F362BD">
        <w:t>the 2019 Supplemental Indenture</w:t>
      </w:r>
      <w:r w:rsidR="00D16EAF">
        <w:t>, the 2024 Supplemental Indenture and the 2024B Supplemental Indenture,</w:t>
      </w:r>
      <w:r w:rsidR="00F362BD" w:rsidRPr="00F362BD">
        <w:t xml:space="preserve"> collectively, the “</w:t>
      </w:r>
      <w:r w:rsidR="00294498" w:rsidRPr="00294498">
        <w:rPr>
          <w:u w:val="single"/>
        </w:rPr>
        <w:t xml:space="preserve">Senior </w:t>
      </w:r>
      <w:r w:rsidR="00F362BD" w:rsidRPr="00294498">
        <w:rPr>
          <w:u w:val="single"/>
        </w:rPr>
        <w:t>Indenture</w:t>
      </w:r>
      <w:r w:rsidR="00F362BD" w:rsidRPr="00F362BD">
        <w:t xml:space="preserve">”). </w:t>
      </w:r>
    </w:p>
    <w:p w14:paraId="0C4C4C8A" w14:textId="028CF725" w:rsidR="00F362BD" w:rsidRDefault="009604D9" w:rsidP="00F362BD">
      <w:pPr>
        <w:pStyle w:val="BodyText"/>
        <w:numPr>
          <w:ilvl w:val="0"/>
          <w:numId w:val="24"/>
        </w:numPr>
      </w:pPr>
      <w:r>
        <w:t xml:space="preserve">an executed counterpart of the </w:t>
      </w:r>
      <w:r w:rsidRPr="00487617">
        <w:t xml:space="preserve">Bond Purchase Agreement dated </w:t>
      </w:r>
      <w:r w:rsidR="000707D0">
        <w:t>December</w:t>
      </w:r>
      <w:r>
        <w:t> </w:t>
      </w:r>
      <w:r w:rsidR="000707D0">
        <w:t>[5]</w:t>
      </w:r>
      <w:r>
        <w:t>, 2024</w:t>
      </w:r>
      <w:r w:rsidRPr="00487617">
        <w:t xml:space="preserve"> (the </w:t>
      </w:r>
      <w:r>
        <w:t>“</w:t>
      </w:r>
      <w:r w:rsidRPr="000707D0">
        <w:rPr>
          <w:u w:val="single"/>
        </w:rPr>
        <w:t>Bond Purchase Agreement</w:t>
      </w:r>
      <w:r>
        <w:t>”</w:t>
      </w:r>
      <w:r w:rsidRPr="00487617">
        <w:t>) between the Enterprise and</w:t>
      </w:r>
      <w:r w:rsidR="000707D0">
        <w:t xml:space="preserve"> </w:t>
      </w:r>
      <w:r w:rsidR="00E06091">
        <w:t>Wells Fargo Bank, National Association</w:t>
      </w:r>
      <w:r w:rsidR="000707D0">
        <w:t xml:space="preserve"> on behalf of itself and as representative of </w:t>
      </w:r>
      <w:r w:rsidR="000707D0" w:rsidRPr="00A812BE">
        <w:t>Jefferies LLC, Loop Capital Markets LLC, Piper Sandler &amp; Co., RBC Capital Markets LLC, and Siebert Williams Shank &amp; Co., LLC</w:t>
      </w:r>
      <w:r w:rsidR="000707D0">
        <w:t xml:space="preserve"> </w:t>
      </w:r>
      <w:r w:rsidRPr="00487617">
        <w:t>(</w:t>
      </w:r>
      <w:r>
        <w:t xml:space="preserve">collectively, </w:t>
      </w:r>
      <w:r w:rsidRPr="00487617">
        <w:t xml:space="preserve">the </w:t>
      </w:r>
      <w:r>
        <w:t>“</w:t>
      </w:r>
      <w:r w:rsidRPr="000707D0">
        <w:rPr>
          <w:u w:val="single"/>
        </w:rPr>
        <w:t>Underwriters</w:t>
      </w:r>
      <w:r>
        <w:t>”</w:t>
      </w:r>
      <w:r w:rsidRPr="00487617">
        <w:t>)</w:t>
      </w:r>
      <w:r>
        <w:t>;</w:t>
      </w:r>
    </w:p>
    <w:p w14:paraId="0B980BDD" w14:textId="6D2E2298" w:rsidR="00855559" w:rsidRDefault="009604D9" w:rsidP="00F362BD">
      <w:pPr>
        <w:pStyle w:val="BodyText"/>
        <w:numPr>
          <w:ilvl w:val="0"/>
          <w:numId w:val="24"/>
        </w:numPr>
      </w:pPr>
      <w:r>
        <w:t xml:space="preserve">an executed counterpart of the Continuing Disclosure Undertaking dated as of </w:t>
      </w:r>
      <w:r w:rsidR="00F362BD">
        <w:t>December</w:t>
      </w:r>
      <w:r>
        <w:t> </w:t>
      </w:r>
      <w:r w:rsidR="00F362BD">
        <w:t>[19]</w:t>
      </w:r>
      <w:r>
        <w:t>, 2024, relating to the Bonds (the “</w:t>
      </w:r>
      <w:r w:rsidRPr="00F362BD">
        <w:rPr>
          <w:u w:val="single"/>
        </w:rPr>
        <w:t>Continuing Disclosure Undertaking</w:t>
      </w:r>
      <w:r>
        <w:t>”</w:t>
      </w:r>
      <w:r w:rsidR="00855559">
        <w:t>)</w:t>
      </w:r>
      <w:r>
        <w:t xml:space="preserve">; </w:t>
      </w:r>
    </w:p>
    <w:p w14:paraId="6B382E0C" w14:textId="50578E4A" w:rsidR="00F362BD" w:rsidRDefault="00855559" w:rsidP="00F362BD">
      <w:pPr>
        <w:pStyle w:val="BodyText"/>
        <w:numPr>
          <w:ilvl w:val="0"/>
          <w:numId w:val="24"/>
        </w:numPr>
      </w:pPr>
      <w:r w:rsidRPr="00855559">
        <w:t xml:space="preserve"> an executed counterpart of the</w:t>
      </w:r>
      <w:r w:rsidRPr="00855559">
        <w:rPr>
          <w:i/>
        </w:rPr>
        <w:t xml:space="preserve"> </w:t>
      </w:r>
      <w:r w:rsidRPr="00855559">
        <w:t>Defeasance Escrow Agreement dated [___], 2024</w:t>
      </w:r>
      <w:r w:rsidRPr="00855559">
        <w:rPr>
          <w:i/>
        </w:rPr>
        <w:t xml:space="preserve"> </w:t>
      </w:r>
      <w:r w:rsidRPr="00855559">
        <w:t>by and between the Enterprise and Zions Bancorporation, National Association, as escrow agent</w:t>
      </w:r>
      <w:r w:rsidRPr="00855559">
        <w:rPr>
          <w:i/>
        </w:rPr>
        <w:t xml:space="preserve"> </w:t>
      </w:r>
      <w:r w:rsidRPr="00855559">
        <w:t>(the “</w:t>
      </w:r>
      <w:r w:rsidRPr="00855559">
        <w:rPr>
          <w:u w:val="single"/>
        </w:rPr>
        <w:t>Escrow Agreement</w:t>
      </w:r>
      <w:r w:rsidRPr="00855559">
        <w:t>” and together with the Senior Indenture</w:t>
      </w:r>
      <w:r>
        <w:t xml:space="preserve">, </w:t>
      </w:r>
      <w:r w:rsidRPr="00855559">
        <w:t>the Bond Purchase Agreement</w:t>
      </w:r>
      <w:r>
        <w:t xml:space="preserve"> and the Continuing Disclosure Undertaking</w:t>
      </w:r>
      <w:r w:rsidRPr="00855559">
        <w:t>, the “</w:t>
      </w:r>
      <w:r w:rsidRPr="00855559">
        <w:rPr>
          <w:u w:val="single"/>
        </w:rPr>
        <w:t>Agreements</w:t>
      </w:r>
      <w:r>
        <w:t>”</w:t>
      </w:r>
      <w:r w:rsidRPr="00855559">
        <w:t>)</w:t>
      </w:r>
      <w:r>
        <w:t xml:space="preserve">; </w:t>
      </w:r>
      <w:r w:rsidR="009604D9">
        <w:t>and</w:t>
      </w:r>
    </w:p>
    <w:p w14:paraId="13C44AF8" w14:textId="25CC0A9B" w:rsidR="009604D9" w:rsidRDefault="009604D9" w:rsidP="00F362BD">
      <w:pPr>
        <w:pStyle w:val="BodyText"/>
        <w:numPr>
          <w:ilvl w:val="0"/>
          <w:numId w:val="24"/>
        </w:numPr>
      </w:pPr>
      <w:proofErr w:type="gramStart"/>
      <w:r>
        <w:t>copies</w:t>
      </w:r>
      <w:proofErr w:type="gramEnd"/>
      <w:r>
        <w:t xml:space="preserve"> of the Preliminary Official Statement dated </w:t>
      </w:r>
      <w:r w:rsidR="00F362BD">
        <w:t xml:space="preserve">November </w:t>
      </w:r>
      <w:r>
        <w:t> </w:t>
      </w:r>
      <w:r w:rsidR="00F362BD">
        <w:t>[22]</w:t>
      </w:r>
      <w:r>
        <w:t>, 2024 relating to the Bonds (the “</w:t>
      </w:r>
      <w:r w:rsidRPr="00F362BD">
        <w:rPr>
          <w:u w:val="single"/>
        </w:rPr>
        <w:t>Preliminary Official Statement</w:t>
      </w:r>
      <w:r>
        <w:t xml:space="preserve">”) and the Official Statement dated </w:t>
      </w:r>
      <w:r w:rsidR="00F362BD">
        <w:t>December</w:t>
      </w:r>
      <w:r>
        <w:t> </w:t>
      </w:r>
      <w:r w:rsidR="00F362BD">
        <w:t>[5]</w:t>
      </w:r>
      <w:r>
        <w:t>, 2024 relating to the Bonds (the “</w:t>
      </w:r>
      <w:r w:rsidRPr="00F362BD">
        <w:rPr>
          <w:u w:val="single"/>
        </w:rPr>
        <w:t>Official Statement</w:t>
      </w:r>
      <w:r>
        <w:t>”).</w:t>
      </w:r>
    </w:p>
    <w:p w14:paraId="6C7CCEDA" w14:textId="77777777" w:rsidR="009604D9" w:rsidRDefault="009604D9" w:rsidP="009604D9">
      <w:pPr>
        <w:pStyle w:val="BodyText"/>
      </w:pPr>
      <w:r>
        <w:t>We have also examined originals or copies, certified or otherwise identified to our satisfaction, of such other documents, public records and other instruments and have conducted such other investigations as we have deemed necessary for purposes of this opinion. As to questions of fact material to our opinion, we have relied upon such certified proceedings and certifications of public officials and others furnished to us, without undertaking to verify the same by independent investigation.</w:t>
      </w:r>
    </w:p>
    <w:p w14:paraId="0B187B55" w14:textId="77777777" w:rsidR="009604D9" w:rsidRDefault="009604D9" w:rsidP="009604D9">
      <w:pPr>
        <w:pStyle w:val="BodyText"/>
      </w:pPr>
      <w:r>
        <w:t>Based upon the foregoing, as of the date hereof and under existing law, we are of the opinion that:</w:t>
      </w:r>
    </w:p>
    <w:p w14:paraId="4540225A" w14:textId="43C25A11" w:rsidR="009604D9" w:rsidRDefault="009604D9" w:rsidP="008648B8">
      <w:pPr>
        <w:pStyle w:val="BodyText"/>
        <w:ind w:left="1080" w:hanging="720"/>
      </w:pPr>
      <w:r>
        <w:lastRenderedPageBreak/>
        <w:t>1.</w:t>
      </w:r>
      <w:r>
        <w:tab/>
        <w:t xml:space="preserve">The Enterprise is a government-owned business within the Colorado Department of Transportation and an enterprise within the meaning of Article X, Section 20(2)(d) of the Colorado Constitution, duly created, organized and existing under the laws of the State, specifically the Act, and has full legal right, power and authority under the Act and other applicable State law and resolutions of the Enterprise's board of directors to (a) enter into, execute and deliver the Agreements, (b) sell, issue and deliver the Bonds to the Underwriters as provided in the </w:t>
      </w:r>
      <w:r w:rsidR="00294498">
        <w:t xml:space="preserve">Senior </w:t>
      </w:r>
      <w:r>
        <w:t>Indenture and the Bond Purchase Agreement, and (c) carry out and consummate the transactions contemplated by the Agreements and the Official Statement; and the Enterprise has complied in all respects with the terms of the Act and all other applicable State law, the resolutions of the Enterprise's board of directors (the “</w:t>
      </w:r>
      <w:r w:rsidRPr="004956CE">
        <w:rPr>
          <w:u w:val="single"/>
        </w:rPr>
        <w:t>Enterprise Board</w:t>
      </w:r>
      <w:r>
        <w:t>”) and the Agreements, as they pertain to such transactions.</w:t>
      </w:r>
    </w:p>
    <w:p w14:paraId="4872B28F" w14:textId="77777777" w:rsidR="009604D9" w:rsidRDefault="009604D9" w:rsidP="008648B8">
      <w:pPr>
        <w:pStyle w:val="BodyText"/>
        <w:ind w:left="1080" w:hanging="720"/>
      </w:pPr>
      <w:r>
        <w:t>2.</w:t>
      </w:r>
      <w:r>
        <w:tab/>
        <w:t>By all necessary official action of the Enterprise, the Enterprise has duly authorized (A) the issuance and sale of the Bonds, (B) the approval, execution and delivery of, and the performance by the Enterprise of the obligations on its part, contained in the Bonds and the Agreements, and (C) the consummation by it of all other transactions contemplated by the Official Statement, the Agreements and any and all such other agreements and documents as may be required to be executed, delivered and/or received by the Enterprise in order to carry out, give effect to, and consummate the transactions contemplated in the Bond Purchase Agreement and in the Official Statement.</w:t>
      </w:r>
    </w:p>
    <w:p w14:paraId="7338E5F2" w14:textId="64283251" w:rsidR="009604D9" w:rsidRDefault="009604D9" w:rsidP="008648B8">
      <w:pPr>
        <w:pStyle w:val="BodyText"/>
        <w:ind w:left="1080" w:hanging="720"/>
      </w:pPr>
      <w:r>
        <w:t>3.</w:t>
      </w:r>
      <w:r>
        <w:tab/>
        <w:t xml:space="preserve">The Agreements have been duly authorized, executed and delivered by the Enterprise, and constitute legal, valid and binding obligations of the Enterprise enforceable against the Enterprise in accordance with their respective terms, except to the extent limited by bankruptcy, insolvency, reorganization, moratorium or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the powers delegated to it by the Constitution of the United States; and the Bonds constitute legal, valid and binding obligations of the Enterprise entitled to the benefits of the </w:t>
      </w:r>
      <w:r w:rsidR="00294498">
        <w:t xml:space="preserve">Senior </w:t>
      </w:r>
      <w:r>
        <w:t xml:space="preserve">Indenture and enforceable in accordance with their terms, subject to bankruptcy, insolvency, reorganization, moratorium and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the powers delegated to it by the Constitution of the United States; and upon the issuance, authentication and delivery of the Bonds as aforesaid, the </w:t>
      </w:r>
      <w:r w:rsidR="00294498">
        <w:t xml:space="preserve">Senior </w:t>
      </w:r>
      <w:r>
        <w:t>Indenture will provide, for the benefit of the Owners of the Bonds from time to time, the legally valid and binding pledge of and lien on the Trust Estate that it purports to create;</w:t>
      </w:r>
    </w:p>
    <w:p w14:paraId="68DA787C" w14:textId="77777777" w:rsidR="009604D9" w:rsidRDefault="009604D9" w:rsidP="008648B8">
      <w:pPr>
        <w:pStyle w:val="BodyText"/>
        <w:ind w:left="1080" w:hanging="720"/>
      </w:pPr>
      <w:r>
        <w:t>4.</w:t>
      </w:r>
      <w:r>
        <w:tab/>
        <w:t>The use and distribution of the Preliminary Official Statement and the Official Statement have been duly authorized by the Enterprise;</w:t>
      </w:r>
    </w:p>
    <w:p w14:paraId="204D2BC1" w14:textId="77777777" w:rsidR="009604D9" w:rsidRDefault="009604D9" w:rsidP="008648B8">
      <w:pPr>
        <w:pStyle w:val="BodyText"/>
        <w:ind w:left="1080" w:hanging="720"/>
      </w:pPr>
      <w:r>
        <w:t>5.</w:t>
      </w:r>
      <w:r>
        <w:tab/>
        <w:t xml:space="preserve">All authorizations, approvals, licenses, permits, consents and orders of any governmental authority, legislative body, board, agency or commission having </w:t>
      </w:r>
      <w:r>
        <w:lastRenderedPageBreak/>
        <w:t>jurisdiction of the matter that are required for the due authorization of, which would constitute a condition precedent to, or the absence of which would materially adversely affect the due performance by the Enterprise of its obligations under the Agreements and the Bonds have been obtained;</w:t>
      </w:r>
    </w:p>
    <w:p w14:paraId="4B944482" w14:textId="3079994C" w:rsidR="009604D9" w:rsidRDefault="009604D9" w:rsidP="008648B8">
      <w:pPr>
        <w:pStyle w:val="BodyText"/>
        <w:ind w:left="1080" w:hanging="720"/>
      </w:pPr>
      <w:r>
        <w:t>6.</w:t>
      </w:r>
      <w:r>
        <w:tab/>
        <w:t>E</w:t>
      </w:r>
      <w:r w:rsidRPr="007E754B">
        <w:t xml:space="preserve">xcept as described in the Preliminary Official Statement and the Official Statement, no litigation, action, suit, proceeding, inquiry or investigation, at law or in equity, before or by any court, government agency, public board or body, is pending or, to the best of </w:t>
      </w:r>
      <w:r>
        <w:t>the</w:t>
      </w:r>
      <w:r w:rsidRPr="007E754B">
        <w:t xml:space="preserve"> knowledge </w:t>
      </w:r>
      <w:r>
        <w:t xml:space="preserve">of the undersigned </w:t>
      </w:r>
      <w:r w:rsidRPr="007E754B">
        <w:t>after due inquiry, threatened against the Enterprise</w:t>
      </w:r>
      <w:r>
        <w:t xml:space="preserve">: </w:t>
      </w:r>
      <w:r w:rsidRPr="007E754B">
        <w:t>(</w:t>
      </w:r>
      <w:r>
        <w:t>a</w:t>
      </w:r>
      <w:r w:rsidRPr="007E754B">
        <w:t>) the outcome of which, if not in favor of the Enterprise, would materially adversely affect the existence of the Enterprise, the authority of its officers, the sale, issuance or delivery of the Bonds or the validity or enforceability of the Bonds; (</w:t>
      </w:r>
      <w:r>
        <w:t>b</w:t>
      </w:r>
      <w:r w:rsidRPr="007E754B">
        <w:t xml:space="preserve">) seeking to prohibit, restrain or enjoin the implementation of </w:t>
      </w:r>
      <w:r>
        <w:t>the Act</w:t>
      </w:r>
      <w:r w:rsidRPr="007E754B">
        <w:t xml:space="preserve">, the execution and delivery of or the performance by the Enterprise of its obligations under the </w:t>
      </w:r>
      <w:r>
        <w:t>Agreements</w:t>
      </w:r>
      <w:r w:rsidRPr="007E754B">
        <w:t xml:space="preserve">, the sale, issuance or delivery of the Bonds in accordance with the </w:t>
      </w:r>
      <w:r w:rsidR="00294498">
        <w:t xml:space="preserve">Senior </w:t>
      </w:r>
      <w:r w:rsidRPr="007E754B">
        <w:t xml:space="preserve">Indenture and </w:t>
      </w:r>
      <w:r>
        <w:t>the Bond</w:t>
      </w:r>
      <w:r w:rsidRPr="007E754B">
        <w:t xml:space="preserve"> Purchase Agreement</w:t>
      </w:r>
      <w:r>
        <w:t>,</w:t>
      </w:r>
      <w:r w:rsidRPr="007E754B">
        <w:t xml:space="preserve"> or the performance by the Enterprise of its obligations under the Bonds, the pledge of the Trust Estate under the </w:t>
      </w:r>
      <w:r w:rsidR="00294498">
        <w:t xml:space="preserve">Senior </w:t>
      </w:r>
      <w:r w:rsidRPr="007E754B">
        <w:t xml:space="preserve">Indenture, the collection or deposit of the Revenues as provided under the </w:t>
      </w:r>
      <w:r w:rsidR="00294498">
        <w:t xml:space="preserve">Senior </w:t>
      </w:r>
      <w:r w:rsidRPr="007E754B">
        <w:t xml:space="preserve">Indenture, or the application of proceeds of the Bonds as contemplated by the Official Statement and provided under the </w:t>
      </w:r>
      <w:r w:rsidR="00294498">
        <w:t xml:space="preserve">Senior </w:t>
      </w:r>
      <w:r w:rsidRPr="007E754B">
        <w:t>Indenture; (</w:t>
      </w:r>
      <w:r>
        <w:t>c</w:t>
      </w:r>
      <w:r w:rsidRPr="007E754B">
        <w:t xml:space="preserve">) in any way contesting </w:t>
      </w:r>
      <w:r>
        <w:t xml:space="preserve">(i) </w:t>
      </w:r>
      <w:r w:rsidRPr="007E754B">
        <w:t xml:space="preserve">the validity or enforceability of the Bonds or the </w:t>
      </w:r>
      <w:r>
        <w:t>Agreements</w:t>
      </w:r>
      <w:r w:rsidRPr="007E754B">
        <w:t xml:space="preserve"> or</w:t>
      </w:r>
      <w:r>
        <w:t xml:space="preserve"> (ii) </w:t>
      </w:r>
      <w:r w:rsidRPr="007E754B">
        <w:t>the exemption of the Bonds and the transfer of and income from the Bonds from all federal and State taxation and assessments</w:t>
      </w:r>
      <w:r>
        <w:t>;</w:t>
      </w:r>
      <w:r w:rsidRPr="007E754B">
        <w:t xml:space="preserve"> (</w:t>
      </w:r>
      <w:r>
        <w:t>d</w:t>
      </w:r>
      <w:r w:rsidRPr="007E754B">
        <w:t>) contesting in any way the completeness or accuracy of the Preliminary Official Statement or the Official Statement</w:t>
      </w:r>
      <w:r>
        <w:t>;</w:t>
      </w:r>
      <w:r w:rsidRPr="007E754B">
        <w:t xml:space="preserve"> or (</w:t>
      </w:r>
      <w:r>
        <w:t>e</w:t>
      </w:r>
      <w:r w:rsidRPr="007E754B">
        <w:t xml:space="preserve">) contesting the powers of the Enterprise or any authority for the issuance of the Bonds, the execution and delivery of the </w:t>
      </w:r>
      <w:r>
        <w:t>Agreements</w:t>
      </w:r>
      <w:r w:rsidRPr="007E754B">
        <w:t xml:space="preserve"> or the adoption of the </w:t>
      </w:r>
      <w:r>
        <w:t>resolution of the Enterprise Board authorizing the issuance of the Bonds and the execution and delivery of the Agreements</w:t>
      </w:r>
      <w:r w:rsidRPr="007E754B">
        <w:t xml:space="preserve">; nor, to the best knowledge of the </w:t>
      </w:r>
      <w:r>
        <w:t>undersigned</w:t>
      </w:r>
      <w:r w:rsidRPr="007E754B">
        <w:t xml:space="preserve">, is there any basis therefor, wherein an unfavorable decision, ruling or finding would materially adversely affect the validity or enforceability of the Bonds or the </w:t>
      </w:r>
      <w:r>
        <w:t>Agreements.</w:t>
      </w:r>
    </w:p>
    <w:p w14:paraId="12150E50" w14:textId="77777777" w:rsidR="009604D9" w:rsidRDefault="009604D9" w:rsidP="008648B8">
      <w:pPr>
        <w:pStyle w:val="BodyText"/>
        <w:ind w:left="1080" w:hanging="720"/>
      </w:pPr>
      <w:r>
        <w:t>7.</w:t>
      </w:r>
      <w:r>
        <w:tab/>
        <w:t>The execution and delivery of the Agreements and compliance by the Enterprise with the provisions thereof, under the circumstances contemplated therein, will not conflict with or constitute on the part of the Enterprise a material breach of or a default under any agreement or instrument to which the Enterprise is a party, or violate any existing law, administrative regulation, court order, or consent decree to which the Enterprise is subject.</w:t>
      </w:r>
    </w:p>
    <w:p w14:paraId="4CD2D9CB" w14:textId="3D6E0185" w:rsidR="009604D9" w:rsidRDefault="009604D9" w:rsidP="008648B8">
      <w:pPr>
        <w:pStyle w:val="BodyText"/>
        <w:ind w:left="1080" w:hanging="720"/>
      </w:pPr>
      <w:r w:rsidRPr="004D3F5F">
        <w:t>8.</w:t>
      </w:r>
      <w:r w:rsidRPr="004D3F5F">
        <w:tab/>
        <w:t xml:space="preserve">While we have not made an independent investigation of the matters set forth in the </w:t>
      </w:r>
      <w:r>
        <w:t xml:space="preserve">Preliminary Official Statement and the </w:t>
      </w:r>
      <w:r w:rsidRPr="004D3F5F">
        <w:t xml:space="preserve">Official Statement, and do not assume responsibility for the accuracy, completeness or fairness of the </w:t>
      </w:r>
      <w:r>
        <w:t xml:space="preserve">Preliminary </w:t>
      </w:r>
      <w:r w:rsidRPr="004D3F5F">
        <w:t>Official Statement</w:t>
      </w:r>
      <w:r>
        <w:t xml:space="preserve"> or the Official Statement,</w:t>
      </w:r>
      <w:r w:rsidRPr="004D3F5F">
        <w:t xml:space="preserve"> or </w:t>
      </w:r>
      <w:r>
        <w:t>the</w:t>
      </w:r>
      <w:r w:rsidRPr="004D3F5F">
        <w:t xml:space="preserve"> sufficiency </w:t>
      </w:r>
      <w:r>
        <w:t xml:space="preserve">thereof </w:t>
      </w:r>
      <w:r w:rsidRPr="004D3F5F">
        <w:t xml:space="preserve">under the applicable disclosure laws, on the basis of our review of the sections of the </w:t>
      </w:r>
      <w:r>
        <w:t xml:space="preserve">Preliminary Official Statement and of the </w:t>
      </w:r>
      <w:r w:rsidRPr="004D3F5F">
        <w:t>Official Statement titled “COLORADO BRIDGE AND TUNNEL ENTERPRISE,” “THE COLORADO DEPARTMENT OF TRANSPORTATION,” “OUTSTANDING OBLIGATIONS AND DEBT SERVICE SCHEDULE” and “LEGAL MATTERS</w:t>
      </w:r>
      <w:r w:rsidR="005535C8">
        <w:t>”</w:t>
      </w:r>
      <w:r w:rsidRPr="004D3F5F">
        <w:t xml:space="preserve"> and Appendices A</w:t>
      </w:r>
      <w:r w:rsidR="005535C8">
        <w:t>-1</w:t>
      </w:r>
      <w:r w:rsidRPr="004D3F5F">
        <w:t>,</w:t>
      </w:r>
      <w:r w:rsidR="005535C8">
        <w:t xml:space="preserve"> A-2, </w:t>
      </w:r>
      <w:r w:rsidRPr="004D3F5F">
        <w:t xml:space="preserve">B and C </w:t>
      </w:r>
      <w:r>
        <w:t>thereto</w:t>
      </w:r>
      <w:r w:rsidRPr="004D3F5F">
        <w:t xml:space="preserve">, nothing came to our </w:t>
      </w:r>
      <w:r w:rsidRPr="004D3F5F">
        <w:lastRenderedPageBreak/>
        <w:t xml:space="preserve">attention in the course of our review that has caused us to believe that the information in the foregoing sections </w:t>
      </w:r>
      <w:r>
        <w:t xml:space="preserve">of the Preliminary Official Statement and the Official Statement </w:t>
      </w:r>
      <w:r w:rsidRPr="004D3F5F">
        <w:t xml:space="preserve">and appendices </w:t>
      </w:r>
      <w:r>
        <w:t xml:space="preserve">thereto </w:t>
      </w:r>
      <w:r w:rsidRPr="004D3F5F">
        <w:t xml:space="preserve">(except for any financial statements, demographic, economic, engineering, financial, or statistical data and any statements of trends, forecasts, estimates, projections, assumptions, or any expressions of opinion as to which we express no view) </w:t>
      </w:r>
      <w:r>
        <w:t xml:space="preserve">contained, with respect to the Preliminary Official Statement, </w:t>
      </w:r>
      <w:r w:rsidRPr="004D3F5F">
        <w:t xml:space="preserve">as of the date </w:t>
      </w:r>
      <w:r>
        <w:t>thereof</w:t>
      </w:r>
      <w:r w:rsidR="00A9196A">
        <w:t xml:space="preserve"> and as of December [5], 2024</w:t>
      </w:r>
      <w:r>
        <w:t xml:space="preserve">, or contained or contains, with respect to </w:t>
      </w:r>
      <w:r w:rsidRPr="004D3F5F">
        <w:t>the Official Statement</w:t>
      </w:r>
      <w:r>
        <w:t>,</w:t>
      </w:r>
      <w:r w:rsidRPr="004D3F5F">
        <w:t xml:space="preserve"> as of the date </w:t>
      </w:r>
      <w:r>
        <w:t xml:space="preserve">thereof and as of the date hereof, </w:t>
      </w:r>
      <w:r w:rsidRPr="004D3F5F">
        <w:t>any untrue statement of a material fact</w:t>
      </w:r>
      <w:r>
        <w:t>,</w:t>
      </w:r>
      <w:r w:rsidRPr="004D3F5F">
        <w:t xml:space="preserve"> or </w:t>
      </w:r>
      <w:r>
        <w:t xml:space="preserve">omitted, with respect to the Preliminary Official Statement, </w:t>
      </w:r>
      <w:r w:rsidRPr="004D3F5F">
        <w:t xml:space="preserve">as of the date </w:t>
      </w:r>
      <w:r>
        <w:t xml:space="preserve">thereof </w:t>
      </w:r>
      <w:r w:rsidR="00A9196A">
        <w:t xml:space="preserve">and as of December [5], 2024 </w:t>
      </w:r>
      <w:r>
        <w:t xml:space="preserve">(other than </w:t>
      </w:r>
      <w:r w:rsidRPr="00155ECC">
        <w:t>permitted omissions in accordance with Rule 15c2-12 under the Securities Exchange Act of 1934, as amended</w:t>
      </w:r>
      <w:r>
        <w:t>)</w:t>
      </w:r>
      <w:r w:rsidRPr="00155ECC">
        <w:t xml:space="preserve">, </w:t>
      </w:r>
      <w:r>
        <w:t xml:space="preserve">or omitted or omits, with respect to the </w:t>
      </w:r>
      <w:r w:rsidRPr="004D3F5F">
        <w:t>Official Statement</w:t>
      </w:r>
      <w:r>
        <w:t xml:space="preserve">, as of the date thereof and as of the date hereof, </w:t>
      </w:r>
      <w:r w:rsidRPr="004D3F5F">
        <w:t>any statement of a material fact which makes the statements therein, in light of the circumstances under which they were made, misleading.</w:t>
      </w:r>
    </w:p>
    <w:p w14:paraId="58971A29" w14:textId="581491EC" w:rsidR="009604D9" w:rsidRPr="008648B8" w:rsidRDefault="009604D9" w:rsidP="008648B8">
      <w:pPr>
        <w:pStyle w:val="BodyText"/>
        <w:spacing w:after="720"/>
        <w:ind w:left="5040" w:firstLine="0"/>
      </w:pPr>
      <w:r>
        <w:t>OFFICE OF THE ATTORNEY GENERAL OF THE STATE OF COLORADO</w:t>
      </w:r>
    </w:p>
    <w:sectPr w:rsidR="009604D9" w:rsidRPr="008648B8" w:rsidSect="00F51D19">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6409" w14:textId="77777777" w:rsidR="0085577E" w:rsidRDefault="0085577E" w:rsidP="00CF7039">
      <w:r>
        <w:separator/>
      </w:r>
    </w:p>
  </w:endnote>
  <w:endnote w:type="continuationSeparator" w:id="0">
    <w:p w14:paraId="123681CD" w14:textId="77777777" w:rsidR="0085577E" w:rsidRDefault="0085577E" w:rsidP="00CF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5E7C" w14:textId="77777777" w:rsidR="00623745" w:rsidRDefault="00623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9989"/>
      <w:docPartObj>
        <w:docPartGallery w:val="Page Numbers (Bottom of Page)"/>
        <w:docPartUnique/>
      </w:docPartObj>
    </w:sdtPr>
    <w:sdtEndPr>
      <w:rPr>
        <w:noProof/>
        <w:sz w:val="22"/>
        <w:szCs w:val="22"/>
      </w:rPr>
    </w:sdtEndPr>
    <w:sdtContent>
      <w:p w14:paraId="15441E33" w14:textId="6B2226D5" w:rsidR="00623745" w:rsidRPr="00EC06B3" w:rsidRDefault="00623745" w:rsidP="00EC06B3">
        <w:pPr>
          <w:pStyle w:val="Footer"/>
          <w:jc w:val="center"/>
          <w:rPr>
            <w:sz w:val="22"/>
            <w:szCs w:val="22"/>
          </w:rPr>
        </w:pPr>
        <w:r w:rsidRPr="00EC06B3">
          <w:rPr>
            <w:sz w:val="22"/>
            <w:szCs w:val="22"/>
          </w:rPr>
          <w:fldChar w:fldCharType="begin"/>
        </w:r>
        <w:r w:rsidRPr="00EC06B3">
          <w:rPr>
            <w:sz w:val="22"/>
            <w:szCs w:val="22"/>
          </w:rPr>
          <w:instrText xml:space="preserve"> PAGE   \* MERGEFORMAT </w:instrText>
        </w:r>
        <w:r w:rsidRPr="00EC06B3">
          <w:rPr>
            <w:sz w:val="22"/>
            <w:szCs w:val="22"/>
          </w:rPr>
          <w:fldChar w:fldCharType="separate"/>
        </w:r>
        <w:r w:rsidR="0039753F">
          <w:rPr>
            <w:noProof/>
            <w:sz w:val="22"/>
            <w:szCs w:val="22"/>
          </w:rPr>
          <w:t>19</w:t>
        </w:r>
        <w:r w:rsidRPr="00EC06B3">
          <w:rPr>
            <w:noProof/>
            <w:sz w:val="22"/>
            <w:szCs w:val="22"/>
          </w:rPr>
          <w:fldChar w:fldCharType="end"/>
        </w:r>
      </w:p>
    </w:sdtContent>
  </w:sdt>
  <w:p w14:paraId="77B0BC31" w14:textId="2BFFCCB6" w:rsidR="00623745" w:rsidRDefault="00623745" w:rsidP="00EC0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E4BE" w14:textId="77777777" w:rsidR="00623745" w:rsidRDefault="006237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A240" w14:textId="77777777" w:rsidR="00623745" w:rsidRDefault="00623745" w:rsidP="003B718B">
    <w:pPr>
      <w:pStyle w:val="Footer"/>
      <w:jc w:val="center"/>
    </w:pPr>
    <w:r>
      <w:t>[Signature Page to Purchase Agreement]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36F3" w14:textId="4EB80A14" w:rsidR="00623745" w:rsidRPr="003B718B" w:rsidRDefault="00623745" w:rsidP="003B718B">
    <w:pPr>
      <w:pStyle w:val="Footer"/>
      <w:jc w:val="center"/>
      <w:rPr>
        <w:sz w:val="22"/>
        <w:szCs w:val="22"/>
      </w:rPr>
    </w:pPr>
    <w:r w:rsidRPr="003B718B">
      <w:rPr>
        <w:sz w:val="22"/>
        <w:szCs w:val="22"/>
      </w:rPr>
      <w:t>I-</w:t>
    </w:r>
    <w:r w:rsidRPr="003B718B">
      <w:rPr>
        <w:sz w:val="22"/>
        <w:szCs w:val="22"/>
      </w:rPr>
      <w:fldChar w:fldCharType="begin"/>
    </w:r>
    <w:r w:rsidRPr="003B718B">
      <w:rPr>
        <w:sz w:val="22"/>
        <w:szCs w:val="22"/>
      </w:rPr>
      <w:instrText xml:space="preserve"> PAGE   \* MERGEFORMAT </w:instrText>
    </w:r>
    <w:r w:rsidRPr="003B718B">
      <w:rPr>
        <w:sz w:val="22"/>
        <w:szCs w:val="22"/>
      </w:rPr>
      <w:fldChar w:fldCharType="separate"/>
    </w:r>
    <w:r w:rsidR="0039753F">
      <w:rPr>
        <w:noProof/>
        <w:sz w:val="22"/>
        <w:szCs w:val="22"/>
      </w:rPr>
      <w:t>1</w:t>
    </w:r>
    <w:r w:rsidRPr="003B718B">
      <w:rPr>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CF9B" w14:textId="0B3A8D9A" w:rsidR="00623745" w:rsidRPr="003B718B" w:rsidRDefault="00623745" w:rsidP="003B718B">
    <w:pPr>
      <w:pStyle w:val="Footer"/>
      <w:jc w:val="center"/>
      <w:rPr>
        <w:sz w:val="22"/>
        <w:szCs w:val="22"/>
      </w:rPr>
    </w:pPr>
    <w:r>
      <w:rPr>
        <w:sz w:val="22"/>
        <w:szCs w:val="22"/>
      </w:rPr>
      <w:t>A</w:t>
    </w:r>
    <w:r w:rsidRPr="003B718B">
      <w:rPr>
        <w:sz w:val="22"/>
        <w:szCs w:val="22"/>
      </w:rPr>
      <w:t>-</w:t>
    </w:r>
    <w:r w:rsidRPr="003B718B">
      <w:rPr>
        <w:sz w:val="22"/>
        <w:szCs w:val="22"/>
      </w:rPr>
      <w:fldChar w:fldCharType="begin"/>
    </w:r>
    <w:r w:rsidRPr="003B718B">
      <w:rPr>
        <w:sz w:val="22"/>
        <w:szCs w:val="22"/>
      </w:rPr>
      <w:instrText xml:space="preserve"> PAGE   \* MERGEFORMAT </w:instrText>
    </w:r>
    <w:r w:rsidRPr="003B718B">
      <w:rPr>
        <w:sz w:val="22"/>
        <w:szCs w:val="22"/>
      </w:rPr>
      <w:fldChar w:fldCharType="separate"/>
    </w:r>
    <w:r w:rsidR="0039753F">
      <w:rPr>
        <w:noProof/>
        <w:sz w:val="22"/>
        <w:szCs w:val="22"/>
      </w:rPr>
      <w:t>1</w:t>
    </w:r>
    <w:r w:rsidRPr="003B718B">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8968" w14:textId="6F3A3E20" w:rsidR="00623745" w:rsidRPr="000C398D" w:rsidRDefault="00623745">
    <w:pPr>
      <w:pStyle w:val="Footer"/>
      <w:jc w:val="center"/>
      <w:rPr>
        <w:sz w:val="22"/>
        <w:szCs w:val="22"/>
      </w:rPr>
    </w:pPr>
    <w:r w:rsidRPr="000C398D">
      <w:rPr>
        <w:sz w:val="22"/>
        <w:szCs w:val="22"/>
      </w:rPr>
      <w:t>B-</w:t>
    </w:r>
    <w:sdt>
      <w:sdtPr>
        <w:rPr>
          <w:sz w:val="22"/>
          <w:szCs w:val="22"/>
        </w:rPr>
        <w:id w:val="222965256"/>
        <w:docPartObj>
          <w:docPartGallery w:val="Page Numbers (Bottom of Page)"/>
          <w:docPartUnique/>
        </w:docPartObj>
      </w:sdtPr>
      <w:sdtEndPr>
        <w:rPr>
          <w:noProof/>
        </w:rPr>
      </w:sdtEndPr>
      <w:sdtContent>
        <w:r w:rsidRPr="000C398D">
          <w:rPr>
            <w:sz w:val="22"/>
            <w:szCs w:val="22"/>
          </w:rPr>
          <w:fldChar w:fldCharType="begin"/>
        </w:r>
        <w:r w:rsidRPr="000C398D">
          <w:rPr>
            <w:sz w:val="22"/>
            <w:szCs w:val="22"/>
          </w:rPr>
          <w:instrText xml:space="preserve"> PAGE   \* MERGEFORMAT </w:instrText>
        </w:r>
        <w:r w:rsidRPr="000C398D">
          <w:rPr>
            <w:sz w:val="22"/>
            <w:szCs w:val="22"/>
          </w:rPr>
          <w:fldChar w:fldCharType="separate"/>
        </w:r>
        <w:r w:rsidR="0039753F">
          <w:rPr>
            <w:noProof/>
            <w:sz w:val="22"/>
            <w:szCs w:val="22"/>
          </w:rPr>
          <w:t>4</w:t>
        </w:r>
        <w:r w:rsidRPr="000C398D">
          <w:rPr>
            <w:noProof/>
            <w:sz w:val="22"/>
            <w:szCs w:val="22"/>
          </w:rPr>
          <w:fldChar w:fldCharType="end"/>
        </w:r>
      </w:sdtContent>
    </w:sdt>
  </w:p>
  <w:p w14:paraId="09E4A631" w14:textId="77777777" w:rsidR="00623745" w:rsidRDefault="00623745"/>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F285" w14:textId="2A548EA1" w:rsidR="00623745" w:rsidRPr="000C398D" w:rsidRDefault="00623745">
    <w:pPr>
      <w:pStyle w:val="Footer"/>
      <w:jc w:val="center"/>
      <w:rPr>
        <w:sz w:val="22"/>
        <w:szCs w:val="22"/>
      </w:rPr>
    </w:pPr>
    <w:r w:rsidRPr="000C398D">
      <w:rPr>
        <w:sz w:val="22"/>
        <w:szCs w:val="22"/>
      </w:rPr>
      <w:t>C-</w:t>
    </w:r>
    <w:sdt>
      <w:sdtPr>
        <w:rPr>
          <w:sz w:val="22"/>
          <w:szCs w:val="22"/>
        </w:rPr>
        <w:id w:val="-867603253"/>
        <w:docPartObj>
          <w:docPartGallery w:val="Page Numbers (Bottom of Page)"/>
          <w:docPartUnique/>
        </w:docPartObj>
      </w:sdtPr>
      <w:sdtEndPr>
        <w:rPr>
          <w:noProof/>
        </w:rPr>
      </w:sdtEndPr>
      <w:sdtContent>
        <w:r w:rsidRPr="000C398D">
          <w:rPr>
            <w:sz w:val="22"/>
            <w:szCs w:val="22"/>
          </w:rPr>
          <w:fldChar w:fldCharType="begin"/>
        </w:r>
        <w:r w:rsidRPr="000C398D">
          <w:rPr>
            <w:sz w:val="22"/>
            <w:szCs w:val="22"/>
          </w:rPr>
          <w:instrText xml:space="preserve"> PAGE   \* MERGEFORMAT </w:instrText>
        </w:r>
        <w:r w:rsidRPr="000C398D">
          <w:rPr>
            <w:sz w:val="22"/>
            <w:szCs w:val="22"/>
          </w:rPr>
          <w:fldChar w:fldCharType="separate"/>
        </w:r>
        <w:r w:rsidR="0039753F">
          <w:rPr>
            <w:noProof/>
            <w:sz w:val="22"/>
            <w:szCs w:val="22"/>
          </w:rPr>
          <w:t>2</w:t>
        </w:r>
        <w:r w:rsidRPr="000C398D">
          <w:rPr>
            <w:noProof/>
            <w:sz w:val="22"/>
            <w:szCs w:val="22"/>
          </w:rPr>
          <w:fldChar w:fldCharType="end"/>
        </w:r>
      </w:sdtContent>
    </w:sdt>
  </w:p>
  <w:p w14:paraId="1595F03A" w14:textId="77777777" w:rsidR="00623745" w:rsidRDefault="00623745"/>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928A" w14:textId="24EB58AC" w:rsidR="00623745" w:rsidRPr="000C398D" w:rsidRDefault="00623745">
    <w:pPr>
      <w:pStyle w:val="Footer"/>
      <w:jc w:val="center"/>
      <w:rPr>
        <w:sz w:val="22"/>
        <w:szCs w:val="22"/>
      </w:rPr>
    </w:pPr>
    <w:r w:rsidRPr="000C398D">
      <w:rPr>
        <w:sz w:val="22"/>
        <w:szCs w:val="22"/>
      </w:rPr>
      <w:t>D-</w:t>
    </w:r>
    <w:sdt>
      <w:sdtPr>
        <w:rPr>
          <w:sz w:val="22"/>
          <w:szCs w:val="22"/>
        </w:rPr>
        <w:id w:val="-572591925"/>
        <w:docPartObj>
          <w:docPartGallery w:val="Page Numbers (Bottom of Page)"/>
          <w:docPartUnique/>
        </w:docPartObj>
      </w:sdtPr>
      <w:sdtEndPr>
        <w:rPr>
          <w:noProof/>
        </w:rPr>
      </w:sdtEndPr>
      <w:sdtContent>
        <w:r w:rsidRPr="000C398D">
          <w:rPr>
            <w:sz w:val="22"/>
            <w:szCs w:val="22"/>
          </w:rPr>
          <w:fldChar w:fldCharType="begin"/>
        </w:r>
        <w:r w:rsidRPr="000C398D">
          <w:rPr>
            <w:sz w:val="22"/>
            <w:szCs w:val="22"/>
          </w:rPr>
          <w:instrText xml:space="preserve"> PAGE   \* MERGEFORMAT </w:instrText>
        </w:r>
        <w:r w:rsidRPr="000C398D">
          <w:rPr>
            <w:sz w:val="22"/>
            <w:szCs w:val="22"/>
          </w:rPr>
          <w:fldChar w:fldCharType="separate"/>
        </w:r>
        <w:r w:rsidR="0039753F">
          <w:rPr>
            <w:noProof/>
            <w:sz w:val="22"/>
            <w:szCs w:val="22"/>
          </w:rPr>
          <w:t>5</w:t>
        </w:r>
        <w:r w:rsidRPr="000C398D">
          <w:rPr>
            <w:noProof/>
            <w:sz w:val="22"/>
            <w:szCs w:val="22"/>
          </w:rPr>
          <w:fldChar w:fldCharType="end"/>
        </w:r>
      </w:sdtContent>
    </w:sdt>
  </w:p>
  <w:p w14:paraId="20FBD9DA" w14:textId="77777777" w:rsidR="00623745" w:rsidRDefault="006237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570D1" w14:textId="77777777" w:rsidR="0085577E" w:rsidRDefault="0085577E" w:rsidP="00CF7039">
      <w:r>
        <w:separator/>
      </w:r>
    </w:p>
  </w:footnote>
  <w:footnote w:type="continuationSeparator" w:id="0">
    <w:p w14:paraId="49F06CFE" w14:textId="77777777" w:rsidR="0085577E" w:rsidRDefault="0085577E" w:rsidP="00CF7039">
      <w:r>
        <w:continuationSeparator/>
      </w:r>
    </w:p>
  </w:footnote>
  <w:footnote w:id="1">
    <w:p w14:paraId="5FE26788" w14:textId="10E1C1E9" w:rsidR="00623745" w:rsidRDefault="00623745">
      <w:pPr>
        <w:pStyle w:val="FootnoteText"/>
      </w:pPr>
      <w:r>
        <w:rPr>
          <w:rStyle w:val="FootnoteReference"/>
        </w:rPr>
        <w:footnoteRef/>
      </w:r>
      <w:r>
        <w:t xml:space="preserve"> Priced to first optional call date of December 1, 20[__].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3974" w14:textId="77777777" w:rsidR="00623745" w:rsidRDefault="00623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0F35" w14:textId="262ADAF1" w:rsidR="00623745" w:rsidRDefault="00623745" w:rsidP="008A4D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8D1A" w14:textId="2D0BBBFD" w:rsidR="00623745" w:rsidRDefault="00623745" w:rsidP="00730C2C">
    <w:pPr>
      <w:pStyle w:val="Header"/>
      <w:jc w:val="right"/>
    </w:pPr>
    <w:r>
      <w:t>Ballard Spahr Draft 11/1</w:t>
    </w:r>
    <w:r w:rsidR="00FC579A">
      <w:t>3</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B2B3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0A14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8C71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DE6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3A1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9AC6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E4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10EB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4CB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D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E8B89C86"/>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0EE47987"/>
    <w:multiLevelType w:val="hybridMultilevel"/>
    <w:tmpl w:val="E5A2FC4A"/>
    <w:lvl w:ilvl="0" w:tplc="3F0053A6">
      <w:start w:val="1"/>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E228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5C2A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5051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AC34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48B7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0C71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764D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D41B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D20A63"/>
    <w:multiLevelType w:val="multilevel"/>
    <w:tmpl w:val="E872F188"/>
    <w:styleLink w:val="MKTGBullets-list"/>
    <w:lvl w:ilvl="0">
      <w:start w:val="1"/>
      <w:numFmt w:val="bullet"/>
      <w:pStyle w:val="MKTGBullets"/>
      <w:lvlText w:val=""/>
      <w:lvlJc w:val="left"/>
      <w:pPr>
        <w:tabs>
          <w:tab w:val="num" w:pos="216"/>
        </w:tabs>
        <w:ind w:left="216" w:hanging="216"/>
      </w:pPr>
      <w:rPr>
        <w:rFonts w:ascii="Symbol" w:hAnsi="Symbol" w:hint="default"/>
        <w:b w:val="0"/>
        <w:i w:val="0"/>
        <w:color w:val="auto"/>
        <w:sz w:val="24"/>
        <w:szCs w:val="20"/>
      </w:rPr>
    </w:lvl>
    <w:lvl w:ilvl="1">
      <w:start w:val="1"/>
      <w:numFmt w:val="bullet"/>
      <w:lvlText w:val=""/>
      <w:lvlJc w:val="left"/>
      <w:pPr>
        <w:tabs>
          <w:tab w:val="num" w:pos="576"/>
        </w:tabs>
        <w:ind w:left="576" w:hanging="216"/>
      </w:pPr>
      <w:rPr>
        <w:rFonts w:ascii="Symbol" w:hAnsi="Symbol" w:hint="default"/>
        <w:b w:val="0"/>
        <w:i w:val="0"/>
        <w:color w:val="auto"/>
        <w:sz w:val="22"/>
        <w:szCs w:val="20"/>
      </w:rPr>
    </w:lvl>
    <w:lvl w:ilvl="2">
      <w:start w:val="1"/>
      <w:numFmt w:val="bullet"/>
      <w:lvlText w:val="▪"/>
      <w:lvlJc w:val="left"/>
      <w:pPr>
        <w:tabs>
          <w:tab w:val="num" w:pos="936"/>
        </w:tabs>
        <w:ind w:left="936" w:hanging="216"/>
      </w:pPr>
      <w:rPr>
        <w:rFonts w:ascii="Garamond" w:hAnsi="Garamond" w:hint="default"/>
        <w:b w:val="0"/>
        <w:i w:val="0"/>
        <w:color w:val="auto"/>
        <w:sz w:val="24"/>
        <w:szCs w:val="20"/>
      </w:rPr>
    </w:lvl>
    <w:lvl w:ilvl="3">
      <w:start w:val="1"/>
      <w:numFmt w:val="bullet"/>
      <w:lvlText w:val="-"/>
      <w:lvlJc w:val="left"/>
      <w:pPr>
        <w:tabs>
          <w:tab w:val="num" w:pos="1296"/>
        </w:tabs>
        <w:ind w:left="1296" w:hanging="216"/>
      </w:pPr>
      <w:rPr>
        <w:rFonts w:ascii="Arial" w:hAnsi="Arial" w:cs="Arial" w:hint="default"/>
        <w:b w:val="0"/>
        <w:i w:val="0"/>
        <w:color w:val="auto"/>
        <w:sz w:val="20"/>
        <w:szCs w:val="20"/>
      </w:rPr>
    </w:lvl>
    <w:lvl w:ilvl="4">
      <w:start w:val="1"/>
      <w:numFmt w:val="lowerLetter"/>
      <w:lvlText w:val="(%5)"/>
      <w:lvlJc w:val="left"/>
      <w:pPr>
        <w:tabs>
          <w:tab w:val="num" w:pos="1656"/>
        </w:tabs>
        <w:ind w:left="1656" w:hanging="216"/>
      </w:pPr>
      <w:rPr>
        <w:rFonts w:hint="default"/>
      </w:rPr>
    </w:lvl>
    <w:lvl w:ilvl="5">
      <w:start w:val="1"/>
      <w:numFmt w:val="lowerRoman"/>
      <w:lvlText w:val="(%6)"/>
      <w:lvlJc w:val="left"/>
      <w:pPr>
        <w:tabs>
          <w:tab w:val="num" w:pos="2016"/>
        </w:tabs>
        <w:ind w:left="2016" w:hanging="216"/>
      </w:pPr>
      <w:rPr>
        <w:rFonts w:hint="default"/>
      </w:rPr>
    </w:lvl>
    <w:lvl w:ilvl="6">
      <w:start w:val="1"/>
      <w:numFmt w:val="decimal"/>
      <w:lvlText w:val="%7."/>
      <w:lvlJc w:val="left"/>
      <w:pPr>
        <w:tabs>
          <w:tab w:val="num" w:pos="2376"/>
        </w:tabs>
        <w:ind w:left="2376" w:hanging="216"/>
      </w:pPr>
      <w:rPr>
        <w:rFonts w:hint="default"/>
      </w:rPr>
    </w:lvl>
    <w:lvl w:ilvl="7">
      <w:start w:val="1"/>
      <w:numFmt w:val="lowerLetter"/>
      <w:lvlText w:val="%8."/>
      <w:lvlJc w:val="left"/>
      <w:pPr>
        <w:tabs>
          <w:tab w:val="num" w:pos="2736"/>
        </w:tabs>
        <w:ind w:left="2736" w:hanging="216"/>
      </w:pPr>
      <w:rPr>
        <w:rFonts w:hint="default"/>
      </w:rPr>
    </w:lvl>
    <w:lvl w:ilvl="8">
      <w:start w:val="1"/>
      <w:numFmt w:val="lowerRoman"/>
      <w:lvlText w:val="%9."/>
      <w:lvlJc w:val="left"/>
      <w:pPr>
        <w:tabs>
          <w:tab w:val="num" w:pos="3096"/>
        </w:tabs>
        <w:ind w:left="3096" w:hanging="216"/>
      </w:pPr>
      <w:rPr>
        <w:rFonts w:hint="default"/>
      </w:rPr>
    </w:lvl>
  </w:abstractNum>
  <w:abstractNum w:abstractNumId="13" w15:restartNumberingAfterBreak="0">
    <w:nsid w:val="377125B4"/>
    <w:multiLevelType w:val="multilevel"/>
    <w:tmpl w:val="D4E607C8"/>
    <w:lvl w:ilvl="0">
      <w:start w:val="1"/>
      <w:numFmt w:val="upperRoman"/>
      <w:pStyle w:val="ParagraphL1"/>
      <w:lvlText w:val="%1."/>
      <w:lvlJc w:val="left"/>
      <w:pPr>
        <w:tabs>
          <w:tab w:val="num" w:pos="720"/>
        </w:tabs>
        <w:ind w:left="720" w:hanging="720"/>
      </w:pPr>
      <w:rPr>
        <w:rFonts w:ascii="Arial" w:hAnsi="Arial" w:cs="Arial" w:hint="default"/>
        <w:b w:val="0"/>
        <w:i w:val="0"/>
        <w:caps w:val="0"/>
        <w:strike w:val="0"/>
        <w:dstrike w:val="0"/>
        <w:sz w:val="22"/>
        <w:u w:val="none"/>
        <w:effect w:val="none"/>
      </w:rPr>
    </w:lvl>
    <w:lvl w:ilvl="1">
      <w:start w:val="1"/>
      <w:numFmt w:val="upperLetter"/>
      <w:pStyle w:val="ParagraphL2"/>
      <w:lvlText w:val="%2."/>
      <w:lvlJc w:val="left"/>
      <w:pPr>
        <w:tabs>
          <w:tab w:val="num" w:pos="1440"/>
        </w:tabs>
        <w:ind w:left="1440" w:hanging="720"/>
      </w:pPr>
      <w:rPr>
        <w:rFonts w:ascii="Arial" w:hAnsi="Arial" w:cs="Arial" w:hint="default"/>
        <w:b w:val="0"/>
        <w:i w:val="0"/>
        <w:caps w:val="0"/>
        <w:strike w:val="0"/>
        <w:dstrike w:val="0"/>
        <w:sz w:val="22"/>
        <w:u w:val="none"/>
        <w:effect w:val="none"/>
      </w:rPr>
    </w:lvl>
    <w:lvl w:ilvl="2">
      <w:start w:val="8"/>
      <w:numFmt w:val="lowerLetter"/>
      <w:pStyle w:val="ParagraphL3"/>
      <w:lvlText w:val="(%3)"/>
      <w:lvlJc w:val="left"/>
      <w:pPr>
        <w:tabs>
          <w:tab w:val="num" w:pos="1440"/>
        </w:tabs>
        <w:ind w:left="0" w:firstLine="720"/>
      </w:pPr>
      <w:rPr>
        <w:rFonts w:ascii="Times New Roman" w:hAnsi="Times New Roman" w:cs="Times New Roman" w:hint="default"/>
        <w:b w:val="0"/>
        <w:i w:val="0"/>
        <w:caps w:val="0"/>
        <w:strike w:val="0"/>
        <w:dstrike w:val="0"/>
        <w:sz w:val="24"/>
        <w:szCs w:val="24"/>
        <w:u w:val="none"/>
        <w:effect w:val="none"/>
      </w:rPr>
    </w:lvl>
    <w:lvl w:ilvl="3">
      <w:start w:val="1"/>
      <w:numFmt w:val="decimal"/>
      <w:pStyle w:val="ParagraphL4"/>
      <w:lvlText w:val="(%4)"/>
      <w:lvlJc w:val="left"/>
      <w:pPr>
        <w:tabs>
          <w:tab w:val="num" w:pos="2160"/>
        </w:tabs>
        <w:ind w:left="2160" w:hanging="720"/>
      </w:pPr>
      <w:rPr>
        <w:rFonts w:ascii="Calibri" w:hAnsi="Calibri" w:cs="Calibri" w:hint="default"/>
        <w:b w:val="0"/>
        <w:i w:val="0"/>
        <w:caps w:val="0"/>
        <w:strike w:val="0"/>
        <w:dstrike w:val="0"/>
        <w:sz w:val="24"/>
        <w:szCs w:val="24"/>
        <w:u w:val="none"/>
        <w:effect w:val="none"/>
      </w:rPr>
    </w:lvl>
    <w:lvl w:ilvl="4">
      <w:start w:val="1"/>
      <w:numFmt w:val="lowerRoman"/>
      <w:pStyle w:val="ParagraphL5"/>
      <w:lvlText w:val="(%5)"/>
      <w:lvlJc w:val="left"/>
      <w:pPr>
        <w:tabs>
          <w:tab w:val="num" w:pos="1440"/>
        </w:tabs>
        <w:ind w:left="0" w:firstLine="720"/>
      </w:pPr>
      <w:rPr>
        <w:rFonts w:ascii="Arial" w:hAnsi="Arial" w:cs="Arial" w:hint="default"/>
        <w:b w:val="0"/>
        <w:i w:val="0"/>
        <w:caps w:val="0"/>
        <w:strike w:val="0"/>
        <w:dstrike w:val="0"/>
        <w:sz w:val="22"/>
        <w:u w:val="none"/>
        <w:effect w:val="none"/>
      </w:rPr>
    </w:lvl>
    <w:lvl w:ilvl="5">
      <w:start w:val="1"/>
      <w:numFmt w:val="decimal"/>
      <w:pStyle w:val="ParagraphL6"/>
      <w:lvlText w:val="(%6)"/>
      <w:lvlJc w:val="left"/>
      <w:pPr>
        <w:tabs>
          <w:tab w:val="num" w:pos="2880"/>
        </w:tabs>
        <w:ind w:left="2160" w:hanging="720"/>
      </w:pPr>
      <w:rPr>
        <w:rFonts w:ascii="Arial" w:hAnsi="Arial" w:cs="Arial" w:hint="default"/>
        <w:b w:val="0"/>
        <w:i w:val="0"/>
        <w:caps w:val="0"/>
        <w:strike w:val="0"/>
        <w:dstrike w:val="0"/>
        <w:sz w:val="22"/>
        <w:u w:val="none"/>
        <w:effect w:val="none"/>
      </w:rPr>
    </w:lvl>
    <w:lvl w:ilvl="6">
      <w:start w:val="1"/>
      <w:numFmt w:val="decimal"/>
      <w:pStyle w:val="ParagraphL7"/>
      <w:lvlText w:val="%7)"/>
      <w:lvlJc w:val="left"/>
      <w:pPr>
        <w:tabs>
          <w:tab w:val="num" w:pos="5040"/>
        </w:tabs>
        <w:ind w:left="5040" w:hanging="720"/>
      </w:pPr>
      <w:rPr>
        <w:rFonts w:ascii="Calibri" w:hAnsi="Calibri" w:cs="Times New Roman" w:hint="default"/>
        <w:b w:val="0"/>
        <w:i w:val="0"/>
        <w:caps w:val="0"/>
        <w:strike w:val="0"/>
        <w:dstrike w:val="0"/>
        <w:u w:val="none"/>
        <w:effect w:val="none"/>
      </w:rPr>
    </w:lvl>
    <w:lvl w:ilvl="7">
      <w:start w:val="1"/>
      <w:numFmt w:val="lowerLetter"/>
      <w:pStyle w:val="ParagraphL8"/>
      <w:lvlText w:val="%8)"/>
      <w:lvlJc w:val="left"/>
      <w:pPr>
        <w:tabs>
          <w:tab w:val="num" w:pos="5760"/>
        </w:tabs>
        <w:ind w:left="5760" w:hanging="720"/>
      </w:pPr>
      <w:rPr>
        <w:b w:val="0"/>
        <w:i w:val="0"/>
        <w:caps w:val="0"/>
        <w:strike w:val="0"/>
        <w:dstrike w:val="0"/>
        <w:u w:val="none"/>
        <w:effect w:val="none"/>
      </w:rPr>
    </w:lvl>
    <w:lvl w:ilvl="8">
      <w:start w:val="1"/>
      <w:numFmt w:val="upperLetter"/>
      <w:pStyle w:val="ParagraphL9"/>
      <w:suff w:val="nothing"/>
      <w:lvlText w:val="Exhibit %9"/>
      <w:lvlJc w:val="left"/>
      <w:pPr>
        <w:ind w:left="0" w:firstLine="0"/>
      </w:pPr>
      <w:rPr>
        <w:b/>
        <w:i w:val="0"/>
        <w:caps/>
        <w:smallCaps w:val="0"/>
        <w:strike w:val="0"/>
        <w:dstrike w:val="0"/>
        <w:u w:val="none"/>
        <w:effect w:val="none"/>
      </w:rPr>
    </w:lvl>
  </w:abstractNum>
  <w:abstractNum w:abstractNumId="14" w15:restartNumberingAfterBreak="0">
    <w:nsid w:val="44605707"/>
    <w:multiLevelType w:val="multilevel"/>
    <w:tmpl w:val="82FC5C66"/>
    <w:lvl w:ilvl="0">
      <w:start w:val="1"/>
      <w:numFmt w:val="decimal"/>
      <w:lvlText w:val="%1."/>
      <w:lvlJc w:val="left"/>
      <w:pPr>
        <w:tabs>
          <w:tab w:val="num" w:pos="1710"/>
        </w:tabs>
        <w:ind w:left="270" w:firstLine="720"/>
      </w:pPr>
      <w:rPr>
        <w:rFonts w:hint="default"/>
        <w:b w:val="0"/>
        <w:i w:val="0"/>
      </w:rPr>
    </w:lvl>
    <w:lvl w:ilvl="1">
      <w:start w:val="1"/>
      <w:numFmt w:val="lowerLetter"/>
      <w:lvlText w:val="(%2)"/>
      <w:lvlJc w:val="left"/>
      <w:pPr>
        <w:tabs>
          <w:tab w:val="num" w:pos="2160"/>
        </w:tabs>
        <w:ind w:left="0" w:firstLine="144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i w:val="0"/>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AB37D5E"/>
    <w:multiLevelType w:val="multilevel"/>
    <w:tmpl w:val="A0A08318"/>
    <w:name w:val="zzmpArticle||Article|2|2|1|5|0|41||3|0|1||1|0|3||1|0|2||1|0|2||1|0|2||mpNA||mpNA||mpNA||"/>
    <w:lvl w:ilvl="0">
      <w:start w:val="1"/>
      <w:numFmt w:val="upperRoman"/>
      <w:pStyle w:val="ArticleL1"/>
      <w:suff w:val="nothing"/>
      <w:lvlText w:val="ARTICLE %1"/>
      <w:lvlJc w:val="left"/>
      <w:pPr>
        <w:tabs>
          <w:tab w:val="num" w:pos="0"/>
        </w:tabs>
        <w:ind w:left="0" w:firstLine="0"/>
      </w:pPr>
      <w:rPr>
        <w:rFonts w:eastAsia="Times New Roman"/>
        <w:b/>
        <w:i w:val="0"/>
        <w:caps/>
        <w:smallCaps w:val="0"/>
        <w:strike w:val="0"/>
        <w:dstrike w:val="0"/>
        <w:outline w:val="0"/>
        <w:shadow w:val="0"/>
        <w:emboss w:val="0"/>
        <w:imprint w:val="0"/>
        <w:vanish w:val="0"/>
        <w:u w:val="none"/>
        <w:effect w:val="none"/>
        <w:vertAlign w:val="baseline"/>
      </w:rPr>
    </w:lvl>
    <w:lvl w:ilvl="1">
      <w:start w:val="1"/>
      <w:numFmt w:val="decimalZero"/>
      <w:pStyle w:val="ArticleL2"/>
      <w:isLgl/>
      <w:suff w:val="space"/>
      <w:lvlText w:val="Section %1.%2. "/>
      <w:lvlJc w:val="left"/>
      <w:pPr>
        <w:tabs>
          <w:tab w:val="num" w:pos="720"/>
        </w:tabs>
        <w:ind w:left="0" w:firstLine="720"/>
      </w:pPr>
      <w:rPr>
        <w:rFonts w:eastAsia="Times New Roman"/>
        <w:b/>
        <w:i w:val="0"/>
        <w:caps w:val="0"/>
        <w:smallCaps w:val="0"/>
        <w:strike w:val="0"/>
        <w:dstrike w:val="0"/>
        <w:outline w:val="0"/>
        <w:shadow w:val="0"/>
        <w:emboss w:val="0"/>
        <w:imprint w:val="0"/>
        <w:vanish w:val="0"/>
        <w:u w:val="none"/>
        <w:effect w:val="none"/>
        <w:vertAlign w:val="baseline"/>
      </w:rPr>
    </w:lvl>
    <w:lvl w:ilvl="2">
      <w:start w:val="1"/>
      <w:numFmt w:val="lowerLetter"/>
      <w:pStyle w:val="ArticleL3"/>
      <w:lvlText w:val="(%3)"/>
      <w:lvlJc w:val="left"/>
      <w:pPr>
        <w:tabs>
          <w:tab w:val="num" w:pos="2160"/>
        </w:tabs>
        <w:ind w:left="720" w:firstLine="720"/>
      </w:pPr>
      <w:rPr>
        <w:rFonts w:eastAsia="Times New Roman"/>
        <w:b w:val="0"/>
        <w:i w:val="0"/>
        <w:caps w:val="0"/>
        <w:smallCaps w:val="0"/>
        <w:strike w:val="0"/>
        <w:dstrike w:val="0"/>
        <w:outline w:val="0"/>
        <w:shadow w:val="0"/>
        <w:emboss w:val="0"/>
        <w:imprint w:val="0"/>
        <w:vanish w:val="0"/>
        <w:u w:val="none"/>
        <w:effect w:val="none"/>
        <w:vertAlign w:val="baseline"/>
      </w:rPr>
    </w:lvl>
    <w:lvl w:ilvl="3">
      <w:start w:val="1"/>
      <w:numFmt w:val="lowerRoman"/>
      <w:pStyle w:val="ArticleL4"/>
      <w:lvlText w:val="(%4)"/>
      <w:lvlJc w:val="left"/>
      <w:pPr>
        <w:tabs>
          <w:tab w:val="num" w:pos="2880"/>
        </w:tabs>
        <w:ind w:left="1440" w:firstLine="720"/>
      </w:pPr>
      <w:rPr>
        <w:rFonts w:eastAsia="Times New Roman"/>
        <w:b w:val="0"/>
        <w:i w:val="0"/>
        <w:caps w:val="0"/>
        <w:smallCaps w:val="0"/>
        <w:strike w:val="0"/>
        <w:dstrike w:val="0"/>
        <w:outline w:val="0"/>
        <w:shadow w:val="0"/>
        <w:emboss w:val="0"/>
        <w:imprint w:val="0"/>
        <w:vanish w:val="0"/>
        <w:u w:val="none"/>
        <w:effect w:val="none"/>
        <w:vertAlign w:val="baseline"/>
      </w:rPr>
    </w:lvl>
    <w:lvl w:ilvl="4">
      <w:start w:val="1"/>
      <w:numFmt w:val="upperLetter"/>
      <w:pStyle w:val="ArticleL5"/>
      <w:lvlText w:val="(%5)"/>
      <w:lvlJc w:val="left"/>
      <w:pPr>
        <w:tabs>
          <w:tab w:val="num" w:pos="3600"/>
        </w:tabs>
        <w:ind w:left="2160" w:firstLine="720"/>
      </w:pPr>
      <w:rPr>
        <w:rFonts w:eastAsia="Times New Roman"/>
        <w:b w:val="0"/>
        <w:i w:val="0"/>
        <w:caps w:val="0"/>
        <w:smallCaps w:val="0"/>
        <w:strike w:val="0"/>
        <w:dstrike w:val="0"/>
        <w:outline w:val="0"/>
        <w:shadow w:val="0"/>
        <w:emboss w:val="0"/>
        <w:imprint w:val="0"/>
        <w:vanish w:val="0"/>
        <w:u w:val="none"/>
        <w:effect w:val="none"/>
        <w:vertAlign w:val="baseline"/>
      </w:rPr>
    </w:lvl>
    <w:lvl w:ilvl="5">
      <w:start w:val="1"/>
      <w:numFmt w:val="decimal"/>
      <w:pStyle w:val="ArticleL6"/>
      <w:lvlText w:val="(%6)"/>
      <w:lvlJc w:val="left"/>
      <w:pPr>
        <w:tabs>
          <w:tab w:val="num" w:pos="4320"/>
        </w:tabs>
        <w:ind w:left="2880" w:firstLine="720"/>
      </w:pPr>
      <w:rPr>
        <w:rFonts w:eastAsia="Times New Roman"/>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360"/>
        </w:tabs>
        <w:ind w:left="0" w:firstLine="0"/>
      </w:pPr>
      <w:rPr>
        <w:rFonts w:eastAsia="Times New Roman"/>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360"/>
        </w:tabs>
        <w:ind w:left="0" w:firstLine="0"/>
      </w:pPr>
      <w:rPr>
        <w:rFonts w:eastAsia="Times New Roman"/>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360"/>
        </w:tabs>
        <w:ind w:left="0" w:firstLine="0"/>
      </w:pPr>
      <w:rPr>
        <w:rFonts w:eastAsia="Times New Roman"/>
        <w:b w:val="0"/>
        <w:i w:val="0"/>
        <w:caps w:val="0"/>
        <w:smallCaps w:val="0"/>
        <w:strike w:val="0"/>
        <w:dstrike w:val="0"/>
        <w:outline w:val="0"/>
        <w:shadow w:val="0"/>
        <w:emboss w:val="0"/>
        <w:imprint w:val="0"/>
        <w:vanish w:val="0"/>
        <w:u w:val="none"/>
        <w:effect w:val="none"/>
        <w:vertAlign w:val="baseline"/>
      </w:rPr>
    </w:lvl>
  </w:abstractNum>
  <w:abstractNum w:abstractNumId="16" w15:restartNumberingAfterBreak="0">
    <w:nsid w:val="5C283F85"/>
    <w:multiLevelType w:val="hybridMultilevel"/>
    <w:tmpl w:val="3F3A1E26"/>
    <w:lvl w:ilvl="0" w:tplc="04090017">
      <w:start w:val="1"/>
      <w:numFmt w:val="lowerLetter"/>
      <w:lvlText w:val="%1)"/>
      <w:lvlJc w:val="left"/>
      <w:pPr>
        <w:ind w:left="1186" w:hanging="360"/>
      </w:p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17" w15:restartNumberingAfterBreak="0">
    <w:nsid w:val="6FF719F7"/>
    <w:multiLevelType w:val="hybridMultilevel"/>
    <w:tmpl w:val="9AA413EC"/>
    <w:lvl w:ilvl="0" w:tplc="710C347E">
      <w:start w:val="1"/>
      <w:numFmt w:val="decimal"/>
      <w:lvlText w:val="(%1)"/>
      <w:lvlJc w:val="right"/>
      <w:pPr>
        <w:tabs>
          <w:tab w:val="num" w:pos="1080"/>
        </w:tabs>
        <w:ind w:left="720" w:firstLine="720"/>
      </w:pPr>
      <w:rPr>
        <w:rFonts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E771EA"/>
    <w:multiLevelType w:val="hybridMultilevel"/>
    <w:tmpl w:val="E91ECC3E"/>
    <w:lvl w:ilvl="0" w:tplc="9A506F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4"/>
  </w:num>
  <w:num w:numId="3">
    <w:abstractNumId w:val="1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7"/>
  </w:num>
  <w:num w:numId="13">
    <w:abstractNumId w:val="9"/>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2"/>
  </w:num>
  <w:num w:numId="24">
    <w:abstractNumId w:val="18"/>
  </w:num>
  <w:num w:numId="25">
    <w:abstractNumId w:val="10"/>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ClientMatter" w:val="False"/>
    <w:docVar w:name="DocIDLibrary" w:val="True"/>
    <w:docVar w:name="DocIDType" w:val="AllPages"/>
  </w:docVars>
  <w:rsids>
    <w:rsidRoot w:val="003E332C"/>
    <w:rsid w:val="000078F4"/>
    <w:rsid w:val="00010428"/>
    <w:rsid w:val="00011935"/>
    <w:rsid w:val="000122EF"/>
    <w:rsid w:val="0002111A"/>
    <w:rsid w:val="000252D3"/>
    <w:rsid w:val="000275A3"/>
    <w:rsid w:val="00033DFD"/>
    <w:rsid w:val="000349AB"/>
    <w:rsid w:val="00042E01"/>
    <w:rsid w:val="00046959"/>
    <w:rsid w:val="00047379"/>
    <w:rsid w:val="00051AE0"/>
    <w:rsid w:val="00053448"/>
    <w:rsid w:val="00054EFC"/>
    <w:rsid w:val="000555E3"/>
    <w:rsid w:val="000559B2"/>
    <w:rsid w:val="00057B96"/>
    <w:rsid w:val="00062353"/>
    <w:rsid w:val="000653B4"/>
    <w:rsid w:val="00065551"/>
    <w:rsid w:val="000655F3"/>
    <w:rsid w:val="000707D0"/>
    <w:rsid w:val="0007275C"/>
    <w:rsid w:val="00077A7D"/>
    <w:rsid w:val="000829D8"/>
    <w:rsid w:val="00082ED4"/>
    <w:rsid w:val="000919D6"/>
    <w:rsid w:val="000A177D"/>
    <w:rsid w:val="000A7C00"/>
    <w:rsid w:val="000B059A"/>
    <w:rsid w:val="000B1511"/>
    <w:rsid w:val="000B159F"/>
    <w:rsid w:val="000C398D"/>
    <w:rsid w:val="000E6D3C"/>
    <w:rsid w:val="000F648D"/>
    <w:rsid w:val="000F6603"/>
    <w:rsid w:val="00100D94"/>
    <w:rsid w:val="001020B4"/>
    <w:rsid w:val="00103749"/>
    <w:rsid w:val="00105294"/>
    <w:rsid w:val="00113D0D"/>
    <w:rsid w:val="00113D55"/>
    <w:rsid w:val="001340A0"/>
    <w:rsid w:val="0014198E"/>
    <w:rsid w:val="001473D8"/>
    <w:rsid w:val="001477EC"/>
    <w:rsid w:val="00155831"/>
    <w:rsid w:val="00155C0C"/>
    <w:rsid w:val="0016391C"/>
    <w:rsid w:val="001729DE"/>
    <w:rsid w:val="00174CFA"/>
    <w:rsid w:val="001810E0"/>
    <w:rsid w:val="00182547"/>
    <w:rsid w:val="001908F7"/>
    <w:rsid w:val="001B5304"/>
    <w:rsid w:val="001B62EF"/>
    <w:rsid w:val="001C1D96"/>
    <w:rsid w:val="001C38F8"/>
    <w:rsid w:val="001C6DFC"/>
    <w:rsid w:val="001D6324"/>
    <w:rsid w:val="001D6870"/>
    <w:rsid w:val="001E74CC"/>
    <w:rsid w:val="001F014A"/>
    <w:rsid w:val="001F1CD2"/>
    <w:rsid w:val="001F5B26"/>
    <w:rsid w:val="00212224"/>
    <w:rsid w:val="00216919"/>
    <w:rsid w:val="00217666"/>
    <w:rsid w:val="00223505"/>
    <w:rsid w:val="002243E9"/>
    <w:rsid w:val="00224BF0"/>
    <w:rsid w:val="00224D12"/>
    <w:rsid w:val="00225DB9"/>
    <w:rsid w:val="002326D5"/>
    <w:rsid w:val="00234081"/>
    <w:rsid w:val="00241004"/>
    <w:rsid w:val="00242EDC"/>
    <w:rsid w:val="00243113"/>
    <w:rsid w:val="00264DE3"/>
    <w:rsid w:val="002669D8"/>
    <w:rsid w:val="00283366"/>
    <w:rsid w:val="002835C5"/>
    <w:rsid w:val="00286CA0"/>
    <w:rsid w:val="00286E18"/>
    <w:rsid w:val="00287474"/>
    <w:rsid w:val="002912C8"/>
    <w:rsid w:val="00293299"/>
    <w:rsid w:val="00294498"/>
    <w:rsid w:val="002964D6"/>
    <w:rsid w:val="002B017C"/>
    <w:rsid w:val="002B042D"/>
    <w:rsid w:val="002B2924"/>
    <w:rsid w:val="002C72E5"/>
    <w:rsid w:val="002D1C77"/>
    <w:rsid w:val="002D4943"/>
    <w:rsid w:val="002D4FBD"/>
    <w:rsid w:val="002D7923"/>
    <w:rsid w:val="002E030F"/>
    <w:rsid w:val="002F2FA0"/>
    <w:rsid w:val="002F542E"/>
    <w:rsid w:val="00301F8E"/>
    <w:rsid w:val="003027AC"/>
    <w:rsid w:val="00303334"/>
    <w:rsid w:val="00311396"/>
    <w:rsid w:val="00334D29"/>
    <w:rsid w:val="003353EA"/>
    <w:rsid w:val="00335BDE"/>
    <w:rsid w:val="00352971"/>
    <w:rsid w:val="0036044D"/>
    <w:rsid w:val="00360A62"/>
    <w:rsid w:val="0036191F"/>
    <w:rsid w:val="00361CF7"/>
    <w:rsid w:val="00370701"/>
    <w:rsid w:val="00372118"/>
    <w:rsid w:val="00376C9F"/>
    <w:rsid w:val="0038383A"/>
    <w:rsid w:val="00391CF9"/>
    <w:rsid w:val="00396679"/>
    <w:rsid w:val="0039753F"/>
    <w:rsid w:val="00397D30"/>
    <w:rsid w:val="003A2CE7"/>
    <w:rsid w:val="003B01D1"/>
    <w:rsid w:val="003B16FE"/>
    <w:rsid w:val="003B3DCF"/>
    <w:rsid w:val="003B718B"/>
    <w:rsid w:val="003C056C"/>
    <w:rsid w:val="003C7189"/>
    <w:rsid w:val="003D0C7D"/>
    <w:rsid w:val="003E332C"/>
    <w:rsid w:val="003F7758"/>
    <w:rsid w:val="003F7D50"/>
    <w:rsid w:val="00400036"/>
    <w:rsid w:val="00404A17"/>
    <w:rsid w:val="00405CCF"/>
    <w:rsid w:val="00405CF2"/>
    <w:rsid w:val="00411C0D"/>
    <w:rsid w:val="00416931"/>
    <w:rsid w:val="0042324F"/>
    <w:rsid w:val="004247C5"/>
    <w:rsid w:val="00427245"/>
    <w:rsid w:val="0043094F"/>
    <w:rsid w:val="004311D5"/>
    <w:rsid w:val="00444DAC"/>
    <w:rsid w:val="004521C6"/>
    <w:rsid w:val="00452F8A"/>
    <w:rsid w:val="004671B7"/>
    <w:rsid w:val="00470777"/>
    <w:rsid w:val="0047360B"/>
    <w:rsid w:val="00480E6F"/>
    <w:rsid w:val="0048757E"/>
    <w:rsid w:val="0049159E"/>
    <w:rsid w:val="00492C56"/>
    <w:rsid w:val="004932A6"/>
    <w:rsid w:val="004956CE"/>
    <w:rsid w:val="004973A3"/>
    <w:rsid w:val="004A4DF4"/>
    <w:rsid w:val="004A5D3B"/>
    <w:rsid w:val="004B4C35"/>
    <w:rsid w:val="004B52AB"/>
    <w:rsid w:val="004B64A7"/>
    <w:rsid w:val="004C65EA"/>
    <w:rsid w:val="004D3D38"/>
    <w:rsid w:val="004D6DFD"/>
    <w:rsid w:val="004E1B59"/>
    <w:rsid w:val="004F3931"/>
    <w:rsid w:val="004F6737"/>
    <w:rsid w:val="005005B6"/>
    <w:rsid w:val="00510274"/>
    <w:rsid w:val="005108D8"/>
    <w:rsid w:val="0051322D"/>
    <w:rsid w:val="00517969"/>
    <w:rsid w:val="00517BCE"/>
    <w:rsid w:val="00517F17"/>
    <w:rsid w:val="005202DA"/>
    <w:rsid w:val="00523EC7"/>
    <w:rsid w:val="00531B2B"/>
    <w:rsid w:val="005346AE"/>
    <w:rsid w:val="00541426"/>
    <w:rsid w:val="00541C23"/>
    <w:rsid w:val="005535C8"/>
    <w:rsid w:val="005543CB"/>
    <w:rsid w:val="0055648A"/>
    <w:rsid w:val="0056455E"/>
    <w:rsid w:val="00565E2E"/>
    <w:rsid w:val="0056687B"/>
    <w:rsid w:val="0056747A"/>
    <w:rsid w:val="00571AC9"/>
    <w:rsid w:val="00573E6C"/>
    <w:rsid w:val="0057625A"/>
    <w:rsid w:val="00576BEF"/>
    <w:rsid w:val="005817A3"/>
    <w:rsid w:val="00583642"/>
    <w:rsid w:val="00586534"/>
    <w:rsid w:val="00590188"/>
    <w:rsid w:val="00591F79"/>
    <w:rsid w:val="005927CA"/>
    <w:rsid w:val="005B6FBB"/>
    <w:rsid w:val="005C2DAB"/>
    <w:rsid w:val="005D06B0"/>
    <w:rsid w:val="005E090A"/>
    <w:rsid w:val="005E0BAB"/>
    <w:rsid w:val="005E4DFC"/>
    <w:rsid w:val="005F387F"/>
    <w:rsid w:val="005F59DA"/>
    <w:rsid w:val="005F6FAE"/>
    <w:rsid w:val="0060300F"/>
    <w:rsid w:val="006042EC"/>
    <w:rsid w:val="0060602A"/>
    <w:rsid w:val="00613A7F"/>
    <w:rsid w:val="006140F2"/>
    <w:rsid w:val="00616FC4"/>
    <w:rsid w:val="00617E02"/>
    <w:rsid w:val="00623745"/>
    <w:rsid w:val="00624A95"/>
    <w:rsid w:val="00642A1E"/>
    <w:rsid w:val="006466D0"/>
    <w:rsid w:val="00671C8F"/>
    <w:rsid w:val="006751EE"/>
    <w:rsid w:val="00675A62"/>
    <w:rsid w:val="00676139"/>
    <w:rsid w:val="006761EE"/>
    <w:rsid w:val="0068524E"/>
    <w:rsid w:val="00692A75"/>
    <w:rsid w:val="006952BF"/>
    <w:rsid w:val="00695DB6"/>
    <w:rsid w:val="006A0F7C"/>
    <w:rsid w:val="006A2503"/>
    <w:rsid w:val="006B6800"/>
    <w:rsid w:val="006B778A"/>
    <w:rsid w:val="006C05BF"/>
    <w:rsid w:val="006C226B"/>
    <w:rsid w:val="006C5105"/>
    <w:rsid w:val="006D110F"/>
    <w:rsid w:val="006D28F4"/>
    <w:rsid w:val="006D4BA7"/>
    <w:rsid w:val="006D6296"/>
    <w:rsid w:val="006D6925"/>
    <w:rsid w:val="006E1815"/>
    <w:rsid w:val="006E5921"/>
    <w:rsid w:val="006E59E2"/>
    <w:rsid w:val="006F2AE3"/>
    <w:rsid w:val="00703408"/>
    <w:rsid w:val="0071287E"/>
    <w:rsid w:val="00712F00"/>
    <w:rsid w:val="00713274"/>
    <w:rsid w:val="007228ED"/>
    <w:rsid w:val="00730C2C"/>
    <w:rsid w:val="007360C8"/>
    <w:rsid w:val="00746355"/>
    <w:rsid w:val="007612BB"/>
    <w:rsid w:val="00762E70"/>
    <w:rsid w:val="00777BED"/>
    <w:rsid w:val="00793C70"/>
    <w:rsid w:val="00796328"/>
    <w:rsid w:val="0079640A"/>
    <w:rsid w:val="00796D15"/>
    <w:rsid w:val="007A7674"/>
    <w:rsid w:val="007B7CA1"/>
    <w:rsid w:val="007C093B"/>
    <w:rsid w:val="007C17EC"/>
    <w:rsid w:val="007D0AF2"/>
    <w:rsid w:val="007D2359"/>
    <w:rsid w:val="007D351E"/>
    <w:rsid w:val="007D76FF"/>
    <w:rsid w:val="007E2B1B"/>
    <w:rsid w:val="007F0055"/>
    <w:rsid w:val="007F4ECD"/>
    <w:rsid w:val="007F71BF"/>
    <w:rsid w:val="00802B3A"/>
    <w:rsid w:val="008037FE"/>
    <w:rsid w:val="0080532E"/>
    <w:rsid w:val="008133F2"/>
    <w:rsid w:val="00813F44"/>
    <w:rsid w:val="00816C97"/>
    <w:rsid w:val="00816EF6"/>
    <w:rsid w:val="0082107D"/>
    <w:rsid w:val="00824A0A"/>
    <w:rsid w:val="008259C7"/>
    <w:rsid w:val="008360E2"/>
    <w:rsid w:val="008374A4"/>
    <w:rsid w:val="00847FDA"/>
    <w:rsid w:val="0085120F"/>
    <w:rsid w:val="0085410F"/>
    <w:rsid w:val="00855559"/>
    <w:rsid w:val="0085577E"/>
    <w:rsid w:val="0086122F"/>
    <w:rsid w:val="008648B8"/>
    <w:rsid w:val="008664C5"/>
    <w:rsid w:val="0087072F"/>
    <w:rsid w:val="008728D6"/>
    <w:rsid w:val="00884346"/>
    <w:rsid w:val="008964F9"/>
    <w:rsid w:val="008971DE"/>
    <w:rsid w:val="00897454"/>
    <w:rsid w:val="008A027C"/>
    <w:rsid w:val="008A20DC"/>
    <w:rsid w:val="008A4DD3"/>
    <w:rsid w:val="008B03A0"/>
    <w:rsid w:val="008B556F"/>
    <w:rsid w:val="008B5A9A"/>
    <w:rsid w:val="008B5ADE"/>
    <w:rsid w:val="008B66EA"/>
    <w:rsid w:val="008B6716"/>
    <w:rsid w:val="008C7585"/>
    <w:rsid w:val="008E043A"/>
    <w:rsid w:val="008E30F4"/>
    <w:rsid w:val="008E76EA"/>
    <w:rsid w:val="008F3C38"/>
    <w:rsid w:val="009014DD"/>
    <w:rsid w:val="00910559"/>
    <w:rsid w:val="00927D32"/>
    <w:rsid w:val="009336F0"/>
    <w:rsid w:val="00946476"/>
    <w:rsid w:val="009517EF"/>
    <w:rsid w:val="009538AE"/>
    <w:rsid w:val="00955235"/>
    <w:rsid w:val="009604D9"/>
    <w:rsid w:val="00961460"/>
    <w:rsid w:val="00971391"/>
    <w:rsid w:val="00975653"/>
    <w:rsid w:val="009759F5"/>
    <w:rsid w:val="00977E65"/>
    <w:rsid w:val="00981204"/>
    <w:rsid w:val="009815E5"/>
    <w:rsid w:val="00985749"/>
    <w:rsid w:val="00990379"/>
    <w:rsid w:val="009A0575"/>
    <w:rsid w:val="009C1D73"/>
    <w:rsid w:val="009C21D1"/>
    <w:rsid w:val="009C4DE8"/>
    <w:rsid w:val="009C7F3B"/>
    <w:rsid w:val="009D3D57"/>
    <w:rsid w:val="009D5C4F"/>
    <w:rsid w:val="009E7D26"/>
    <w:rsid w:val="009E7E4E"/>
    <w:rsid w:val="009F3A0C"/>
    <w:rsid w:val="009F640F"/>
    <w:rsid w:val="00A0163E"/>
    <w:rsid w:val="00A03389"/>
    <w:rsid w:val="00A15A7F"/>
    <w:rsid w:val="00A1623B"/>
    <w:rsid w:val="00A16C58"/>
    <w:rsid w:val="00A2419A"/>
    <w:rsid w:val="00A33B0E"/>
    <w:rsid w:val="00A400E4"/>
    <w:rsid w:val="00A541E4"/>
    <w:rsid w:val="00A61E55"/>
    <w:rsid w:val="00A6333D"/>
    <w:rsid w:val="00A64A05"/>
    <w:rsid w:val="00A72171"/>
    <w:rsid w:val="00A73E1B"/>
    <w:rsid w:val="00A75244"/>
    <w:rsid w:val="00A812BE"/>
    <w:rsid w:val="00A83277"/>
    <w:rsid w:val="00A859C6"/>
    <w:rsid w:val="00A85E60"/>
    <w:rsid w:val="00A86DAE"/>
    <w:rsid w:val="00A90BBE"/>
    <w:rsid w:val="00A9196A"/>
    <w:rsid w:val="00A95695"/>
    <w:rsid w:val="00AA12F8"/>
    <w:rsid w:val="00AA17A9"/>
    <w:rsid w:val="00AA22B9"/>
    <w:rsid w:val="00AA3720"/>
    <w:rsid w:val="00AA6DB1"/>
    <w:rsid w:val="00AB6FBF"/>
    <w:rsid w:val="00AC076C"/>
    <w:rsid w:val="00AD5022"/>
    <w:rsid w:val="00AE42D7"/>
    <w:rsid w:val="00AE4CBE"/>
    <w:rsid w:val="00AE753C"/>
    <w:rsid w:val="00AE7F73"/>
    <w:rsid w:val="00AF007C"/>
    <w:rsid w:val="00AF0755"/>
    <w:rsid w:val="00AF1706"/>
    <w:rsid w:val="00AF7CE3"/>
    <w:rsid w:val="00B06B14"/>
    <w:rsid w:val="00B12EE1"/>
    <w:rsid w:val="00B20296"/>
    <w:rsid w:val="00B20C77"/>
    <w:rsid w:val="00B22E17"/>
    <w:rsid w:val="00B238A9"/>
    <w:rsid w:val="00B2572B"/>
    <w:rsid w:val="00B27AC8"/>
    <w:rsid w:val="00B3594F"/>
    <w:rsid w:val="00B36059"/>
    <w:rsid w:val="00B4338F"/>
    <w:rsid w:val="00B46422"/>
    <w:rsid w:val="00B47120"/>
    <w:rsid w:val="00B501E0"/>
    <w:rsid w:val="00B52781"/>
    <w:rsid w:val="00B54A72"/>
    <w:rsid w:val="00B54F86"/>
    <w:rsid w:val="00B57D95"/>
    <w:rsid w:val="00B651B3"/>
    <w:rsid w:val="00B66115"/>
    <w:rsid w:val="00B72D3D"/>
    <w:rsid w:val="00B75FD7"/>
    <w:rsid w:val="00B828A7"/>
    <w:rsid w:val="00B87E25"/>
    <w:rsid w:val="00B9064C"/>
    <w:rsid w:val="00B94BB1"/>
    <w:rsid w:val="00B95A29"/>
    <w:rsid w:val="00BA2A53"/>
    <w:rsid w:val="00BA5C59"/>
    <w:rsid w:val="00BB29D7"/>
    <w:rsid w:val="00BB3C56"/>
    <w:rsid w:val="00BB779F"/>
    <w:rsid w:val="00BC2124"/>
    <w:rsid w:val="00BC2F11"/>
    <w:rsid w:val="00BC5BD4"/>
    <w:rsid w:val="00BC6343"/>
    <w:rsid w:val="00BC722A"/>
    <w:rsid w:val="00BD3442"/>
    <w:rsid w:val="00BD5653"/>
    <w:rsid w:val="00BE4D72"/>
    <w:rsid w:val="00BF34C7"/>
    <w:rsid w:val="00C01064"/>
    <w:rsid w:val="00C02D67"/>
    <w:rsid w:val="00C03B76"/>
    <w:rsid w:val="00C11E4E"/>
    <w:rsid w:val="00C20158"/>
    <w:rsid w:val="00C2225F"/>
    <w:rsid w:val="00C36A2D"/>
    <w:rsid w:val="00C37273"/>
    <w:rsid w:val="00C402DA"/>
    <w:rsid w:val="00C41EA1"/>
    <w:rsid w:val="00C42AF6"/>
    <w:rsid w:val="00C45163"/>
    <w:rsid w:val="00C47E4F"/>
    <w:rsid w:val="00C51F2B"/>
    <w:rsid w:val="00C531F7"/>
    <w:rsid w:val="00C5469D"/>
    <w:rsid w:val="00C55009"/>
    <w:rsid w:val="00C557A4"/>
    <w:rsid w:val="00C57F5D"/>
    <w:rsid w:val="00C57FB5"/>
    <w:rsid w:val="00C61900"/>
    <w:rsid w:val="00C67611"/>
    <w:rsid w:val="00C72DA6"/>
    <w:rsid w:val="00C8451A"/>
    <w:rsid w:val="00C86D40"/>
    <w:rsid w:val="00C925DA"/>
    <w:rsid w:val="00C94121"/>
    <w:rsid w:val="00CB4457"/>
    <w:rsid w:val="00CB4762"/>
    <w:rsid w:val="00CB6406"/>
    <w:rsid w:val="00CB7173"/>
    <w:rsid w:val="00CC732B"/>
    <w:rsid w:val="00CD12C1"/>
    <w:rsid w:val="00CD3327"/>
    <w:rsid w:val="00CD5BE9"/>
    <w:rsid w:val="00CF061B"/>
    <w:rsid w:val="00CF2972"/>
    <w:rsid w:val="00CF7039"/>
    <w:rsid w:val="00D00928"/>
    <w:rsid w:val="00D067A7"/>
    <w:rsid w:val="00D070E6"/>
    <w:rsid w:val="00D07853"/>
    <w:rsid w:val="00D10075"/>
    <w:rsid w:val="00D15AAB"/>
    <w:rsid w:val="00D16EAF"/>
    <w:rsid w:val="00D20A12"/>
    <w:rsid w:val="00D21481"/>
    <w:rsid w:val="00D22EA8"/>
    <w:rsid w:val="00D31610"/>
    <w:rsid w:val="00D31D5C"/>
    <w:rsid w:val="00D40CE3"/>
    <w:rsid w:val="00D413E3"/>
    <w:rsid w:val="00D43568"/>
    <w:rsid w:val="00D45632"/>
    <w:rsid w:val="00D578B5"/>
    <w:rsid w:val="00D608A2"/>
    <w:rsid w:val="00D60E8E"/>
    <w:rsid w:val="00D61D67"/>
    <w:rsid w:val="00D64A00"/>
    <w:rsid w:val="00D748E6"/>
    <w:rsid w:val="00D764EB"/>
    <w:rsid w:val="00D822C8"/>
    <w:rsid w:val="00D8496E"/>
    <w:rsid w:val="00D91576"/>
    <w:rsid w:val="00D92037"/>
    <w:rsid w:val="00DA1EAB"/>
    <w:rsid w:val="00DA74D2"/>
    <w:rsid w:val="00DC0B6F"/>
    <w:rsid w:val="00DC0BE4"/>
    <w:rsid w:val="00DC254A"/>
    <w:rsid w:val="00DD2FB4"/>
    <w:rsid w:val="00DD34F9"/>
    <w:rsid w:val="00DD3BC4"/>
    <w:rsid w:val="00DD6CA2"/>
    <w:rsid w:val="00DE55EA"/>
    <w:rsid w:val="00DE7D7B"/>
    <w:rsid w:val="00DF1552"/>
    <w:rsid w:val="00E02B33"/>
    <w:rsid w:val="00E06091"/>
    <w:rsid w:val="00E07FF9"/>
    <w:rsid w:val="00E10515"/>
    <w:rsid w:val="00E15E03"/>
    <w:rsid w:val="00E21208"/>
    <w:rsid w:val="00E3244C"/>
    <w:rsid w:val="00E40E2E"/>
    <w:rsid w:val="00E4181A"/>
    <w:rsid w:val="00E455A9"/>
    <w:rsid w:val="00E47DE9"/>
    <w:rsid w:val="00E6001C"/>
    <w:rsid w:val="00E70697"/>
    <w:rsid w:val="00E7113B"/>
    <w:rsid w:val="00E73DDB"/>
    <w:rsid w:val="00E73F39"/>
    <w:rsid w:val="00E740A1"/>
    <w:rsid w:val="00E75925"/>
    <w:rsid w:val="00E8091B"/>
    <w:rsid w:val="00E8538C"/>
    <w:rsid w:val="00E85B51"/>
    <w:rsid w:val="00E9030F"/>
    <w:rsid w:val="00EA1775"/>
    <w:rsid w:val="00EA436B"/>
    <w:rsid w:val="00EA70AF"/>
    <w:rsid w:val="00EB27A2"/>
    <w:rsid w:val="00EB5648"/>
    <w:rsid w:val="00EC06B3"/>
    <w:rsid w:val="00EC7543"/>
    <w:rsid w:val="00ED66D0"/>
    <w:rsid w:val="00EE5813"/>
    <w:rsid w:val="00EE657A"/>
    <w:rsid w:val="00EE7024"/>
    <w:rsid w:val="00F01957"/>
    <w:rsid w:val="00F0235A"/>
    <w:rsid w:val="00F04DF6"/>
    <w:rsid w:val="00F12C6E"/>
    <w:rsid w:val="00F1577A"/>
    <w:rsid w:val="00F236C8"/>
    <w:rsid w:val="00F303C6"/>
    <w:rsid w:val="00F362BD"/>
    <w:rsid w:val="00F41A91"/>
    <w:rsid w:val="00F51D19"/>
    <w:rsid w:val="00F7621E"/>
    <w:rsid w:val="00F83F1B"/>
    <w:rsid w:val="00F93909"/>
    <w:rsid w:val="00F97199"/>
    <w:rsid w:val="00FA3E3A"/>
    <w:rsid w:val="00FA52E0"/>
    <w:rsid w:val="00FA6A08"/>
    <w:rsid w:val="00FA75AD"/>
    <w:rsid w:val="00FA7BCF"/>
    <w:rsid w:val="00FC0B2A"/>
    <w:rsid w:val="00FC32C4"/>
    <w:rsid w:val="00FC4FF5"/>
    <w:rsid w:val="00FC579A"/>
    <w:rsid w:val="00FD344C"/>
    <w:rsid w:val="00FE4904"/>
    <w:rsid w:val="00FE6FE1"/>
    <w:rsid w:val="00FF0291"/>
    <w:rsid w:val="00FF15EB"/>
    <w:rsid w:val="00FF23DB"/>
    <w:rsid w:val="00FF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D0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32C"/>
    <w:rPr>
      <w:rFonts w:ascii="Times New Roman" w:hAnsi="Times New Roman" w:cs="Times New Roman"/>
      <w:szCs w:val="20"/>
    </w:rPr>
  </w:style>
  <w:style w:type="paragraph" w:styleId="Heading1">
    <w:name w:val="heading 1"/>
    <w:basedOn w:val="Normal"/>
    <w:next w:val="Normal"/>
    <w:link w:val="Heading1Char"/>
    <w:qFormat/>
    <w:rsid w:val="00BC5BD4"/>
    <w:pPr>
      <w:keepNext/>
      <w:tabs>
        <w:tab w:val="left" w:pos="1699"/>
      </w:tabs>
      <w:spacing w:before="320"/>
      <w:ind w:left="1699" w:hanging="1699"/>
      <w:outlineLvl w:val="0"/>
    </w:pPr>
    <w:rPr>
      <w:rFonts w:cstheme="minorBidi"/>
      <w:smallCaps/>
      <w:szCs w:val="24"/>
    </w:rPr>
  </w:style>
  <w:style w:type="paragraph" w:styleId="Heading2">
    <w:name w:val="heading 2"/>
    <w:basedOn w:val="ParaSECTION"/>
    <w:next w:val="Normal"/>
    <w:link w:val="Heading2Char"/>
    <w:qFormat/>
    <w:rsid w:val="00BC5BD4"/>
    <w:pPr>
      <w:numPr>
        <w:ilvl w:val="1"/>
        <w:numId w:val="1"/>
      </w:numPr>
      <w:outlineLvl w:val="1"/>
    </w:pPr>
    <w:rPr>
      <w:i/>
    </w:rPr>
  </w:style>
  <w:style w:type="paragraph" w:styleId="Heading3">
    <w:name w:val="heading 3"/>
    <w:basedOn w:val="Heading1"/>
    <w:next w:val="Normal"/>
    <w:link w:val="Heading3Char"/>
    <w:rsid w:val="00303334"/>
    <w:pPr>
      <w:numPr>
        <w:ilvl w:val="2"/>
        <w:numId w:val="1"/>
      </w:numPr>
      <w:outlineLvl w:val="2"/>
    </w:pPr>
    <w:rPr>
      <w:smallCaps w:val="0"/>
    </w:rPr>
  </w:style>
  <w:style w:type="paragraph" w:styleId="Heading4">
    <w:name w:val="heading 4"/>
    <w:basedOn w:val="Heading1"/>
    <w:next w:val="Normal"/>
    <w:link w:val="Heading4Char"/>
    <w:rsid w:val="00303334"/>
    <w:pPr>
      <w:numPr>
        <w:ilvl w:val="3"/>
        <w:numId w:val="1"/>
      </w:numPr>
      <w:outlineLvl w:val="3"/>
    </w:pPr>
    <w:rPr>
      <w:smallCaps w:val="0"/>
    </w:rPr>
  </w:style>
  <w:style w:type="paragraph" w:styleId="Heading5">
    <w:name w:val="heading 5"/>
    <w:basedOn w:val="Normal"/>
    <w:next w:val="Normal"/>
    <w:link w:val="Heading5Char"/>
    <w:qFormat/>
    <w:rsid w:val="00303334"/>
    <w:pPr>
      <w:numPr>
        <w:ilvl w:val="4"/>
        <w:numId w:val="1"/>
      </w:numPr>
      <w:outlineLvl w:val="4"/>
    </w:pPr>
    <w:rPr>
      <w:b/>
    </w:rPr>
  </w:style>
  <w:style w:type="paragraph" w:styleId="Heading6">
    <w:name w:val="heading 6"/>
    <w:basedOn w:val="Normal"/>
    <w:next w:val="Normal"/>
    <w:link w:val="Heading6Char"/>
    <w:qFormat/>
    <w:rsid w:val="00303334"/>
    <w:pPr>
      <w:numPr>
        <w:ilvl w:val="5"/>
        <w:numId w:val="1"/>
      </w:numPr>
      <w:outlineLvl w:val="5"/>
    </w:pPr>
  </w:style>
  <w:style w:type="paragraph" w:styleId="Heading7">
    <w:name w:val="heading 7"/>
    <w:basedOn w:val="Normal"/>
    <w:next w:val="Normal"/>
    <w:link w:val="Heading7Char"/>
    <w:qFormat/>
    <w:rsid w:val="00303334"/>
    <w:pPr>
      <w:numPr>
        <w:ilvl w:val="6"/>
        <w:numId w:val="1"/>
      </w:numPr>
      <w:outlineLvl w:val="6"/>
    </w:pPr>
    <w:rPr>
      <w:i/>
    </w:rPr>
  </w:style>
  <w:style w:type="paragraph" w:styleId="Heading8">
    <w:name w:val="heading 8"/>
    <w:basedOn w:val="Normal"/>
    <w:next w:val="Normal"/>
    <w:link w:val="Heading8Char"/>
    <w:qFormat/>
    <w:rsid w:val="00303334"/>
    <w:pPr>
      <w:numPr>
        <w:ilvl w:val="7"/>
        <w:numId w:val="1"/>
      </w:numPr>
      <w:outlineLvl w:val="7"/>
    </w:pPr>
    <w:rPr>
      <w:i/>
    </w:rPr>
  </w:style>
  <w:style w:type="paragraph" w:styleId="Heading9">
    <w:name w:val="heading 9"/>
    <w:basedOn w:val="Heading1"/>
    <w:link w:val="Heading9Char"/>
    <w:qFormat/>
    <w:rsid w:val="00D91576"/>
    <w:pPr>
      <w:keepNext w:val="0"/>
      <w:numPr>
        <w:ilvl w:val="8"/>
        <w:numId w:val="1"/>
      </w:numPr>
      <w:tabs>
        <w:tab w:val="clear" w:pos="1699"/>
      </w:tabs>
      <w:spacing w:before="2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9F3A0C"/>
    <w:pPr>
      <w:spacing w:after="120"/>
      <w:ind w:left="360"/>
    </w:pPr>
  </w:style>
  <w:style w:type="character" w:customStyle="1" w:styleId="BodyTextIndent3Char">
    <w:name w:val="Body Text Indent 3 Char"/>
    <w:basedOn w:val="DefaultParagraphFont"/>
    <w:link w:val="BodyTextIndent3"/>
    <w:rsid w:val="009F3A0C"/>
    <w:rPr>
      <w:rFonts w:ascii="Times" w:eastAsia="Times New Roman" w:hAnsi="Times" w:cs="Times New Roman"/>
      <w:szCs w:val="20"/>
    </w:rPr>
  </w:style>
  <w:style w:type="character" w:styleId="CommentReference">
    <w:name w:val="annotation reference"/>
    <w:basedOn w:val="DefaultParagraphFont"/>
    <w:rsid w:val="009F3A0C"/>
    <w:rPr>
      <w:rFonts w:ascii="Times" w:hAnsi="Times"/>
      <w:sz w:val="24"/>
    </w:rPr>
  </w:style>
  <w:style w:type="paragraph" w:styleId="CommentText">
    <w:name w:val="annotation text"/>
    <w:basedOn w:val="Normal"/>
    <w:link w:val="CommentTextChar"/>
    <w:rsid w:val="009F3A0C"/>
  </w:style>
  <w:style w:type="character" w:customStyle="1" w:styleId="CommentTextChar">
    <w:name w:val="Comment Text Char"/>
    <w:basedOn w:val="DefaultParagraphFont"/>
    <w:link w:val="CommentText"/>
    <w:rsid w:val="009F3A0C"/>
    <w:rPr>
      <w:rFonts w:ascii="Times" w:eastAsia="Times New Roman" w:hAnsi="Times" w:cs="Times New Roman"/>
      <w:szCs w:val="20"/>
    </w:rPr>
  </w:style>
  <w:style w:type="paragraph" w:customStyle="1" w:styleId="TitleCenterBold">
    <w:name w:val="TitleCenterBold"/>
    <w:basedOn w:val="Normal"/>
    <w:next w:val="Normal"/>
    <w:qFormat/>
    <w:rsid w:val="00A95695"/>
    <w:pPr>
      <w:keepNext/>
      <w:spacing w:before="360"/>
      <w:jc w:val="center"/>
    </w:pPr>
    <w:rPr>
      <w:b/>
      <w:smallCaps/>
    </w:rPr>
  </w:style>
  <w:style w:type="paragraph" w:customStyle="1" w:styleId="CoverCenter">
    <w:name w:val="CoverCenter"/>
    <w:basedOn w:val="TitleCenterBold"/>
    <w:qFormat/>
    <w:rsid w:val="00A95695"/>
    <w:pPr>
      <w:spacing w:before="0"/>
    </w:pPr>
    <w:rPr>
      <w:b w:val="0"/>
    </w:rPr>
  </w:style>
  <w:style w:type="paragraph" w:styleId="Date">
    <w:name w:val="Date"/>
    <w:basedOn w:val="Normal"/>
    <w:next w:val="Normal"/>
    <w:link w:val="DateChar"/>
    <w:qFormat/>
    <w:rsid w:val="00EA70AF"/>
    <w:pPr>
      <w:spacing w:after="640"/>
      <w:jc w:val="center"/>
    </w:pPr>
  </w:style>
  <w:style w:type="character" w:customStyle="1" w:styleId="DateChar">
    <w:name w:val="Date Char"/>
    <w:basedOn w:val="DefaultParagraphFont"/>
    <w:link w:val="Date"/>
    <w:rsid w:val="00EA70AF"/>
    <w:rPr>
      <w:rFonts w:ascii="Times" w:hAnsi="Times" w:cs="Times New Roman"/>
      <w:szCs w:val="20"/>
    </w:rPr>
  </w:style>
  <w:style w:type="paragraph" w:customStyle="1" w:styleId="DoubleLine">
    <w:name w:val="DoubleLine"/>
    <w:basedOn w:val="Normal"/>
    <w:next w:val="Normal"/>
    <w:qFormat/>
    <w:rsid w:val="00A95695"/>
    <w:pPr>
      <w:pBdr>
        <w:bottom w:val="double" w:sz="6" w:space="0" w:color="auto"/>
      </w:pBdr>
    </w:pPr>
  </w:style>
  <w:style w:type="character" w:styleId="Emphasis">
    <w:name w:val="Emphasis"/>
    <w:basedOn w:val="DefaultParagraphFont"/>
    <w:qFormat/>
    <w:rsid w:val="009F3A0C"/>
    <w:rPr>
      <w:rFonts w:ascii="Times" w:hAnsi="Times"/>
    </w:rPr>
  </w:style>
  <w:style w:type="character" w:styleId="EndnoteReference">
    <w:name w:val="endnote reference"/>
    <w:basedOn w:val="DefaultParagraphFont"/>
    <w:rsid w:val="009F3A0C"/>
    <w:rPr>
      <w:rFonts w:ascii="Times" w:hAnsi="Times"/>
      <w:position w:val="6"/>
      <w:vertAlign w:val="baseline"/>
    </w:rPr>
  </w:style>
  <w:style w:type="paragraph" w:styleId="EnvelopeAddress">
    <w:name w:val="envelope address"/>
    <w:basedOn w:val="Normal"/>
    <w:rsid w:val="009F3A0C"/>
    <w:pPr>
      <w:framePr w:w="7920" w:h="1980" w:hRule="exact" w:hSpace="180" w:wrap="auto" w:hAnchor="page" w:xAlign="center" w:yAlign="bottom"/>
      <w:ind w:left="2880"/>
    </w:pPr>
  </w:style>
  <w:style w:type="paragraph" w:styleId="EnvelopeReturn">
    <w:name w:val="envelope return"/>
    <w:basedOn w:val="Normal"/>
    <w:rsid w:val="009F3A0C"/>
  </w:style>
  <w:style w:type="paragraph" w:styleId="Footer">
    <w:name w:val="footer"/>
    <w:aliases w:val="f"/>
    <w:basedOn w:val="Normal"/>
    <w:link w:val="FooterChar"/>
    <w:uiPriority w:val="99"/>
    <w:rsid w:val="00303334"/>
    <w:pPr>
      <w:tabs>
        <w:tab w:val="center" w:pos="4680"/>
        <w:tab w:val="right" w:pos="9360"/>
      </w:tabs>
    </w:pPr>
    <w:rPr>
      <w:sz w:val="18"/>
    </w:rPr>
  </w:style>
  <w:style w:type="character" w:customStyle="1" w:styleId="FooterChar">
    <w:name w:val="Footer Char"/>
    <w:aliases w:val="f Char"/>
    <w:basedOn w:val="DefaultParagraphFont"/>
    <w:link w:val="Footer"/>
    <w:uiPriority w:val="99"/>
    <w:rsid w:val="00303334"/>
    <w:rPr>
      <w:rFonts w:ascii="Times" w:hAnsi="Times" w:cs="Times New Roman"/>
      <w:sz w:val="18"/>
      <w:szCs w:val="20"/>
    </w:rPr>
  </w:style>
  <w:style w:type="character" w:styleId="FootnoteReference">
    <w:name w:val="footnote reference"/>
    <w:basedOn w:val="DefaultParagraphFont"/>
    <w:uiPriority w:val="99"/>
    <w:rsid w:val="00303334"/>
    <w:rPr>
      <w:rFonts w:ascii="Times" w:hAnsi="Times"/>
      <w:position w:val="6"/>
      <w:sz w:val="20"/>
      <w:vertAlign w:val="baseline"/>
    </w:rPr>
  </w:style>
  <w:style w:type="paragraph" w:styleId="FootnoteText">
    <w:name w:val="footnote text"/>
    <w:basedOn w:val="Normal"/>
    <w:link w:val="FootnoteTextChar"/>
    <w:uiPriority w:val="99"/>
    <w:rsid w:val="00303334"/>
    <w:pPr>
      <w:spacing w:after="240" w:line="240" w:lineRule="exact"/>
      <w:ind w:left="720" w:hanging="720"/>
      <w:jc w:val="both"/>
    </w:pPr>
    <w:rPr>
      <w:sz w:val="20"/>
    </w:rPr>
  </w:style>
  <w:style w:type="character" w:customStyle="1" w:styleId="FootnoteTextChar">
    <w:name w:val="Footnote Text Char"/>
    <w:basedOn w:val="DefaultParagraphFont"/>
    <w:link w:val="FootnoteText"/>
    <w:uiPriority w:val="99"/>
    <w:rsid w:val="00303334"/>
    <w:rPr>
      <w:rFonts w:ascii="Times" w:hAnsi="Times" w:cs="Times New Roman"/>
      <w:sz w:val="20"/>
      <w:szCs w:val="20"/>
    </w:rPr>
  </w:style>
  <w:style w:type="paragraph" w:customStyle="1" w:styleId="ParaNORMAL">
    <w:name w:val="ParaNORMAL"/>
    <w:aliases w:val="p"/>
    <w:basedOn w:val="Normal"/>
    <w:qFormat/>
    <w:rsid w:val="001C1D96"/>
    <w:pPr>
      <w:spacing w:before="280"/>
      <w:ind w:firstLine="720"/>
      <w:jc w:val="both"/>
    </w:pPr>
  </w:style>
  <w:style w:type="paragraph" w:customStyle="1" w:styleId="hangingindent">
    <w:name w:val="hanging indent"/>
    <w:basedOn w:val="Normal"/>
    <w:qFormat/>
    <w:rsid w:val="00303334"/>
    <w:pPr>
      <w:spacing w:before="280"/>
      <w:ind w:left="720" w:hanging="720"/>
      <w:jc w:val="both"/>
    </w:pPr>
  </w:style>
  <w:style w:type="paragraph" w:styleId="Header">
    <w:name w:val="header"/>
    <w:basedOn w:val="Normal"/>
    <w:link w:val="HeaderChar"/>
    <w:uiPriority w:val="99"/>
    <w:rsid w:val="00303334"/>
    <w:pPr>
      <w:tabs>
        <w:tab w:val="center" w:pos="4680"/>
        <w:tab w:val="right" w:pos="9360"/>
      </w:tabs>
    </w:pPr>
  </w:style>
  <w:style w:type="character" w:customStyle="1" w:styleId="HeaderChar">
    <w:name w:val="Header Char"/>
    <w:basedOn w:val="DefaultParagraphFont"/>
    <w:link w:val="Header"/>
    <w:uiPriority w:val="99"/>
    <w:rsid w:val="00303334"/>
    <w:rPr>
      <w:rFonts w:ascii="Times" w:hAnsi="Times" w:cs="Times New Roman"/>
      <w:szCs w:val="20"/>
    </w:rPr>
  </w:style>
  <w:style w:type="character" w:customStyle="1" w:styleId="Heading1Char">
    <w:name w:val="Heading 1 Char"/>
    <w:basedOn w:val="DefaultParagraphFont"/>
    <w:link w:val="Heading1"/>
    <w:rsid w:val="00BC5BD4"/>
    <w:rPr>
      <w:rFonts w:ascii="Times" w:hAnsi="Times"/>
      <w:smallCaps/>
    </w:rPr>
  </w:style>
  <w:style w:type="character" w:customStyle="1" w:styleId="Heading2Char">
    <w:name w:val="Heading 2 Char"/>
    <w:basedOn w:val="DefaultParagraphFont"/>
    <w:link w:val="Heading2"/>
    <w:rsid w:val="00BC5BD4"/>
    <w:rPr>
      <w:rFonts w:ascii="Times New Roman" w:hAnsi="Times New Roman" w:cs="Times New Roman"/>
      <w:i/>
      <w:szCs w:val="20"/>
    </w:rPr>
  </w:style>
  <w:style w:type="character" w:customStyle="1" w:styleId="Heading3Char">
    <w:name w:val="Heading 3 Char"/>
    <w:basedOn w:val="DefaultParagraphFont"/>
    <w:link w:val="Heading3"/>
    <w:rsid w:val="00303334"/>
    <w:rPr>
      <w:rFonts w:ascii="Times New Roman" w:hAnsi="Times New Roman"/>
    </w:rPr>
  </w:style>
  <w:style w:type="character" w:customStyle="1" w:styleId="Heading4Char">
    <w:name w:val="Heading 4 Char"/>
    <w:basedOn w:val="DefaultParagraphFont"/>
    <w:link w:val="Heading4"/>
    <w:rsid w:val="00303334"/>
    <w:rPr>
      <w:rFonts w:ascii="Times New Roman" w:hAnsi="Times New Roman"/>
    </w:rPr>
  </w:style>
  <w:style w:type="character" w:customStyle="1" w:styleId="Heading5Char">
    <w:name w:val="Heading 5 Char"/>
    <w:basedOn w:val="DefaultParagraphFont"/>
    <w:link w:val="Heading5"/>
    <w:rsid w:val="009F3A0C"/>
    <w:rPr>
      <w:rFonts w:ascii="Times New Roman" w:hAnsi="Times New Roman" w:cs="Times New Roman"/>
      <w:b/>
      <w:szCs w:val="20"/>
    </w:rPr>
  </w:style>
  <w:style w:type="character" w:customStyle="1" w:styleId="Heading6Char">
    <w:name w:val="Heading 6 Char"/>
    <w:basedOn w:val="DefaultParagraphFont"/>
    <w:link w:val="Heading6"/>
    <w:rsid w:val="009F3A0C"/>
    <w:rPr>
      <w:rFonts w:ascii="Times New Roman" w:hAnsi="Times New Roman" w:cs="Times New Roman"/>
      <w:szCs w:val="20"/>
    </w:rPr>
  </w:style>
  <w:style w:type="character" w:customStyle="1" w:styleId="Heading7Char">
    <w:name w:val="Heading 7 Char"/>
    <w:basedOn w:val="DefaultParagraphFont"/>
    <w:link w:val="Heading7"/>
    <w:rsid w:val="009F3A0C"/>
    <w:rPr>
      <w:rFonts w:ascii="Times New Roman" w:hAnsi="Times New Roman" w:cs="Times New Roman"/>
      <w:i/>
      <w:szCs w:val="20"/>
    </w:rPr>
  </w:style>
  <w:style w:type="character" w:customStyle="1" w:styleId="Heading8Char">
    <w:name w:val="Heading 8 Char"/>
    <w:basedOn w:val="DefaultParagraphFont"/>
    <w:link w:val="Heading8"/>
    <w:rsid w:val="009F3A0C"/>
    <w:rPr>
      <w:rFonts w:ascii="Times New Roman" w:hAnsi="Times New Roman" w:cs="Times New Roman"/>
      <w:i/>
      <w:szCs w:val="20"/>
    </w:rPr>
  </w:style>
  <w:style w:type="character" w:customStyle="1" w:styleId="Heading9Char">
    <w:name w:val="Heading 9 Char"/>
    <w:basedOn w:val="DefaultParagraphFont"/>
    <w:link w:val="Heading9"/>
    <w:rsid w:val="00D91576"/>
    <w:rPr>
      <w:rFonts w:ascii="Times New Roman" w:hAnsi="Times New Roman"/>
      <w:b/>
      <w:smallCaps/>
    </w:rPr>
  </w:style>
  <w:style w:type="paragraph" w:styleId="Index1">
    <w:name w:val="index 1"/>
    <w:basedOn w:val="Normal"/>
    <w:next w:val="Normal"/>
    <w:rsid w:val="009F3A0C"/>
    <w:pPr>
      <w:ind w:left="240" w:hanging="240"/>
    </w:pPr>
  </w:style>
  <w:style w:type="paragraph" w:styleId="IndexHeading">
    <w:name w:val="index heading"/>
    <w:basedOn w:val="Normal"/>
    <w:next w:val="Index1"/>
    <w:rsid w:val="009F3A0C"/>
    <w:rPr>
      <w:b/>
    </w:rPr>
  </w:style>
  <w:style w:type="character" w:styleId="LineNumber">
    <w:name w:val="line number"/>
    <w:basedOn w:val="DefaultParagraphFont"/>
    <w:rsid w:val="009F3A0C"/>
    <w:rPr>
      <w:rFonts w:ascii="Times" w:hAnsi="Times"/>
      <w:sz w:val="24"/>
    </w:rPr>
  </w:style>
  <w:style w:type="paragraph" w:customStyle="1" w:styleId="NormalCenterBold">
    <w:name w:val="NormalCenterBold"/>
    <w:basedOn w:val="TitleCenterBold"/>
    <w:next w:val="Normal"/>
    <w:qFormat/>
    <w:rsid w:val="006952BF"/>
    <w:pPr>
      <w:spacing w:before="0"/>
    </w:pPr>
  </w:style>
  <w:style w:type="character" w:styleId="PageNumber">
    <w:name w:val="page number"/>
    <w:basedOn w:val="DefaultParagraphFont"/>
    <w:rsid w:val="009F3A0C"/>
    <w:rPr>
      <w:rFonts w:ascii="Times" w:hAnsi="Times"/>
      <w:sz w:val="24"/>
    </w:rPr>
  </w:style>
  <w:style w:type="paragraph" w:customStyle="1" w:styleId="ParaFLUSH">
    <w:name w:val="ParaFLUSH"/>
    <w:basedOn w:val="Normal"/>
    <w:qFormat/>
    <w:rsid w:val="00A95695"/>
    <w:pPr>
      <w:spacing w:before="280"/>
      <w:jc w:val="both"/>
    </w:pPr>
  </w:style>
  <w:style w:type="paragraph" w:customStyle="1" w:styleId="ParaNUMBERED">
    <w:name w:val="ParaNUMBERED"/>
    <w:basedOn w:val="Normal"/>
    <w:qFormat/>
    <w:rsid w:val="001C1D96"/>
    <w:pPr>
      <w:tabs>
        <w:tab w:val="right" w:pos="936"/>
        <w:tab w:val="left" w:pos="1238"/>
      </w:tabs>
      <w:spacing w:before="280"/>
      <w:jc w:val="both"/>
    </w:pPr>
  </w:style>
  <w:style w:type="paragraph" w:customStyle="1" w:styleId="ParaSECTION">
    <w:name w:val="ParaSECTION"/>
    <w:basedOn w:val="Normal"/>
    <w:qFormat/>
    <w:rsid w:val="00A95695"/>
    <w:pPr>
      <w:tabs>
        <w:tab w:val="right" w:pos="1699"/>
        <w:tab w:val="left" w:pos="2016"/>
      </w:tabs>
      <w:spacing w:before="280"/>
      <w:jc w:val="both"/>
    </w:pPr>
  </w:style>
  <w:style w:type="paragraph" w:customStyle="1" w:styleId="QuotedText">
    <w:name w:val="QuotedText"/>
    <w:basedOn w:val="Normal"/>
    <w:rsid w:val="00303334"/>
    <w:pPr>
      <w:spacing w:before="280"/>
      <w:ind w:left="1440" w:right="1440"/>
      <w:jc w:val="both"/>
    </w:pPr>
  </w:style>
  <w:style w:type="paragraph" w:customStyle="1" w:styleId="re">
    <w:name w:val="re"/>
    <w:basedOn w:val="Normal"/>
    <w:next w:val="Normal"/>
    <w:qFormat/>
    <w:rsid w:val="00617E02"/>
    <w:pPr>
      <w:tabs>
        <w:tab w:val="center" w:pos="4680"/>
      </w:tabs>
      <w:spacing w:before="400"/>
      <w:ind w:left="720" w:right="720"/>
    </w:pPr>
  </w:style>
  <w:style w:type="paragraph" w:customStyle="1" w:styleId="re1">
    <w:name w:val="re1"/>
    <w:basedOn w:val="Normal"/>
    <w:rsid w:val="009F3A0C"/>
    <w:pPr>
      <w:tabs>
        <w:tab w:val="center" w:pos="4680"/>
      </w:tabs>
      <w:ind w:left="720" w:right="720"/>
      <w:jc w:val="center"/>
    </w:pPr>
  </w:style>
  <w:style w:type="paragraph" w:customStyle="1" w:styleId="relineborder">
    <w:name w:val="reline border"/>
    <w:basedOn w:val="Normal"/>
    <w:qFormat/>
    <w:rsid w:val="00A95695"/>
    <w:pPr>
      <w:pBdr>
        <w:top w:val="single" w:sz="2" w:space="1" w:color="000000"/>
      </w:pBdr>
      <w:ind w:left="1800" w:right="1440"/>
    </w:pPr>
  </w:style>
  <w:style w:type="paragraph" w:customStyle="1" w:styleId="Signature1">
    <w:name w:val="Signature1"/>
    <w:basedOn w:val="Normal"/>
    <w:qFormat/>
    <w:rsid w:val="00A95695"/>
    <w:pPr>
      <w:keepNext/>
      <w:tabs>
        <w:tab w:val="decimal" w:leader="underscore" w:pos="9360"/>
      </w:tabs>
      <w:spacing w:line="280" w:lineRule="atLeast"/>
      <w:ind w:left="5040" w:hanging="360"/>
    </w:pPr>
  </w:style>
  <w:style w:type="paragraph" w:customStyle="1" w:styleId="Signature2">
    <w:name w:val="Signature2"/>
    <w:basedOn w:val="Signature1"/>
    <w:qFormat/>
    <w:rsid w:val="00A95695"/>
    <w:pPr>
      <w:tabs>
        <w:tab w:val="left" w:pos="4680"/>
      </w:tabs>
      <w:ind w:hanging="5040"/>
    </w:pPr>
  </w:style>
  <w:style w:type="character" w:customStyle="1" w:styleId="Style1">
    <w:name w:val="Style1"/>
    <w:basedOn w:val="DefaultParagraphFont"/>
    <w:rsid w:val="009F3A0C"/>
  </w:style>
  <w:style w:type="paragraph" w:customStyle="1" w:styleId="SubParaLevel1">
    <w:name w:val="SubParaLevel1"/>
    <w:basedOn w:val="Normal"/>
    <w:qFormat/>
    <w:rsid w:val="00A95695"/>
    <w:pPr>
      <w:tabs>
        <w:tab w:val="right" w:pos="1800"/>
        <w:tab w:val="left" w:pos="2160"/>
      </w:tabs>
      <w:spacing w:before="280"/>
      <w:ind w:left="720"/>
      <w:jc w:val="both"/>
    </w:pPr>
  </w:style>
  <w:style w:type="paragraph" w:customStyle="1" w:styleId="SubParaLevel0">
    <w:name w:val="SubParaLevel0"/>
    <w:basedOn w:val="SubParaLevel1"/>
    <w:qFormat/>
    <w:rsid w:val="00A95695"/>
    <w:pPr>
      <w:ind w:firstLine="720"/>
    </w:pPr>
  </w:style>
  <w:style w:type="paragraph" w:customStyle="1" w:styleId="SubParaLevel2">
    <w:name w:val="SubParaLevel2"/>
    <w:basedOn w:val="SubParaLevel1"/>
    <w:qFormat/>
    <w:rsid w:val="00A95695"/>
    <w:pPr>
      <w:tabs>
        <w:tab w:val="clear" w:pos="1800"/>
        <w:tab w:val="clear" w:pos="2160"/>
        <w:tab w:val="right" w:pos="2520"/>
        <w:tab w:val="left" w:pos="2880"/>
      </w:tabs>
      <w:ind w:left="1440"/>
    </w:pPr>
  </w:style>
  <w:style w:type="paragraph" w:customStyle="1" w:styleId="SubParaLevel3">
    <w:name w:val="SubParaLevel3"/>
    <w:basedOn w:val="SubParaLevel1"/>
    <w:qFormat/>
    <w:rsid w:val="00A95695"/>
    <w:pPr>
      <w:tabs>
        <w:tab w:val="clear" w:pos="1800"/>
        <w:tab w:val="clear" w:pos="2160"/>
        <w:tab w:val="right" w:pos="3240"/>
        <w:tab w:val="left" w:pos="3600"/>
      </w:tabs>
      <w:ind w:left="2160"/>
    </w:pPr>
  </w:style>
  <w:style w:type="paragraph" w:customStyle="1" w:styleId="SubParaLevel4">
    <w:name w:val="SubParaLevel4"/>
    <w:basedOn w:val="SubParaLevel1"/>
    <w:qFormat/>
    <w:rsid w:val="00A95695"/>
    <w:pPr>
      <w:tabs>
        <w:tab w:val="clear" w:pos="1800"/>
        <w:tab w:val="clear" w:pos="2160"/>
        <w:tab w:val="right" w:pos="3960"/>
        <w:tab w:val="left" w:pos="4320"/>
      </w:tabs>
      <w:ind w:left="2880"/>
    </w:pPr>
  </w:style>
  <w:style w:type="paragraph" w:styleId="Subtitle">
    <w:name w:val="Subtitle"/>
    <w:basedOn w:val="Normal"/>
    <w:link w:val="SubtitleChar"/>
    <w:qFormat/>
    <w:rsid w:val="009F3A0C"/>
    <w:pPr>
      <w:spacing w:after="60"/>
      <w:jc w:val="center"/>
      <w:outlineLvl w:val="1"/>
    </w:pPr>
  </w:style>
  <w:style w:type="character" w:customStyle="1" w:styleId="SubtitleChar">
    <w:name w:val="Subtitle Char"/>
    <w:basedOn w:val="DefaultParagraphFont"/>
    <w:link w:val="Subtitle"/>
    <w:rsid w:val="009F3A0C"/>
    <w:rPr>
      <w:rFonts w:ascii="Times" w:eastAsia="Times New Roman" w:hAnsi="Times" w:cs="Times New Roman"/>
      <w:szCs w:val="20"/>
    </w:rPr>
  </w:style>
  <w:style w:type="paragraph" w:styleId="Title">
    <w:name w:val="Title"/>
    <w:basedOn w:val="Normal"/>
    <w:link w:val="TitleChar"/>
    <w:qFormat/>
    <w:rsid w:val="009F3A0C"/>
    <w:pPr>
      <w:spacing w:after="280"/>
      <w:jc w:val="center"/>
      <w:outlineLvl w:val="0"/>
    </w:pPr>
  </w:style>
  <w:style w:type="character" w:customStyle="1" w:styleId="TitleChar">
    <w:name w:val="Title Char"/>
    <w:basedOn w:val="DefaultParagraphFont"/>
    <w:link w:val="Title"/>
    <w:rsid w:val="009F3A0C"/>
    <w:rPr>
      <w:rFonts w:ascii="Times" w:eastAsia="Times New Roman" w:hAnsi="Times" w:cs="Times New Roman"/>
      <w:szCs w:val="20"/>
    </w:rPr>
  </w:style>
  <w:style w:type="paragraph" w:customStyle="1" w:styleId="TitleLeft">
    <w:name w:val="TitleLeft"/>
    <w:basedOn w:val="TitleCenterBold"/>
    <w:next w:val="Normal"/>
    <w:qFormat/>
    <w:rsid w:val="00A95695"/>
    <w:pPr>
      <w:tabs>
        <w:tab w:val="left" w:pos="1699"/>
      </w:tabs>
      <w:spacing w:before="320"/>
      <w:ind w:left="1699" w:hanging="1699"/>
      <w:jc w:val="left"/>
    </w:pPr>
    <w:rPr>
      <w:b w:val="0"/>
    </w:rPr>
  </w:style>
  <w:style w:type="paragraph" w:styleId="TOAHeading">
    <w:name w:val="toa heading"/>
    <w:basedOn w:val="Normal"/>
    <w:next w:val="Normal"/>
    <w:rsid w:val="009F3A0C"/>
    <w:pPr>
      <w:spacing w:before="120"/>
    </w:pPr>
    <w:rPr>
      <w:b/>
    </w:rPr>
  </w:style>
  <w:style w:type="paragraph" w:styleId="TOC1">
    <w:name w:val="toc 1"/>
    <w:basedOn w:val="Normal"/>
    <w:next w:val="Normal"/>
    <w:qFormat/>
    <w:rsid w:val="005927CA"/>
    <w:pPr>
      <w:tabs>
        <w:tab w:val="left" w:pos="2160"/>
        <w:tab w:val="right" w:leader="dot" w:pos="9360"/>
      </w:tabs>
      <w:spacing w:before="280" w:after="120"/>
      <w:ind w:left="2160" w:hanging="2160"/>
    </w:pPr>
    <w:rPr>
      <w:smallCaps/>
    </w:rPr>
  </w:style>
  <w:style w:type="paragraph" w:styleId="TOC2">
    <w:name w:val="toc 2"/>
    <w:basedOn w:val="TOC1"/>
    <w:next w:val="Normal"/>
    <w:qFormat/>
    <w:rsid w:val="00303334"/>
    <w:pPr>
      <w:tabs>
        <w:tab w:val="clear" w:pos="2160"/>
        <w:tab w:val="left" w:pos="2520"/>
      </w:tabs>
      <w:spacing w:before="0" w:after="0"/>
      <w:ind w:left="2520" w:hanging="1980"/>
    </w:pPr>
    <w:rPr>
      <w:smallCaps w:val="0"/>
    </w:rPr>
  </w:style>
  <w:style w:type="paragraph" w:styleId="TOC3">
    <w:name w:val="toc 3"/>
    <w:basedOn w:val="TOC1"/>
    <w:next w:val="Normal"/>
    <w:qFormat/>
    <w:rsid w:val="00303334"/>
    <w:pPr>
      <w:tabs>
        <w:tab w:val="clear" w:pos="2160"/>
        <w:tab w:val="left" w:pos="2520"/>
      </w:tabs>
      <w:spacing w:before="0" w:after="0"/>
      <w:ind w:left="2520" w:hanging="1080"/>
    </w:pPr>
    <w:rPr>
      <w:smallCaps w:val="0"/>
    </w:rPr>
  </w:style>
  <w:style w:type="paragraph" w:styleId="TOC4">
    <w:name w:val="toc 4"/>
    <w:basedOn w:val="TOC1"/>
    <w:next w:val="Normal"/>
    <w:rsid w:val="00303334"/>
    <w:pPr>
      <w:tabs>
        <w:tab w:val="clear" w:pos="2160"/>
      </w:tabs>
      <w:spacing w:after="0"/>
      <w:ind w:left="0" w:firstLine="0"/>
    </w:pPr>
    <w:rPr>
      <w:smallCaps w:val="0"/>
    </w:rPr>
  </w:style>
  <w:style w:type="paragraph" w:styleId="TOC5">
    <w:name w:val="toc 5"/>
    <w:basedOn w:val="TOC1"/>
    <w:next w:val="Normal"/>
    <w:rsid w:val="00303334"/>
    <w:pPr>
      <w:tabs>
        <w:tab w:val="left" w:pos="1440"/>
      </w:tabs>
      <w:spacing w:before="0" w:after="0"/>
    </w:pPr>
    <w:rPr>
      <w:smallCaps w:val="0"/>
    </w:rPr>
  </w:style>
  <w:style w:type="paragraph" w:styleId="TOC6">
    <w:name w:val="toc 6"/>
    <w:basedOn w:val="TOC1"/>
    <w:next w:val="Normal"/>
    <w:rsid w:val="00303334"/>
    <w:pPr>
      <w:tabs>
        <w:tab w:val="clear" w:pos="2160"/>
      </w:tabs>
      <w:spacing w:before="0" w:after="0"/>
      <w:ind w:left="0" w:firstLine="0"/>
    </w:pPr>
    <w:rPr>
      <w:smallCaps w:val="0"/>
    </w:rPr>
  </w:style>
  <w:style w:type="paragraph" w:styleId="TOC7">
    <w:name w:val="toc 7"/>
    <w:basedOn w:val="TOC1"/>
    <w:next w:val="Normal"/>
    <w:rsid w:val="00303334"/>
    <w:pPr>
      <w:tabs>
        <w:tab w:val="clear" w:pos="2160"/>
      </w:tabs>
      <w:spacing w:before="0" w:after="0"/>
      <w:ind w:left="0" w:firstLine="0"/>
    </w:pPr>
    <w:rPr>
      <w:smallCaps w:val="0"/>
    </w:rPr>
  </w:style>
  <w:style w:type="paragraph" w:styleId="TOC8">
    <w:name w:val="toc 8"/>
    <w:basedOn w:val="TOC1"/>
    <w:next w:val="Normal"/>
    <w:rsid w:val="00303334"/>
    <w:pPr>
      <w:tabs>
        <w:tab w:val="clear" w:pos="2160"/>
      </w:tabs>
      <w:spacing w:before="0" w:after="0"/>
      <w:ind w:left="0" w:firstLine="0"/>
    </w:pPr>
    <w:rPr>
      <w:smallCaps w:val="0"/>
    </w:rPr>
  </w:style>
  <w:style w:type="paragraph" w:styleId="TOC9">
    <w:name w:val="toc 9"/>
    <w:basedOn w:val="TOC1"/>
    <w:next w:val="Normal"/>
    <w:uiPriority w:val="39"/>
    <w:rsid w:val="00BC5BD4"/>
    <w:pPr>
      <w:tabs>
        <w:tab w:val="clear" w:pos="2160"/>
      </w:tabs>
      <w:spacing w:before="0" w:after="0"/>
      <w:ind w:left="0" w:firstLine="0"/>
    </w:pPr>
    <w:rPr>
      <w:noProof/>
    </w:rPr>
  </w:style>
  <w:style w:type="paragraph" w:styleId="BodyText3">
    <w:name w:val="Body Text 3"/>
    <w:basedOn w:val="Normal"/>
    <w:link w:val="BodyText3Char"/>
    <w:semiHidden/>
    <w:unhideWhenUsed/>
    <w:rsid w:val="007612BB"/>
    <w:pPr>
      <w:spacing w:after="120"/>
    </w:pPr>
    <w:rPr>
      <w:sz w:val="16"/>
      <w:szCs w:val="16"/>
    </w:rPr>
  </w:style>
  <w:style w:type="character" w:customStyle="1" w:styleId="BodyText3Char">
    <w:name w:val="Body Text 3 Char"/>
    <w:basedOn w:val="DefaultParagraphFont"/>
    <w:link w:val="BodyText3"/>
    <w:semiHidden/>
    <w:rsid w:val="007612BB"/>
    <w:rPr>
      <w:rFonts w:ascii="Times" w:hAnsi="Times" w:cs="Times New Roman"/>
      <w:sz w:val="16"/>
      <w:szCs w:val="16"/>
    </w:rPr>
  </w:style>
  <w:style w:type="paragraph" w:styleId="BodyText">
    <w:name w:val="Body Text"/>
    <w:basedOn w:val="Normal"/>
    <w:link w:val="BodyTextChar"/>
    <w:rsid w:val="003E332C"/>
    <w:pPr>
      <w:spacing w:after="240"/>
      <w:ind w:firstLine="720"/>
      <w:jc w:val="both"/>
    </w:pPr>
  </w:style>
  <w:style w:type="character" w:customStyle="1" w:styleId="BodyTextChar">
    <w:name w:val="Body Text Char"/>
    <w:basedOn w:val="DefaultParagraphFont"/>
    <w:link w:val="BodyText"/>
    <w:rsid w:val="003E332C"/>
    <w:rPr>
      <w:rFonts w:ascii="Times New Roman" w:hAnsi="Times New Roman" w:cs="Times New Roman"/>
      <w:szCs w:val="20"/>
    </w:rPr>
  </w:style>
  <w:style w:type="paragraph" w:customStyle="1" w:styleId="MacPacTrailer">
    <w:name w:val="MacPac Trailer"/>
    <w:rsid w:val="003E332C"/>
    <w:pPr>
      <w:widowControl w:val="0"/>
      <w:spacing w:line="160" w:lineRule="exact"/>
    </w:pPr>
    <w:rPr>
      <w:rFonts w:ascii="Times New Roman" w:hAnsi="Times New Roman" w:cs="Times New Roman"/>
      <w:sz w:val="14"/>
      <w:szCs w:val="22"/>
    </w:rPr>
  </w:style>
  <w:style w:type="paragraph" w:customStyle="1" w:styleId="footnotedescription">
    <w:name w:val="footnote description"/>
    <w:next w:val="Normal"/>
    <w:link w:val="footnotedescriptionChar"/>
    <w:hidden/>
    <w:rsid w:val="003E332C"/>
    <w:pPr>
      <w:spacing w:after="103" w:line="259" w:lineRule="auto"/>
      <w:ind w:left="480"/>
    </w:pPr>
    <w:rPr>
      <w:rFonts w:ascii="Times New Roman" w:hAnsi="Times New Roman" w:cs="Times New Roman"/>
      <w:color w:val="000000"/>
      <w:sz w:val="20"/>
      <w:szCs w:val="22"/>
    </w:rPr>
  </w:style>
  <w:style w:type="character" w:customStyle="1" w:styleId="footnotedescriptionChar">
    <w:name w:val="footnote description Char"/>
    <w:link w:val="footnotedescription"/>
    <w:rsid w:val="003E332C"/>
    <w:rPr>
      <w:rFonts w:ascii="Times New Roman" w:hAnsi="Times New Roman" w:cs="Times New Roman"/>
      <w:color w:val="000000"/>
      <w:sz w:val="20"/>
      <w:szCs w:val="22"/>
    </w:rPr>
  </w:style>
  <w:style w:type="character" w:customStyle="1" w:styleId="footnotemark">
    <w:name w:val="footnote mark"/>
    <w:hidden/>
    <w:rsid w:val="003E332C"/>
    <w:rPr>
      <w:rFonts w:ascii="Times New Roman" w:eastAsia="Times New Roman" w:hAnsi="Times New Roman" w:cs="Times New Roman"/>
      <w:color w:val="000000"/>
      <w:sz w:val="20"/>
      <w:vertAlign w:val="superscript"/>
    </w:rPr>
  </w:style>
  <w:style w:type="paragraph" w:customStyle="1" w:styleId="BodyFL5">
    <w:name w:val="Body FL .5"/>
    <w:basedOn w:val="Normal"/>
    <w:uiPriority w:val="4"/>
    <w:qFormat/>
    <w:rsid w:val="003E332C"/>
    <w:pPr>
      <w:spacing w:after="240"/>
      <w:ind w:left="2160" w:hanging="720"/>
      <w:jc w:val="both"/>
    </w:pPr>
    <w:rPr>
      <w:rFonts w:ascii="Arial" w:eastAsia="Calibri" w:hAnsi="Arial"/>
      <w:sz w:val="22"/>
      <w:szCs w:val="22"/>
    </w:rPr>
  </w:style>
  <w:style w:type="paragraph" w:customStyle="1" w:styleId="ParagraphL1">
    <w:name w:val="Paragraph_L1"/>
    <w:basedOn w:val="Normal"/>
    <w:rsid w:val="003E332C"/>
    <w:pPr>
      <w:numPr>
        <w:numId w:val="3"/>
      </w:numPr>
      <w:spacing w:after="240"/>
      <w:jc w:val="both"/>
      <w:outlineLvl w:val="0"/>
    </w:pPr>
    <w:rPr>
      <w:rFonts w:ascii="Arial" w:hAnsi="Arial" w:cs="Arial"/>
      <w:sz w:val="22"/>
      <w:u w:val="single"/>
    </w:rPr>
  </w:style>
  <w:style w:type="paragraph" w:customStyle="1" w:styleId="ParagraphL2">
    <w:name w:val="Paragraph_L2"/>
    <w:basedOn w:val="ParagraphL1"/>
    <w:rsid w:val="003E332C"/>
    <w:pPr>
      <w:numPr>
        <w:ilvl w:val="1"/>
      </w:numPr>
      <w:outlineLvl w:val="1"/>
    </w:pPr>
  </w:style>
  <w:style w:type="paragraph" w:customStyle="1" w:styleId="ParagraphL3">
    <w:name w:val="Paragraph_L3"/>
    <w:basedOn w:val="ParagraphL2"/>
    <w:link w:val="ParagraphL3Char"/>
    <w:rsid w:val="003E332C"/>
    <w:pPr>
      <w:numPr>
        <w:ilvl w:val="2"/>
      </w:numPr>
      <w:outlineLvl w:val="2"/>
    </w:pPr>
    <w:rPr>
      <w:u w:val="none"/>
    </w:rPr>
  </w:style>
  <w:style w:type="paragraph" w:customStyle="1" w:styleId="ParagraphL4">
    <w:name w:val="Paragraph_L4"/>
    <w:basedOn w:val="ParagraphL3"/>
    <w:rsid w:val="003E332C"/>
    <w:pPr>
      <w:numPr>
        <w:ilvl w:val="3"/>
      </w:numPr>
      <w:tabs>
        <w:tab w:val="clear" w:pos="2160"/>
      </w:tabs>
      <w:ind w:left="0" w:firstLine="0"/>
      <w:outlineLvl w:val="3"/>
    </w:pPr>
  </w:style>
  <w:style w:type="paragraph" w:customStyle="1" w:styleId="ParagraphL5">
    <w:name w:val="Paragraph_L5"/>
    <w:basedOn w:val="ParagraphL4"/>
    <w:rsid w:val="003E332C"/>
    <w:pPr>
      <w:numPr>
        <w:ilvl w:val="4"/>
      </w:numPr>
      <w:tabs>
        <w:tab w:val="clear" w:pos="1440"/>
        <w:tab w:val="num" w:pos="360"/>
      </w:tabs>
      <w:ind w:left="360" w:hanging="360"/>
      <w:outlineLvl w:val="4"/>
    </w:pPr>
  </w:style>
  <w:style w:type="paragraph" w:customStyle="1" w:styleId="ParagraphL6">
    <w:name w:val="Paragraph_L6"/>
    <w:basedOn w:val="ParagraphL5"/>
    <w:rsid w:val="003E332C"/>
    <w:pPr>
      <w:numPr>
        <w:ilvl w:val="5"/>
      </w:numPr>
      <w:tabs>
        <w:tab w:val="clear" w:pos="2880"/>
        <w:tab w:val="num" w:pos="360"/>
        <w:tab w:val="num" w:pos="1440"/>
      </w:tabs>
      <w:ind w:left="360" w:hanging="360"/>
      <w:outlineLvl w:val="5"/>
    </w:pPr>
  </w:style>
  <w:style w:type="paragraph" w:customStyle="1" w:styleId="ParagraphL7">
    <w:name w:val="Paragraph_L7"/>
    <w:basedOn w:val="ParagraphL6"/>
    <w:rsid w:val="003E332C"/>
    <w:pPr>
      <w:numPr>
        <w:ilvl w:val="6"/>
      </w:numPr>
      <w:tabs>
        <w:tab w:val="clear" w:pos="5040"/>
        <w:tab w:val="num" w:pos="360"/>
        <w:tab w:val="num" w:pos="1440"/>
      </w:tabs>
      <w:ind w:left="360" w:hanging="360"/>
      <w:jc w:val="left"/>
      <w:outlineLvl w:val="6"/>
    </w:pPr>
    <w:rPr>
      <w:rFonts w:ascii="Calibri" w:hAnsi="Calibri"/>
    </w:rPr>
  </w:style>
  <w:style w:type="paragraph" w:customStyle="1" w:styleId="ParagraphL8">
    <w:name w:val="Paragraph_L8"/>
    <w:basedOn w:val="ParagraphL7"/>
    <w:rsid w:val="003E332C"/>
    <w:pPr>
      <w:numPr>
        <w:ilvl w:val="7"/>
      </w:numPr>
      <w:tabs>
        <w:tab w:val="clear" w:pos="5760"/>
        <w:tab w:val="num" w:pos="360"/>
        <w:tab w:val="num" w:pos="1440"/>
      </w:tabs>
      <w:ind w:left="360" w:hanging="360"/>
      <w:outlineLvl w:val="7"/>
    </w:pPr>
  </w:style>
  <w:style w:type="paragraph" w:customStyle="1" w:styleId="ParagraphL9">
    <w:name w:val="Paragraph_L9"/>
    <w:basedOn w:val="ParagraphL8"/>
    <w:next w:val="BodyText"/>
    <w:rsid w:val="003E332C"/>
    <w:pPr>
      <w:numPr>
        <w:ilvl w:val="8"/>
      </w:numPr>
      <w:tabs>
        <w:tab w:val="num" w:pos="360"/>
        <w:tab w:val="num" w:pos="1440"/>
      </w:tabs>
      <w:ind w:left="360" w:hanging="360"/>
      <w:jc w:val="center"/>
      <w:outlineLvl w:val="8"/>
    </w:pPr>
    <w:rPr>
      <w:b/>
      <w:caps/>
    </w:rPr>
  </w:style>
  <w:style w:type="character" w:customStyle="1" w:styleId="ParagraphL3Char">
    <w:name w:val="Paragraph_L3 Char"/>
    <w:link w:val="ParagraphL3"/>
    <w:rsid w:val="003E332C"/>
    <w:rPr>
      <w:rFonts w:ascii="Arial" w:hAnsi="Arial" w:cs="Arial"/>
      <w:sz w:val="22"/>
      <w:szCs w:val="20"/>
    </w:rPr>
  </w:style>
  <w:style w:type="paragraph" w:customStyle="1" w:styleId="Indent5">
    <w:name w:val="Indent .5"/>
    <w:basedOn w:val="Normal"/>
    <w:rsid w:val="003E332C"/>
    <w:pPr>
      <w:spacing w:after="240"/>
      <w:ind w:left="720"/>
      <w:jc w:val="both"/>
    </w:pPr>
    <w:rPr>
      <w:rFonts w:ascii="Arial" w:eastAsia="Calibri" w:hAnsi="Arial"/>
      <w:sz w:val="22"/>
      <w:szCs w:val="22"/>
    </w:rPr>
  </w:style>
  <w:style w:type="paragraph" w:customStyle="1" w:styleId="Indent10">
    <w:name w:val="Indent 1.0"/>
    <w:basedOn w:val="Indent5"/>
    <w:rsid w:val="003E332C"/>
    <w:pPr>
      <w:ind w:left="1440"/>
    </w:pPr>
  </w:style>
  <w:style w:type="paragraph" w:styleId="BalloonText">
    <w:name w:val="Balloon Text"/>
    <w:basedOn w:val="Normal"/>
    <w:link w:val="BalloonTextChar"/>
    <w:uiPriority w:val="99"/>
    <w:semiHidden/>
    <w:unhideWhenUsed/>
    <w:rsid w:val="00D64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00"/>
    <w:rPr>
      <w:rFonts w:ascii="Segoe UI" w:hAnsi="Segoe UI" w:cs="Segoe UI"/>
      <w:sz w:val="18"/>
      <w:szCs w:val="18"/>
    </w:rPr>
  </w:style>
  <w:style w:type="paragraph" w:styleId="ListParagraph">
    <w:name w:val="List Paragraph"/>
    <w:basedOn w:val="Normal"/>
    <w:uiPriority w:val="34"/>
    <w:qFormat/>
    <w:rsid w:val="00174CFA"/>
    <w:pPr>
      <w:spacing w:after="160" w:line="259" w:lineRule="auto"/>
      <w:ind w:left="720"/>
      <w:contextualSpacing/>
    </w:pPr>
    <w:rPr>
      <w:rFonts w:ascii="Calibri" w:eastAsia="Calibri" w:hAnsi="Calibri" w:cs="Calibri"/>
      <w:color w:val="000000"/>
      <w:sz w:val="22"/>
      <w:szCs w:val="22"/>
    </w:rPr>
  </w:style>
  <w:style w:type="character" w:customStyle="1" w:styleId="DocID">
    <w:name w:val="DocID"/>
    <w:basedOn w:val="DefaultParagraphFont"/>
    <w:rsid w:val="00AA12F8"/>
    <w:rPr>
      <w:rFonts w:ascii="Arial" w:hAnsi="Arial" w:cs="Arial"/>
      <w:b w:val="0"/>
      <w:i w:val="0"/>
      <w:caps w:val="0"/>
      <w:vanish w:val="0"/>
      <w:color w:val="000000"/>
      <w:sz w:val="14"/>
      <w:u w:val="none"/>
    </w:rPr>
  </w:style>
  <w:style w:type="paragraph" w:styleId="CommentSubject">
    <w:name w:val="annotation subject"/>
    <w:basedOn w:val="CommentText"/>
    <w:next w:val="CommentText"/>
    <w:link w:val="CommentSubjectChar"/>
    <w:uiPriority w:val="99"/>
    <w:semiHidden/>
    <w:unhideWhenUsed/>
    <w:rsid w:val="00CD5BE9"/>
    <w:rPr>
      <w:b/>
      <w:bCs/>
      <w:sz w:val="20"/>
    </w:rPr>
  </w:style>
  <w:style w:type="character" w:customStyle="1" w:styleId="CommentSubjectChar">
    <w:name w:val="Comment Subject Char"/>
    <w:basedOn w:val="CommentTextChar"/>
    <w:link w:val="CommentSubject"/>
    <w:uiPriority w:val="99"/>
    <w:semiHidden/>
    <w:rsid w:val="00CD5BE9"/>
    <w:rPr>
      <w:rFonts w:ascii="Times New Roman" w:eastAsia="Times New Roman" w:hAnsi="Times New Roman" w:cs="Times New Roman"/>
      <w:b/>
      <w:bCs/>
      <w:sz w:val="20"/>
      <w:szCs w:val="20"/>
    </w:rPr>
  </w:style>
  <w:style w:type="paragraph" w:customStyle="1" w:styleId="Centered">
    <w:name w:val="Centered"/>
    <w:basedOn w:val="Normal"/>
    <w:next w:val="BodyText"/>
    <w:rsid w:val="00C51F2B"/>
    <w:pPr>
      <w:spacing w:after="240" w:line="240" w:lineRule="exact"/>
      <w:jc w:val="center"/>
    </w:pPr>
  </w:style>
  <w:style w:type="paragraph" w:customStyle="1" w:styleId="PleadingSignature">
    <w:name w:val="Pleading Signature"/>
    <w:basedOn w:val="Normal"/>
    <w:rsid w:val="00C51F2B"/>
    <w:pPr>
      <w:keepNext/>
      <w:keepLines/>
      <w:widowControl w:val="0"/>
      <w:tabs>
        <w:tab w:val="left" w:pos="5040"/>
        <w:tab w:val="right" w:pos="9360"/>
      </w:tabs>
      <w:spacing w:line="240" w:lineRule="exact"/>
      <w:ind w:left="4680"/>
      <w:jc w:val="both"/>
    </w:pPr>
  </w:style>
  <w:style w:type="paragraph" w:customStyle="1" w:styleId="ArticleL1">
    <w:name w:val="Article_L1"/>
    <w:basedOn w:val="Normal"/>
    <w:next w:val="BodyText"/>
    <w:rsid w:val="00C51F2B"/>
    <w:pPr>
      <w:keepNext/>
      <w:keepLines/>
      <w:numPr>
        <w:numId w:val="5"/>
      </w:numPr>
      <w:spacing w:after="240"/>
      <w:jc w:val="center"/>
      <w:outlineLvl w:val="0"/>
    </w:pPr>
    <w:rPr>
      <w:b/>
      <w:caps/>
    </w:rPr>
  </w:style>
  <w:style w:type="paragraph" w:customStyle="1" w:styleId="ArticleL2">
    <w:name w:val="Article_L2"/>
    <w:basedOn w:val="ArticleL1"/>
    <w:next w:val="BodyText"/>
    <w:link w:val="ArticleL2Char"/>
    <w:rsid w:val="00C51F2B"/>
    <w:pPr>
      <w:keepNext w:val="0"/>
      <w:keepLines w:val="0"/>
      <w:numPr>
        <w:ilvl w:val="1"/>
      </w:numPr>
      <w:jc w:val="both"/>
      <w:outlineLvl w:val="1"/>
    </w:pPr>
    <w:rPr>
      <w:b w:val="0"/>
      <w:caps w:val="0"/>
    </w:rPr>
  </w:style>
  <w:style w:type="paragraph" w:customStyle="1" w:styleId="ArticleL3">
    <w:name w:val="Article_L3"/>
    <w:basedOn w:val="ArticleL2"/>
    <w:next w:val="BodyText"/>
    <w:rsid w:val="00C51F2B"/>
    <w:pPr>
      <w:numPr>
        <w:ilvl w:val="2"/>
      </w:numPr>
      <w:outlineLvl w:val="2"/>
    </w:pPr>
  </w:style>
  <w:style w:type="paragraph" w:customStyle="1" w:styleId="ArticleL4">
    <w:name w:val="Article_L4"/>
    <w:basedOn w:val="ArticleL3"/>
    <w:next w:val="BodyText"/>
    <w:rsid w:val="00C51F2B"/>
    <w:pPr>
      <w:numPr>
        <w:ilvl w:val="3"/>
      </w:numPr>
      <w:outlineLvl w:val="3"/>
    </w:pPr>
  </w:style>
  <w:style w:type="paragraph" w:customStyle="1" w:styleId="ArticleL5">
    <w:name w:val="Article_L5"/>
    <w:basedOn w:val="ArticleL4"/>
    <w:next w:val="BodyText"/>
    <w:rsid w:val="00C51F2B"/>
    <w:pPr>
      <w:numPr>
        <w:ilvl w:val="4"/>
      </w:numPr>
      <w:outlineLvl w:val="4"/>
    </w:pPr>
  </w:style>
  <w:style w:type="paragraph" w:customStyle="1" w:styleId="ArticleL6">
    <w:name w:val="Article_L6"/>
    <w:basedOn w:val="ArticleL5"/>
    <w:next w:val="BodyText"/>
    <w:rsid w:val="00C51F2B"/>
    <w:pPr>
      <w:numPr>
        <w:ilvl w:val="5"/>
      </w:numPr>
      <w:outlineLvl w:val="5"/>
    </w:pPr>
  </w:style>
  <w:style w:type="character" w:customStyle="1" w:styleId="ArticleL2Char">
    <w:name w:val="Article_L2 Char"/>
    <w:link w:val="ArticleL2"/>
    <w:rsid w:val="00CF061B"/>
    <w:rPr>
      <w:rFonts w:ascii="Times New Roman" w:hAnsi="Times New Roman" w:cs="Times New Roman"/>
      <w:szCs w:val="20"/>
    </w:rPr>
  </w:style>
  <w:style w:type="paragraph" w:customStyle="1" w:styleId="Address">
    <w:name w:val="Address"/>
    <w:basedOn w:val="Normal"/>
    <w:rsid w:val="002E030F"/>
    <w:pPr>
      <w:jc w:val="both"/>
    </w:pPr>
  </w:style>
  <w:style w:type="table" w:styleId="TableGrid">
    <w:name w:val="Table Grid"/>
    <w:basedOn w:val="TableNormal"/>
    <w:uiPriority w:val="59"/>
    <w:rsid w:val="00B72D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GBullets">
    <w:name w:val="MKTG Bullets"/>
    <w:qFormat/>
    <w:rsid w:val="006F2AE3"/>
    <w:pPr>
      <w:numPr>
        <w:numId w:val="23"/>
      </w:numPr>
      <w:spacing w:after="240" w:line="240" w:lineRule="exact"/>
    </w:pPr>
    <w:rPr>
      <w:rFonts w:ascii="Garamond" w:eastAsiaTheme="minorHAnsi" w:hAnsi="Garamond"/>
    </w:rPr>
  </w:style>
  <w:style w:type="numbering" w:customStyle="1" w:styleId="MKTGBullets-list">
    <w:name w:val="MKTG Bullets-list"/>
    <w:basedOn w:val="NoList"/>
    <w:uiPriority w:val="99"/>
    <w:rsid w:val="006F2AE3"/>
    <w:pPr>
      <w:numPr>
        <w:numId w:val="23"/>
      </w:numPr>
    </w:pPr>
  </w:style>
  <w:style w:type="paragraph" w:customStyle="1" w:styleId="00BodyText5">
    <w:name w:val="00 Body Text .5"/>
    <w:basedOn w:val="Normal"/>
    <w:qFormat/>
    <w:rsid w:val="002669D8"/>
    <w:pPr>
      <w:spacing w:after="240"/>
      <w:ind w:firstLine="720"/>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5568">
      <w:bodyDiv w:val="1"/>
      <w:marLeft w:val="0"/>
      <w:marRight w:val="0"/>
      <w:marTop w:val="0"/>
      <w:marBottom w:val="0"/>
      <w:divBdr>
        <w:top w:val="none" w:sz="0" w:space="0" w:color="auto"/>
        <w:left w:val="none" w:sz="0" w:space="0" w:color="auto"/>
        <w:bottom w:val="none" w:sz="0" w:space="0" w:color="auto"/>
        <w:right w:val="none" w:sz="0" w:space="0" w:color="auto"/>
      </w:divBdr>
    </w:div>
    <w:div w:id="41291706">
      <w:bodyDiv w:val="1"/>
      <w:marLeft w:val="0"/>
      <w:marRight w:val="0"/>
      <w:marTop w:val="0"/>
      <w:marBottom w:val="0"/>
      <w:divBdr>
        <w:top w:val="none" w:sz="0" w:space="0" w:color="auto"/>
        <w:left w:val="none" w:sz="0" w:space="0" w:color="auto"/>
        <w:bottom w:val="none" w:sz="0" w:space="0" w:color="auto"/>
        <w:right w:val="none" w:sz="0" w:space="0" w:color="auto"/>
      </w:divBdr>
    </w:div>
    <w:div w:id="767388368">
      <w:bodyDiv w:val="1"/>
      <w:marLeft w:val="0"/>
      <w:marRight w:val="0"/>
      <w:marTop w:val="0"/>
      <w:marBottom w:val="0"/>
      <w:divBdr>
        <w:top w:val="none" w:sz="0" w:space="0" w:color="auto"/>
        <w:left w:val="none" w:sz="0" w:space="0" w:color="auto"/>
        <w:bottom w:val="none" w:sz="0" w:space="0" w:color="auto"/>
        <w:right w:val="none" w:sz="0" w:space="0" w:color="auto"/>
      </w:divBdr>
    </w:div>
    <w:div w:id="1021708838">
      <w:bodyDiv w:val="1"/>
      <w:marLeft w:val="0"/>
      <w:marRight w:val="0"/>
      <w:marTop w:val="0"/>
      <w:marBottom w:val="0"/>
      <w:divBdr>
        <w:top w:val="none" w:sz="0" w:space="0" w:color="auto"/>
        <w:left w:val="none" w:sz="0" w:space="0" w:color="auto"/>
        <w:bottom w:val="none" w:sz="0" w:space="0" w:color="auto"/>
        <w:right w:val="none" w:sz="0" w:space="0" w:color="auto"/>
      </w:divBdr>
    </w:div>
    <w:div w:id="1149177406">
      <w:bodyDiv w:val="1"/>
      <w:marLeft w:val="0"/>
      <w:marRight w:val="0"/>
      <w:marTop w:val="0"/>
      <w:marBottom w:val="0"/>
      <w:divBdr>
        <w:top w:val="none" w:sz="0" w:space="0" w:color="auto"/>
        <w:left w:val="none" w:sz="0" w:space="0" w:color="auto"/>
        <w:bottom w:val="none" w:sz="0" w:space="0" w:color="auto"/>
        <w:right w:val="none" w:sz="0" w:space="0" w:color="auto"/>
      </w:divBdr>
    </w:div>
    <w:div w:id="1266692502">
      <w:bodyDiv w:val="1"/>
      <w:marLeft w:val="0"/>
      <w:marRight w:val="0"/>
      <w:marTop w:val="0"/>
      <w:marBottom w:val="0"/>
      <w:divBdr>
        <w:top w:val="none" w:sz="0" w:space="0" w:color="auto"/>
        <w:left w:val="none" w:sz="0" w:space="0" w:color="auto"/>
        <w:bottom w:val="none" w:sz="0" w:space="0" w:color="auto"/>
        <w:right w:val="none" w:sz="0" w:space="0" w:color="auto"/>
      </w:divBdr>
    </w:div>
    <w:div w:id="1341274494">
      <w:bodyDiv w:val="1"/>
      <w:marLeft w:val="0"/>
      <w:marRight w:val="0"/>
      <w:marTop w:val="0"/>
      <w:marBottom w:val="0"/>
      <w:divBdr>
        <w:top w:val="none" w:sz="0" w:space="0" w:color="auto"/>
        <w:left w:val="none" w:sz="0" w:space="0" w:color="auto"/>
        <w:bottom w:val="none" w:sz="0" w:space="0" w:color="auto"/>
        <w:right w:val="none" w:sz="0" w:space="0" w:color="auto"/>
      </w:divBdr>
    </w:div>
    <w:div w:id="1551571882">
      <w:bodyDiv w:val="1"/>
      <w:marLeft w:val="0"/>
      <w:marRight w:val="0"/>
      <w:marTop w:val="0"/>
      <w:marBottom w:val="0"/>
      <w:divBdr>
        <w:top w:val="none" w:sz="0" w:space="0" w:color="auto"/>
        <w:left w:val="none" w:sz="0" w:space="0" w:color="auto"/>
        <w:bottom w:val="none" w:sz="0" w:space="0" w:color="auto"/>
        <w:right w:val="none" w:sz="0" w:space="0" w:color="auto"/>
      </w:divBdr>
    </w:div>
    <w:div w:id="1746147437">
      <w:bodyDiv w:val="1"/>
      <w:marLeft w:val="0"/>
      <w:marRight w:val="0"/>
      <w:marTop w:val="0"/>
      <w:marBottom w:val="0"/>
      <w:divBdr>
        <w:top w:val="none" w:sz="0" w:space="0" w:color="auto"/>
        <w:left w:val="none" w:sz="0" w:space="0" w:color="auto"/>
        <w:bottom w:val="none" w:sz="0" w:space="0" w:color="auto"/>
        <w:right w:val="none" w:sz="0" w:space="0" w:color="auto"/>
      </w:divBdr>
    </w:div>
    <w:div w:id="1810856800">
      <w:bodyDiv w:val="1"/>
      <w:marLeft w:val="0"/>
      <w:marRight w:val="0"/>
      <w:marTop w:val="0"/>
      <w:marBottom w:val="0"/>
      <w:divBdr>
        <w:top w:val="none" w:sz="0" w:space="0" w:color="auto"/>
        <w:left w:val="none" w:sz="0" w:space="0" w:color="auto"/>
        <w:bottom w:val="none" w:sz="0" w:space="0" w:color="auto"/>
        <w:right w:val="none" w:sz="0" w:space="0" w:color="auto"/>
      </w:divBdr>
    </w:div>
    <w:div w:id="1879202272">
      <w:bodyDiv w:val="1"/>
      <w:marLeft w:val="0"/>
      <w:marRight w:val="0"/>
      <w:marTop w:val="0"/>
      <w:marBottom w:val="0"/>
      <w:divBdr>
        <w:top w:val="none" w:sz="0" w:space="0" w:color="auto"/>
        <w:left w:val="none" w:sz="0" w:space="0" w:color="auto"/>
        <w:bottom w:val="none" w:sz="0" w:space="0" w:color="auto"/>
        <w:right w:val="none" w:sz="0" w:space="0" w:color="auto"/>
      </w:divBdr>
    </w:div>
    <w:div w:id="2069767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9904-7443-4D1B-A4EA-0A8703CC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38</Pages>
  <Words>14936</Words>
  <Characters>85136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99873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 Bacastow</dc:creator>
  <cp:keywords/>
  <dc:description/>
  <cp:lastModifiedBy>Evans, David</cp:lastModifiedBy>
  <cp:revision>35</cp:revision>
  <cp:lastPrinted>2019-04-25T18:11:00Z</cp:lastPrinted>
  <dcterms:created xsi:type="dcterms:W3CDTF">2024-11-07T17:44:00Z</dcterms:created>
  <dcterms:modified xsi:type="dcterms:W3CDTF">2024-11-14T00:17:00Z</dcterms:modified>
</cp:coreProperties>
</file>