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22" w:rsidRPr="00A61122" w:rsidRDefault="00A61122" w:rsidP="00A61122">
      <w:pPr>
        <w:pStyle w:val="BodyTextContinued"/>
        <w:spacing w:after="360"/>
        <w:jc w:val="center"/>
        <w:rPr>
          <w:b/>
          <w:color w:val="FF0000"/>
          <w:szCs w:val="22"/>
        </w:rPr>
      </w:pPr>
      <w:bookmarkStart w:id="0" w:name="_Hlk19722158"/>
      <w:bookmarkStart w:id="1" w:name="_GoBack"/>
      <w:bookmarkEnd w:id="1"/>
      <w:r w:rsidRPr="00A61122">
        <w:rPr>
          <w:b/>
          <w:color w:val="FF0000"/>
          <w:szCs w:val="22"/>
        </w:rPr>
        <w:t xml:space="preserve">PRELIMINARY </w:t>
      </w:r>
      <w:r w:rsidR="001078DF">
        <w:rPr>
          <w:noProof/>
          <w:sz w:val="20"/>
        </w:rPr>
        <mc:AlternateContent>
          <mc:Choice Requires="wps">
            <w:drawing>
              <wp:anchor distT="0" distB="0" distL="114300" distR="114300" simplePos="0" relativeHeight="251661312" behindDoc="1" locked="1" layoutInCell="0" allowOverlap="1">
                <wp:simplePos x="0" y="0"/>
                <wp:positionH relativeFrom="page">
                  <wp:posOffset>6546850</wp:posOffset>
                </wp:positionH>
                <wp:positionV relativeFrom="topMargin">
                  <wp:posOffset>226695</wp:posOffset>
                </wp:positionV>
                <wp:extent cx="1022350" cy="277495"/>
                <wp:effectExtent l="0" t="0" r="6350" b="8255"/>
                <wp:wrapNone/>
                <wp:docPr id="2" name="zzmpDocStamp_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CA9" w:rsidRDefault="007B0CA9" w:rsidP="00A50D7A">
                            <w:pPr>
                              <w:pStyle w:val="DraftStampText"/>
                              <w:tabs>
                                <w:tab w:val="center" w:pos="0"/>
                              </w:tabs>
                              <w:rPr>
                                <w:caps w:val="0"/>
                                <w:sz w:val="18"/>
                                <w:szCs w:val="18"/>
                              </w:rPr>
                            </w:pPr>
                            <w:r>
                              <w:rPr>
                                <w:caps w:val="0"/>
                                <w:sz w:val="18"/>
                                <w:szCs w:val="18"/>
                              </w:rPr>
                              <w:t>KUTAK ROCK LLP</w:t>
                            </w:r>
                          </w:p>
                          <w:p w:rsidR="006F2318" w:rsidRPr="001078DF" w:rsidRDefault="006F2318" w:rsidP="00A50D7A">
                            <w:pPr>
                              <w:pStyle w:val="DraftStampText"/>
                              <w:tabs>
                                <w:tab w:val="center" w:pos="0"/>
                              </w:tabs>
                              <w:rPr>
                                <w:sz w:val="18"/>
                                <w:szCs w:val="18"/>
                              </w:rPr>
                            </w:pPr>
                            <w:r w:rsidRPr="001078DF">
                              <w:rPr>
                                <w:caps w:val="0"/>
                                <w:sz w:val="18"/>
                                <w:szCs w:val="18"/>
                              </w:rPr>
                              <w:t>DRAFT</w:t>
                            </w:r>
                            <w:r w:rsidR="007B0CA9">
                              <w:rPr>
                                <w:caps w:val="0"/>
                                <w:sz w:val="18"/>
                                <w:szCs w:val="18"/>
                              </w:rPr>
                              <w:t xml:space="preserve"> (10/14/19)</w:t>
                            </w:r>
                            <w:r w:rsidRPr="001078DF">
                              <w:rPr>
                                <w:caps w:val="0"/>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zmpDocStamp_21" o:spid="_x0000_s1026" type="#_x0000_t202" style="position:absolute;left:0;text-align:left;margin-left:515.5pt;margin-top:17.85pt;width:80.5pt;height:2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" o:allowincell="f" filled="f" stroked="f">
                <v:textbox inset="0,0,0,0">
                  <w:txbxContent>
                    <w:p w:rsidR="007B0CA9" w:rsidRDefault="007B0CA9" w:rsidP="00A50D7A">
                      <w:pPr>
                        <w:pStyle w:val="DraftStampText"/>
                        <w:tabs>
                          <w:tab w:val="center" w:pos="0"/>
                        </w:tabs>
                        <w:rPr>
                          <w:caps w:val="0"/>
                          <w:sz w:val="18"/>
                          <w:szCs w:val="18"/>
                        </w:rPr>
                      </w:pPr>
                      <w:r>
                        <w:rPr>
                          <w:caps w:val="0"/>
                          <w:sz w:val="18"/>
                          <w:szCs w:val="18"/>
                        </w:rPr>
                        <w:t>KUTAK ROCK LLP</w:t>
                      </w:r>
                    </w:p>
                    <w:p w:rsidR="006F2318" w:rsidRPr="001078DF" w:rsidRDefault="006F2318" w:rsidP="00A50D7A">
                      <w:pPr>
                        <w:pStyle w:val="DraftStampText"/>
                        <w:tabs>
                          <w:tab w:val="center" w:pos="0"/>
                        </w:tabs>
                        <w:rPr>
                          <w:sz w:val="18"/>
                          <w:szCs w:val="18"/>
                        </w:rPr>
                      </w:pPr>
                      <w:r w:rsidRPr="001078DF">
                        <w:rPr>
                          <w:caps w:val="0"/>
                          <w:sz w:val="18"/>
                          <w:szCs w:val="18"/>
                        </w:rPr>
                        <w:t>DRAFT</w:t>
                      </w:r>
                      <w:r w:rsidR="007B0CA9">
                        <w:rPr>
                          <w:caps w:val="0"/>
                          <w:sz w:val="18"/>
                          <w:szCs w:val="18"/>
                        </w:rPr>
                        <w:t xml:space="preserve"> (10/14/19)</w:t>
                      </w:r>
                      <w:r w:rsidRPr="001078DF">
                        <w:rPr>
                          <w:caps w:val="0"/>
                          <w:sz w:val="18"/>
                          <w:szCs w:val="18"/>
                        </w:rPr>
                        <w:t xml:space="preserve"> </w:t>
                      </w:r>
                    </w:p>
                  </w:txbxContent>
                </v:textbox>
                <w10:wrap anchorx="page" anchory="margin"/>
                <w10:anchorlock/>
              </v:shape>
            </w:pict>
          </mc:Fallback>
        </mc:AlternateContent>
      </w:r>
      <w:r w:rsidRPr="00A61122">
        <w:rPr>
          <w:b/>
          <w:color w:val="FF0000"/>
          <w:szCs w:val="22"/>
        </w:rPr>
        <w:t xml:space="preserve">OFFICIAL STATEMENT DATED </w:t>
      </w:r>
      <w:r w:rsidR="00F17EA0">
        <w:rPr>
          <w:b/>
          <w:color w:val="FF0000"/>
          <w:szCs w:val="22"/>
        </w:rPr>
        <w:t xml:space="preserve">OCTOBER </w:t>
      </w:r>
      <w:r w:rsidR="00A50D7A">
        <w:rPr>
          <w:b/>
          <w:color w:val="FF0000"/>
          <w:szCs w:val="22"/>
        </w:rPr>
        <w:t>[</w:t>
      </w:r>
      <w:r w:rsidR="00B32C1B">
        <w:rPr>
          <w:b/>
          <w:color w:val="FF0000"/>
          <w:szCs w:val="22"/>
        </w:rPr>
        <w:t>18</w:t>
      </w:r>
      <w:r w:rsidRPr="00A61122">
        <w:rPr>
          <w:b/>
          <w:color w:val="FF0000"/>
          <w:szCs w:val="22"/>
        </w:rPr>
        <w:t>], 2019</w:t>
      </w:r>
    </w:p>
    <w:bookmarkEnd w:id="0"/>
    <w:p w:rsidR="002E4A0D" w:rsidRPr="009F27D6" w:rsidRDefault="00A61122" w:rsidP="00F607D0">
      <w:pPr>
        <w:pStyle w:val="BodyTextContinued"/>
        <w:tabs>
          <w:tab w:val="right" w:pos="10620"/>
        </w:tabs>
        <w:spacing w:after="0"/>
        <w:ind w:right="36"/>
        <w:rPr>
          <w:b/>
          <w:sz w:val="18"/>
        </w:rPr>
      </w:pPr>
      <w:r>
        <w:rPr>
          <w:b/>
          <w:noProof/>
          <w:sz w:val="18"/>
        </w:rPr>
        <mc:AlternateContent>
          <mc:Choice Requires="wps">
            <w:drawing>
              <wp:anchor distT="0" distB="0" distL="114300" distR="114300" simplePos="0" relativeHeight="251659264" behindDoc="0" locked="0" layoutInCell="1" allowOverlap="1">
                <wp:simplePos x="0" y="0"/>
                <wp:positionH relativeFrom="page">
                  <wp:posOffset>274320</wp:posOffset>
                </wp:positionH>
                <wp:positionV relativeFrom="page">
                  <wp:posOffset>457200</wp:posOffset>
                </wp:positionV>
                <wp:extent cx="457200" cy="9144000"/>
                <wp:effectExtent l="0" t="0" r="0" b="0"/>
                <wp:wrapNone/>
                <wp:docPr id="1" name="RedHerring"/>
                <wp:cNvGraphicFramePr/>
                <a:graphic xmlns:a="http://schemas.openxmlformats.org/drawingml/2006/main">
                  <a:graphicData uri="http://schemas.microsoft.com/office/word/2010/wordprocessingShape">
                    <wps:wsp>
                      <wps:cNvSpPr txBox="1"/>
                      <wps:spPr>
                        <a:xfrm>
                          <a:off x="0" y="0"/>
                          <a:ext cx="457200" cy="9144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F2318" w:rsidRPr="00A61122" w:rsidRDefault="006F2318" w:rsidP="00A61122">
                            <w:pPr>
                              <w:spacing w:line="180" w:lineRule="exact"/>
                              <w:rPr>
                                <w:color w:val="FF0000"/>
                                <w:sz w:val="16"/>
                              </w:rPr>
                            </w:pPr>
                            <w:bookmarkStart w:id="2" w:name="zzmpRH_PrelimOffStateDated"/>
                            <w:r w:rsidRPr="00A61122">
                              <w:rPr>
                                <w:color w:val="FF0000"/>
                                <w:sz w:val="16"/>
                              </w:rPr>
                              <w:t>This Preliminary Official Statement and the information contained herein are subject to completion or amendment.  These securities may not be sold nor may offers to buy be accepted prior to the time the Official Statement is delivered in final form.  Under no circumstances shall this Preliminary Official Statement constitute an offer to sell or a solicitation of an offer to buy nor shall there be any sale of these securities in any jurisdiction in which such offer, solicitation or sale would be unlawful prior to registration or qualification under the securities laws of any such jurisdiction.</w:t>
                            </w:r>
                            <w:bookmarkEnd w:id="2"/>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 id="RedHerring" o:spid="_x0000_s1027" type="#_x0000_t202" style="position:absolute;left:0;text-align:left;margin-left:21.6pt;margin-top:36pt;width:36pt;height:10in;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" filled="f" stroked="f" strokeweight=".5pt">
                <v:textbox style="layout-flow:vertical;mso-layout-flow-alt:bottom-to-top" inset="0,0,0,0">
                  <w:txbxContent>
                    <w:p w:rsidR="006F2318" w:rsidRPr="00A61122" w:rsidRDefault="006F2318" w:rsidP="00A61122">
                      <w:pPr>
                        <w:spacing w:line="180" w:lineRule="exact"/>
                        <w:rPr>
                          <w:color w:val="FF0000"/>
                          <w:sz w:val="16"/>
                        </w:rPr>
                      </w:pPr>
                      <w:bookmarkStart w:id="2" w:name="zzmpRH_PrelimOffStateDated"/>
                      <w:r w:rsidRPr="00A61122">
                        <w:rPr>
                          <w:color w:val="FF0000"/>
                          <w:sz w:val="16"/>
                        </w:rPr>
                        <w:t>This Preliminary Official Statement and the information contained herein are subject to completion or amendment.  These securities may not be sold nor may offers to buy be accepted prior to the time the Official Statement is delivered in final form.  Under no circumstances shall this Preliminary Official Statement constitute an offer to sell or a solicitation of an offer to buy nor shall there be any sale of these securities in any jurisdiction in which such offer, solicitation or sale would be unlawful prior to registration or qualification under the securities laws of any such jurisdiction.</w:t>
                      </w:r>
                      <w:bookmarkEnd w:id="2"/>
                    </w:p>
                  </w:txbxContent>
                </v:textbox>
                <w10:wrap anchorx="page" anchory="page"/>
              </v:shape>
            </w:pict>
          </mc:Fallback>
        </mc:AlternateContent>
      </w:r>
      <w:r w:rsidR="009F27D6" w:rsidRPr="009F27D6">
        <w:rPr>
          <w:b/>
          <w:sz w:val="18"/>
        </w:rPr>
        <w:t>NEW ISSUE</w:t>
      </w:r>
      <w:r w:rsidR="00F607D0">
        <w:rPr>
          <w:b/>
          <w:sz w:val="18"/>
        </w:rPr>
        <w:t xml:space="preserve"> </w:t>
      </w:r>
      <w:r w:rsidR="00A2475A">
        <w:rPr>
          <w:b/>
          <w:sz w:val="18"/>
        </w:rPr>
        <w:t>—</w:t>
      </w:r>
      <w:r w:rsidR="00F607D0">
        <w:rPr>
          <w:b/>
          <w:sz w:val="18"/>
        </w:rPr>
        <w:t xml:space="preserve"> </w:t>
      </w:r>
      <w:r w:rsidR="002E4A0D" w:rsidRPr="009F27D6">
        <w:rPr>
          <w:b/>
          <w:sz w:val="18"/>
        </w:rPr>
        <w:t>BOOK-ENTRY ONLY</w:t>
      </w:r>
      <w:r w:rsidR="002E4A0D" w:rsidRPr="009F27D6">
        <w:rPr>
          <w:b/>
          <w:sz w:val="18"/>
        </w:rPr>
        <w:tab/>
        <w:t>RATINGS: S&amp;P: “</w:t>
      </w:r>
      <w:r>
        <w:rPr>
          <w:b/>
          <w:sz w:val="18"/>
        </w:rPr>
        <w:t>[__]</w:t>
      </w:r>
      <w:r w:rsidR="002E4A0D" w:rsidRPr="009F27D6">
        <w:rPr>
          <w:b/>
          <w:sz w:val="18"/>
        </w:rPr>
        <w:t>”</w:t>
      </w:r>
    </w:p>
    <w:p w:rsidR="002E4A0D" w:rsidRPr="009F27D6" w:rsidRDefault="002E4A0D" w:rsidP="00F607D0">
      <w:pPr>
        <w:pStyle w:val="BodyText"/>
        <w:spacing w:after="0"/>
        <w:ind w:right="36"/>
        <w:jc w:val="right"/>
        <w:rPr>
          <w:b/>
          <w:sz w:val="18"/>
          <w:szCs w:val="18"/>
        </w:rPr>
      </w:pPr>
      <w:r w:rsidRPr="009F27D6">
        <w:rPr>
          <w:b/>
          <w:sz w:val="18"/>
          <w:szCs w:val="18"/>
        </w:rPr>
        <w:t>Moody’s: “</w:t>
      </w:r>
      <w:r w:rsidR="00A61122">
        <w:rPr>
          <w:b/>
          <w:sz w:val="18"/>
          <w:szCs w:val="18"/>
        </w:rPr>
        <w:t>[__]</w:t>
      </w:r>
      <w:r w:rsidRPr="009F27D6">
        <w:rPr>
          <w:b/>
          <w:sz w:val="18"/>
          <w:szCs w:val="18"/>
        </w:rPr>
        <w:t>”</w:t>
      </w:r>
    </w:p>
    <w:p w:rsidR="002E4A0D" w:rsidRPr="009F27D6" w:rsidRDefault="002E4A0D" w:rsidP="00F607D0">
      <w:pPr>
        <w:pStyle w:val="BodyText"/>
        <w:spacing w:after="120"/>
        <w:ind w:right="36"/>
        <w:jc w:val="right"/>
        <w:rPr>
          <w:b/>
          <w:sz w:val="18"/>
          <w:szCs w:val="18"/>
        </w:rPr>
      </w:pPr>
      <w:r w:rsidRPr="009F27D6">
        <w:rPr>
          <w:b/>
          <w:sz w:val="18"/>
          <w:szCs w:val="18"/>
        </w:rPr>
        <w:t>(See “RATINGS” herein</w:t>
      </w:r>
      <w:r w:rsidR="009F27D6" w:rsidRPr="009F27D6">
        <w:rPr>
          <w:b/>
          <w:sz w:val="18"/>
          <w:szCs w:val="18"/>
        </w:rPr>
        <w:t>.</w:t>
      </w:r>
      <w:r w:rsidRPr="009F27D6">
        <w:rPr>
          <w:b/>
          <w:sz w:val="18"/>
          <w:szCs w:val="18"/>
        </w:rPr>
        <w:t>)</w:t>
      </w:r>
    </w:p>
    <w:p w:rsidR="002E4A0D" w:rsidRPr="009F27D6" w:rsidRDefault="00382226" w:rsidP="009F27D6">
      <w:pPr>
        <w:pStyle w:val="BodyText"/>
        <w:spacing w:after="120"/>
        <w:rPr>
          <w:i/>
          <w:sz w:val="18"/>
          <w:szCs w:val="18"/>
        </w:rPr>
      </w:pPr>
      <w:r w:rsidRPr="002D6887">
        <w:rPr>
          <w:i/>
          <w:sz w:val="20"/>
        </w:rPr>
        <w:t xml:space="preserve">In the opinion of Kutak Rock LLP, Bond Counsel to </w:t>
      </w:r>
      <w:r>
        <w:rPr>
          <w:i/>
          <w:sz w:val="20"/>
        </w:rPr>
        <w:t>the Bridge Enterprise</w:t>
      </w:r>
      <w:r w:rsidRPr="002D6887">
        <w:rPr>
          <w:i/>
          <w:sz w:val="20"/>
        </w:rPr>
        <w:t xml:space="preserve">, under existing laws, regulations, rulings and judicial decisions and assuming the accuracy of certain representations and continuing compliance with certain covenants, interest on the </w:t>
      </w:r>
      <w:r w:rsidR="006C3474">
        <w:rPr>
          <w:i/>
          <w:sz w:val="20"/>
        </w:rPr>
        <w:t>Series 2019A Senior Bond</w:t>
      </w:r>
      <w:r w:rsidRPr="002D6887">
        <w:rPr>
          <w:i/>
          <w:sz w:val="20"/>
        </w:rPr>
        <w:t>s is excluded from gross income for federal income tax purposes and is not a specific item of tax preference for purposes of the federal alternative minimum tax.</w:t>
      </w:r>
      <w:r>
        <w:rPr>
          <w:i/>
          <w:sz w:val="20"/>
        </w:rPr>
        <w:t xml:space="preserve">  </w:t>
      </w:r>
      <w:r w:rsidR="004F7590">
        <w:rPr>
          <w:i/>
          <w:sz w:val="20"/>
        </w:rPr>
        <w:t xml:space="preserve">Bond Counsel is further of the opinion that, under existing </w:t>
      </w:r>
      <w:r w:rsidR="00A32736">
        <w:rPr>
          <w:i/>
          <w:sz w:val="20"/>
        </w:rPr>
        <w:t xml:space="preserve">Colorado </w:t>
      </w:r>
      <w:r w:rsidR="004F7590">
        <w:rPr>
          <w:i/>
          <w:sz w:val="20"/>
        </w:rPr>
        <w:t>statutes</w:t>
      </w:r>
      <w:r w:rsidR="00A32736">
        <w:rPr>
          <w:i/>
          <w:sz w:val="20"/>
        </w:rPr>
        <w:t xml:space="preserve">, </w:t>
      </w:r>
      <w:r w:rsidR="00B23945">
        <w:rPr>
          <w:i/>
          <w:sz w:val="20"/>
        </w:rPr>
        <w:t>the Series 2019A Senior Bonds and the income therefrom are exempt from taxation by the State of Colorado, except inheritance, estate and transfer taxes</w:t>
      </w:r>
      <w:r w:rsidR="004F7590">
        <w:rPr>
          <w:i/>
          <w:sz w:val="20"/>
        </w:rPr>
        <w:t xml:space="preserve">.  </w:t>
      </w:r>
      <w:r w:rsidR="004F7590" w:rsidRPr="002D6887">
        <w:rPr>
          <w:i/>
          <w:sz w:val="20"/>
        </w:rPr>
        <w:t>For a more complete description, see “TAX MATTERS” herein.</w:t>
      </w:r>
    </w:p>
    <w:p w:rsidR="002E4A0D" w:rsidRPr="00D74A11" w:rsidRDefault="00CF4AB8" w:rsidP="00A61122">
      <w:pPr>
        <w:pStyle w:val="Centered"/>
        <w:spacing w:after="120"/>
        <w:rPr>
          <w:b/>
          <w:sz w:val="18"/>
        </w:rPr>
      </w:pPr>
      <w:r>
        <w:rPr>
          <w:b/>
          <w:szCs w:val="22"/>
        </w:rPr>
        <w:t>$[PAR]</w:t>
      </w:r>
      <w:r>
        <w:rPr>
          <w:rStyle w:val="FootnoteReference"/>
          <w:b/>
          <w:szCs w:val="22"/>
        </w:rPr>
        <w:footnoteReference w:id="1"/>
      </w:r>
      <w:r>
        <w:rPr>
          <w:b/>
          <w:szCs w:val="22"/>
        </w:rPr>
        <w:br/>
      </w:r>
      <w:r w:rsidR="002E4A0D" w:rsidRPr="00CF4AB8">
        <w:rPr>
          <w:b/>
          <w:szCs w:val="22"/>
        </w:rPr>
        <w:t>COLORADO BRIDGE ENTERPRISE</w:t>
      </w:r>
      <w:r>
        <w:rPr>
          <w:b/>
          <w:szCs w:val="22"/>
        </w:rPr>
        <w:br/>
      </w:r>
      <w:r w:rsidR="00A61122">
        <w:rPr>
          <w:b/>
          <w:szCs w:val="22"/>
        </w:rPr>
        <w:t>Senior Revenue Refunding Bonds</w:t>
      </w:r>
      <w:r w:rsidR="00A61122">
        <w:rPr>
          <w:b/>
          <w:szCs w:val="22"/>
        </w:rPr>
        <w:br/>
        <w:t>Series 2019A</w:t>
      </w:r>
    </w:p>
    <w:p w:rsidR="002E4A0D" w:rsidRPr="00D74A11" w:rsidRDefault="002E4A0D" w:rsidP="00F607D0">
      <w:pPr>
        <w:pStyle w:val="BodyText"/>
        <w:tabs>
          <w:tab w:val="right" w:pos="10620"/>
        </w:tabs>
        <w:spacing w:after="120"/>
        <w:ind w:firstLine="0"/>
        <w:rPr>
          <w:b/>
          <w:sz w:val="18"/>
          <w:szCs w:val="18"/>
        </w:rPr>
      </w:pPr>
      <w:r w:rsidRPr="00D74A11">
        <w:rPr>
          <w:b/>
          <w:sz w:val="18"/>
          <w:szCs w:val="18"/>
        </w:rPr>
        <w:t>Dated: Date of Delivery</w:t>
      </w:r>
      <w:r w:rsidRPr="00D74A11">
        <w:rPr>
          <w:b/>
          <w:sz w:val="18"/>
          <w:szCs w:val="18"/>
        </w:rPr>
        <w:tab/>
        <w:t>Due: December 1, as shown on inside front cover</w:t>
      </w:r>
    </w:p>
    <w:p w:rsidR="002E4A0D" w:rsidRPr="009F27D6" w:rsidRDefault="002E4A0D" w:rsidP="009F27D6">
      <w:pPr>
        <w:pStyle w:val="BodyText"/>
        <w:spacing w:after="120"/>
        <w:rPr>
          <w:sz w:val="18"/>
          <w:szCs w:val="18"/>
        </w:rPr>
      </w:pPr>
      <w:r w:rsidRPr="009F27D6">
        <w:rPr>
          <w:sz w:val="18"/>
          <w:szCs w:val="18"/>
        </w:rPr>
        <w:t xml:space="preserve">The Colorado Bridge Enterprise Senior </w:t>
      </w:r>
      <w:r w:rsidR="00F5644A">
        <w:rPr>
          <w:sz w:val="18"/>
          <w:szCs w:val="18"/>
        </w:rPr>
        <w:t>R</w:t>
      </w:r>
      <w:r w:rsidR="00A61122">
        <w:rPr>
          <w:sz w:val="18"/>
          <w:szCs w:val="18"/>
        </w:rPr>
        <w:t xml:space="preserve">evenue Refunding Bonds, </w:t>
      </w:r>
      <w:r w:rsidR="00D74A11">
        <w:rPr>
          <w:sz w:val="18"/>
          <w:szCs w:val="18"/>
        </w:rPr>
        <w:t>Series </w:t>
      </w:r>
      <w:r w:rsidR="0092331F">
        <w:rPr>
          <w:sz w:val="18"/>
          <w:szCs w:val="18"/>
        </w:rPr>
        <w:t>2019A</w:t>
      </w:r>
      <w:r w:rsidRPr="009F27D6">
        <w:rPr>
          <w:sz w:val="18"/>
          <w:szCs w:val="18"/>
        </w:rPr>
        <w:t xml:space="preserve"> (the “</w:t>
      </w:r>
      <w:r w:rsidR="00F5644A">
        <w:rPr>
          <w:sz w:val="18"/>
          <w:szCs w:val="18"/>
        </w:rPr>
        <w:t xml:space="preserve">Series 2019A </w:t>
      </w:r>
      <w:r w:rsidR="00624576">
        <w:rPr>
          <w:sz w:val="18"/>
          <w:szCs w:val="18"/>
        </w:rPr>
        <w:t xml:space="preserve">Senior </w:t>
      </w:r>
      <w:r w:rsidR="00F5644A">
        <w:rPr>
          <w:sz w:val="18"/>
          <w:szCs w:val="18"/>
        </w:rPr>
        <w:t>Bond</w:t>
      </w:r>
      <w:r w:rsidRPr="009F27D6">
        <w:rPr>
          <w:sz w:val="18"/>
          <w:szCs w:val="18"/>
        </w:rPr>
        <w:t xml:space="preserve">s”) are being issued by the Colorado Bridge Enterprise (the “Bridge Enterprise”), </w:t>
      </w:r>
      <w:r w:rsidR="00A61122">
        <w:rPr>
          <w:sz w:val="18"/>
          <w:szCs w:val="18"/>
        </w:rPr>
        <w:t>a government-owned business within the Colorado Department of Transportation</w:t>
      </w:r>
      <w:r w:rsidRPr="009F27D6">
        <w:rPr>
          <w:sz w:val="18"/>
          <w:szCs w:val="18"/>
        </w:rPr>
        <w:t xml:space="preserve"> (“CDOT”), for the purposes of (</w:t>
      </w:r>
      <w:r w:rsidR="00D74A11">
        <w:rPr>
          <w:sz w:val="18"/>
          <w:szCs w:val="18"/>
        </w:rPr>
        <w:t>a</w:t>
      </w:r>
      <w:r w:rsidRPr="009F27D6">
        <w:rPr>
          <w:sz w:val="18"/>
          <w:szCs w:val="18"/>
        </w:rPr>
        <w:t xml:space="preserve">) </w:t>
      </w:r>
      <w:r w:rsidR="00A61122">
        <w:rPr>
          <w:sz w:val="18"/>
          <w:szCs w:val="18"/>
        </w:rPr>
        <w:t xml:space="preserve">refunding and </w:t>
      </w:r>
      <w:proofErr w:type="spellStart"/>
      <w:r w:rsidR="00A61122">
        <w:rPr>
          <w:sz w:val="18"/>
          <w:szCs w:val="18"/>
        </w:rPr>
        <w:t>defeasing</w:t>
      </w:r>
      <w:proofErr w:type="spellEnd"/>
      <w:r w:rsidR="00A61122">
        <w:rPr>
          <w:sz w:val="18"/>
          <w:szCs w:val="18"/>
        </w:rPr>
        <w:t xml:space="preserve"> the Refunded Bonds,</w:t>
      </w:r>
      <w:r w:rsidRPr="009F27D6">
        <w:rPr>
          <w:sz w:val="18"/>
          <w:szCs w:val="18"/>
        </w:rPr>
        <w:t xml:space="preserve"> and (</w:t>
      </w:r>
      <w:r w:rsidR="00D74A11">
        <w:rPr>
          <w:sz w:val="18"/>
          <w:szCs w:val="18"/>
        </w:rPr>
        <w:t>b</w:t>
      </w:r>
      <w:r w:rsidRPr="009F27D6">
        <w:rPr>
          <w:sz w:val="18"/>
          <w:szCs w:val="18"/>
        </w:rPr>
        <w:t xml:space="preserve">) paying the costs of issuing the </w:t>
      </w:r>
      <w:r w:rsidR="006C3474">
        <w:rPr>
          <w:sz w:val="18"/>
          <w:szCs w:val="18"/>
        </w:rPr>
        <w:t>Series 2019A Senior Bond</w:t>
      </w:r>
      <w:r w:rsidRPr="009F27D6">
        <w:rPr>
          <w:sz w:val="18"/>
          <w:szCs w:val="18"/>
        </w:rPr>
        <w:t>s</w:t>
      </w:r>
      <w:r w:rsidR="009F27D6" w:rsidRPr="009F27D6">
        <w:rPr>
          <w:sz w:val="18"/>
          <w:szCs w:val="18"/>
        </w:rPr>
        <w:t>.</w:t>
      </w:r>
      <w:r w:rsidR="00A61122">
        <w:rPr>
          <w:sz w:val="18"/>
          <w:szCs w:val="18"/>
        </w:rPr>
        <w:t xml:space="preserve">  See “PLAN OF REFUNDING.”</w:t>
      </w:r>
      <w:r w:rsidR="009F27D6" w:rsidRPr="009F27D6">
        <w:rPr>
          <w:sz w:val="18"/>
          <w:szCs w:val="18"/>
        </w:rPr>
        <w:t xml:space="preserve">  </w:t>
      </w:r>
      <w:r w:rsidRPr="009F27D6">
        <w:rPr>
          <w:sz w:val="18"/>
          <w:szCs w:val="18"/>
        </w:rPr>
        <w:t xml:space="preserve">The </w:t>
      </w:r>
      <w:r w:rsidR="006C3474">
        <w:rPr>
          <w:sz w:val="18"/>
          <w:szCs w:val="18"/>
        </w:rPr>
        <w:t>Series 2019A Senior Bond</w:t>
      </w:r>
      <w:r w:rsidRPr="009F27D6">
        <w:rPr>
          <w:sz w:val="18"/>
          <w:szCs w:val="18"/>
        </w:rPr>
        <w:t xml:space="preserve">s are being issued pursuant to </w:t>
      </w:r>
      <w:r w:rsidR="00A61122">
        <w:rPr>
          <w:sz w:val="18"/>
          <w:szCs w:val="18"/>
        </w:rPr>
        <w:t xml:space="preserve">the </w:t>
      </w:r>
      <w:r w:rsidRPr="009F27D6">
        <w:rPr>
          <w:sz w:val="18"/>
          <w:szCs w:val="18"/>
        </w:rPr>
        <w:t>Master Trust Indenture</w:t>
      </w:r>
      <w:r w:rsidR="00A61122">
        <w:rPr>
          <w:sz w:val="18"/>
          <w:szCs w:val="18"/>
        </w:rPr>
        <w:t>, dated as of December 15, 2010, as amended (</w:t>
      </w:r>
      <w:r w:rsidRPr="009F27D6">
        <w:rPr>
          <w:sz w:val="18"/>
          <w:szCs w:val="18"/>
        </w:rPr>
        <w:t>the “Master Indenture”)</w:t>
      </w:r>
      <w:r w:rsidR="00A61122">
        <w:rPr>
          <w:sz w:val="18"/>
          <w:szCs w:val="18"/>
        </w:rPr>
        <w:t xml:space="preserve">, by and between the Bridge Enterprise and </w:t>
      </w:r>
      <w:r w:rsidR="00EC1EC9">
        <w:rPr>
          <w:sz w:val="18"/>
          <w:szCs w:val="18"/>
        </w:rPr>
        <w:t>Zions Ban</w:t>
      </w:r>
      <w:r w:rsidR="000934D5">
        <w:rPr>
          <w:sz w:val="18"/>
          <w:szCs w:val="18"/>
        </w:rPr>
        <w:t>corporation, National Association</w:t>
      </w:r>
      <w:r w:rsidR="00EC1EC9">
        <w:rPr>
          <w:sz w:val="18"/>
          <w:szCs w:val="18"/>
        </w:rPr>
        <w:t xml:space="preserve">, </w:t>
      </w:r>
      <w:r w:rsidR="00A61122">
        <w:rPr>
          <w:sz w:val="18"/>
          <w:szCs w:val="18"/>
        </w:rPr>
        <w:t xml:space="preserve">as </w:t>
      </w:r>
      <w:r w:rsidR="00EC1EC9">
        <w:rPr>
          <w:sz w:val="18"/>
          <w:szCs w:val="18"/>
        </w:rPr>
        <w:t xml:space="preserve">successor </w:t>
      </w:r>
      <w:r w:rsidR="00A61122">
        <w:rPr>
          <w:sz w:val="18"/>
          <w:szCs w:val="18"/>
        </w:rPr>
        <w:t>trustee (the “Trustee”), a</w:t>
      </w:r>
      <w:r w:rsidRPr="009F27D6">
        <w:rPr>
          <w:sz w:val="18"/>
          <w:szCs w:val="18"/>
        </w:rPr>
        <w:t>nd a 201</w:t>
      </w:r>
      <w:r w:rsidR="00A61122">
        <w:rPr>
          <w:sz w:val="18"/>
          <w:szCs w:val="18"/>
        </w:rPr>
        <w:t>9</w:t>
      </w:r>
      <w:r w:rsidRPr="009F27D6">
        <w:rPr>
          <w:sz w:val="18"/>
          <w:szCs w:val="18"/>
        </w:rPr>
        <w:t xml:space="preserve"> Supplemental Trust Indenture</w:t>
      </w:r>
      <w:r w:rsidR="00A61122">
        <w:rPr>
          <w:sz w:val="18"/>
          <w:szCs w:val="18"/>
        </w:rPr>
        <w:t xml:space="preserve">, to be dated as of </w:t>
      </w:r>
      <w:r w:rsidR="00F17EA0">
        <w:rPr>
          <w:sz w:val="18"/>
          <w:szCs w:val="18"/>
        </w:rPr>
        <w:t xml:space="preserve">December </w:t>
      </w:r>
      <w:r w:rsidR="00A61122">
        <w:rPr>
          <w:sz w:val="18"/>
          <w:szCs w:val="18"/>
        </w:rPr>
        <w:t>1, 2019 (</w:t>
      </w:r>
      <w:r w:rsidRPr="009F27D6">
        <w:rPr>
          <w:sz w:val="18"/>
          <w:szCs w:val="18"/>
        </w:rPr>
        <w:t>the “201</w:t>
      </w:r>
      <w:r w:rsidR="00A61122">
        <w:rPr>
          <w:sz w:val="18"/>
          <w:szCs w:val="18"/>
        </w:rPr>
        <w:t>9</w:t>
      </w:r>
      <w:r w:rsidRPr="009F27D6">
        <w:rPr>
          <w:sz w:val="18"/>
          <w:szCs w:val="18"/>
        </w:rPr>
        <w:t xml:space="preserve"> Supplemental Indenture,” and together with the Master Indenture, the “Indenture”), </w:t>
      </w:r>
      <w:r w:rsidR="00A61122">
        <w:rPr>
          <w:sz w:val="18"/>
          <w:szCs w:val="18"/>
        </w:rPr>
        <w:t xml:space="preserve">by and </w:t>
      </w:r>
      <w:r w:rsidRPr="009F27D6">
        <w:rPr>
          <w:sz w:val="18"/>
          <w:szCs w:val="18"/>
        </w:rPr>
        <w:t xml:space="preserve">between the Bridge Enterprise and </w:t>
      </w:r>
      <w:r w:rsidR="00A61122">
        <w:rPr>
          <w:sz w:val="18"/>
          <w:szCs w:val="18"/>
        </w:rPr>
        <w:t>the Trustee</w:t>
      </w:r>
      <w:r w:rsidRPr="009F27D6">
        <w:rPr>
          <w:sz w:val="18"/>
          <w:szCs w:val="18"/>
        </w:rPr>
        <w:t>.</w:t>
      </w:r>
    </w:p>
    <w:p w:rsidR="002E4A0D" w:rsidRPr="009F27D6" w:rsidRDefault="002E4A0D" w:rsidP="009F27D6">
      <w:pPr>
        <w:pStyle w:val="BodyText"/>
        <w:spacing w:after="120"/>
        <w:rPr>
          <w:sz w:val="18"/>
          <w:szCs w:val="18"/>
        </w:rPr>
      </w:pPr>
      <w:r w:rsidRPr="009F27D6">
        <w:rPr>
          <w:sz w:val="18"/>
          <w:szCs w:val="18"/>
        </w:rPr>
        <w:t xml:space="preserve">THE </w:t>
      </w:r>
      <w:r w:rsidR="006C3474">
        <w:rPr>
          <w:sz w:val="18"/>
          <w:szCs w:val="18"/>
        </w:rPr>
        <w:t>SERIES 2019A SENIOR BOND</w:t>
      </w:r>
      <w:r w:rsidRPr="009F27D6">
        <w:rPr>
          <w:sz w:val="18"/>
          <w:szCs w:val="18"/>
        </w:rPr>
        <w:t xml:space="preserve">S ARE SPECIAL, LIMITED OBLIGATIONS OF THE BRIDGE ENTERPRISE </w:t>
      </w:r>
      <w:r w:rsidR="00DE0AAA">
        <w:rPr>
          <w:sz w:val="18"/>
          <w:szCs w:val="18"/>
        </w:rPr>
        <w:t xml:space="preserve">SECURED BY AND </w:t>
      </w:r>
      <w:r w:rsidRPr="009F27D6">
        <w:rPr>
          <w:sz w:val="18"/>
          <w:szCs w:val="18"/>
        </w:rPr>
        <w:t xml:space="preserve">PAYABLE SOLELY FROM THE TRUST ESTATE, </w:t>
      </w:r>
      <w:r w:rsidR="00DE0AAA">
        <w:rPr>
          <w:sz w:val="18"/>
          <w:szCs w:val="18"/>
        </w:rPr>
        <w:t xml:space="preserve">WHICH </w:t>
      </w:r>
      <w:r w:rsidRPr="009F27D6">
        <w:rPr>
          <w:sz w:val="18"/>
          <w:szCs w:val="18"/>
        </w:rPr>
        <w:t>CONSIST</w:t>
      </w:r>
      <w:r w:rsidR="00DE0AAA">
        <w:rPr>
          <w:sz w:val="18"/>
          <w:szCs w:val="18"/>
        </w:rPr>
        <w:t>S</w:t>
      </w:r>
      <w:r w:rsidRPr="009F27D6">
        <w:rPr>
          <w:sz w:val="18"/>
          <w:szCs w:val="18"/>
        </w:rPr>
        <w:t xml:space="preserve"> OF </w:t>
      </w:r>
      <w:r w:rsidR="00A46295">
        <w:rPr>
          <w:sz w:val="18"/>
          <w:szCs w:val="18"/>
        </w:rPr>
        <w:t xml:space="preserve">REVENUES AND </w:t>
      </w:r>
      <w:r w:rsidR="00DE0AAA">
        <w:rPr>
          <w:sz w:val="18"/>
          <w:szCs w:val="18"/>
        </w:rPr>
        <w:t xml:space="preserve">CERTAIN </w:t>
      </w:r>
      <w:r w:rsidR="00A46295">
        <w:rPr>
          <w:sz w:val="18"/>
          <w:szCs w:val="18"/>
        </w:rPr>
        <w:t xml:space="preserve">OTHER </w:t>
      </w:r>
      <w:r w:rsidRPr="009F27D6">
        <w:rPr>
          <w:sz w:val="18"/>
          <w:szCs w:val="18"/>
        </w:rPr>
        <w:t xml:space="preserve">AMOUNTS DEPOSITED IN </w:t>
      </w:r>
      <w:r w:rsidR="00F5644A">
        <w:rPr>
          <w:sz w:val="18"/>
          <w:szCs w:val="18"/>
        </w:rPr>
        <w:t>THE</w:t>
      </w:r>
      <w:r w:rsidRPr="009F27D6">
        <w:rPr>
          <w:sz w:val="18"/>
          <w:szCs w:val="18"/>
        </w:rPr>
        <w:t xml:space="preserve"> BRIDGE </w:t>
      </w:r>
      <w:r w:rsidR="00A46295">
        <w:rPr>
          <w:sz w:val="18"/>
          <w:szCs w:val="18"/>
        </w:rPr>
        <w:t xml:space="preserve">SPECIAL </w:t>
      </w:r>
      <w:r w:rsidRPr="009F27D6">
        <w:rPr>
          <w:sz w:val="18"/>
          <w:szCs w:val="18"/>
        </w:rPr>
        <w:t>FUND</w:t>
      </w:r>
      <w:r w:rsidR="00A46295">
        <w:rPr>
          <w:sz w:val="18"/>
          <w:szCs w:val="18"/>
        </w:rPr>
        <w:t xml:space="preserve">.  A SUBSTANTIAL PART OF THE REVENUES </w:t>
      </w:r>
      <w:r w:rsidR="00DD65F7">
        <w:rPr>
          <w:sz w:val="18"/>
          <w:szCs w:val="18"/>
        </w:rPr>
        <w:t xml:space="preserve">WILL </w:t>
      </w:r>
      <w:r w:rsidR="00A46295">
        <w:rPr>
          <w:sz w:val="18"/>
          <w:szCs w:val="18"/>
        </w:rPr>
        <w:t xml:space="preserve">CONSIST OF THE BRIDGE SURCHARGES </w:t>
      </w:r>
      <w:r w:rsidRPr="009F27D6">
        <w:rPr>
          <w:sz w:val="18"/>
          <w:szCs w:val="18"/>
        </w:rPr>
        <w:t>IMPOSED BY THE BRIDGE ENTERPRISE</w:t>
      </w:r>
      <w:r w:rsidR="00A46295">
        <w:rPr>
          <w:sz w:val="18"/>
          <w:szCs w:val="18"/>
        </w:rPr>
        <w:t xml:space="preserve"> UPON THE REGISTRATION OF CERTAIN VEHICLES IN THE STATE</w:t>
      </w:r>
      <w:r w:rsidR="00F33973">
        <w:rPr>
          <w:sz w:val="18"/>
          <w:szCs w:val="18"/>
        </w:rPr>
        <w:t xml:space="preserve"> OF COLORADO (THE “STATE”)</w:t>
      </w:r>
      <w:r w:rsidR="009F27D6" w:rsidRPr="009F27D6">
        <w:rPr>
          <w:sz w:val="18"/>
          <w:szCs w:val="18"/>
        </w:rPr>
        <w:t xml:space="preserve">.  </w:t>
      </w:r>
      <w:r w:rsidRPr="009F27D6">
        <w:rPr>
          <w:sz w:val="18"/>
          <w:szCs w:val="18"/>
        </w:rPr>
        <w:t xml:space="preserve">THE OWNERS OF THE </w:t>
      </w:r>
      <w:r w:rsidR="006C3474">
        <w:rPr>
          <w:sz w:val="18"/>
          <w:szCs w:val="18"/>
        </w:rPr>
        <w:t>SERIES 2019A SENIOR BOND</w:t>
      </w:r>
      <w:r w:rsidRPr="009F27D6">
        <w:rPr>
          <w:sz w:val="18"/>
          <w:szCs w:val="18"/>
        </w:rPr>
        <w:t>S MAY NOT LOOK TO ANY OTHER REVENUES OR FUNDS OF THE BRIDGE ENTERPRISE OR TO ANY REVENUES OR FUNDS OF CDOT OR THE STATE</w:t>
      </w:r>
      <w:r w:rsidR="00F5644A">
        <w:rPr>
          <w:sz w:val="18"/>
          <w:szCs w:val="18"/>
        </w:rPr>
        <w:t xml:space="preserve"> </w:t>
      </w:r>
      <w:r w:rsidRPr="009F27D6">
        <w:rPr>
          <w:sz w:val="18"/>
          <w:szCs w:val="18"/>
        </w:rPr>
        <w:t xml:space="preserve">FOR PAYMENT OF THE </w:t>
      </w:r>
      <w:r w:rsidR="006C3474">
        <w:rPr>
          <w:sz w:val="18"/>
          <w:szCs w:val="18"/>
        </w:rPr>
        <w:t>SERIES 2019A SENIOR BOND</w:t>
      </w:r>
      <w:r w:rsidRPr="009F27D6">
        <w:rPr>
          <w:sz w:val="18"/>
          <w:szCs w:val="18"/>
        </w:rPr>
        <w:t xml:space="preserve">S, AND THE </w:t>
      </w:r>
      <w:r w:rsidR="006C3474">
        <w:rPr>
          <w:sz w:val="18"/>
          <w:szCs w:val="18"/>
        </w:rPr>
        <w:t>SERIES 2019A SENIOR BOND</w:t>
      </w:r>
      <w:r w:rsidRPr="009F27D6">
        <w:rPr>
          <w:sz w:val="18"/>
          <w:szCs w:val="18"/>
        </w:rPr>
        <w:t xml:space="preserve">S SHALL NOT BE DEEMED OR CONSTRUED AS CREATING AN INDEBTEDNESS OF CDOT OR THE STATE WITHIN THE MEANING OF THE STATE CONSTITUTION OR LAWS OF THE STATE CONCERNING OR LIMITING THE CREATION OF INDEBTEDNESS BY THE STATE, OR A PLEDGE OF THE TAXING POWERS, FAITH, OR CREDIT </w:t>
      </w:r>
      <w:r w:rsidRPr="00A46295">
        <w:rPr>
          <w:sz w:val="18"/>
          <w:szCs w:val="18"/>
        </w:rPr>
        <w:t>OF THE STATE OR ANY POLITICAL SUBDIVISION OF THE STATE</w:t>
      </w:r>
      <w:r w:rsidR="009F27D6" w:rsidRPr="00A46295">
        <w:rPr>
          <w:sz w:val="18"/>
          <w:szCs w:val="18"/>
        </w:rPr>
        <w:t xml:space="preserve">.  </w:t>
      </w:r>
      <w:r w:rsidRPr="00A46295">
        <w:rPr>
          <w:sz w:val="18"/>
          <w:szCs w:val="18"/>
        </w:rPr>
        <w:t>THE BRIDGE ENTERPRISE HAS NO TAXING POWERS.</w:t>
      </w:r>
      <w:r w:rsidR="00F5644A" w:rsidRPr="00A46295">
        <w:rPr>
          <w:sz w:val="18"/>
          <w:szCs w:val="18"/>
        </w:rPr>
        <w:t xml:space="preserve">  The </w:t>
      </w:r>
      <w:r w:rsidR="006C3474">
        <w:rPr>
          <w:sz w:val="18"/>
          <w:szCs w:val="18"/>
        </w:rPr>
        <w:t>Series 2019A Senior Bond</w:t>
      </w:r>
      <w:r w:rsidR="00F5644A" w:rsidRPr="00A46295">
        <w:rPr>
          <w:sz w:val="18"/>
          <w:szCs w:val="18"/>
        </w:rPr>
        <w:t xml:space="preserve">s will be issued with a pledge of and lien on the Trust Estate on parity with the </w:t>
      </w:r>
      <w:r w:rsidR="00B524E8" w:rsidRPr="00A46295">
        <w:rPr>
          <w:sz w:val="18"/>
          <w:szCs w:val="18"/>
        </w:rPr>
        <w:t xml:space="preserve">Series 2010A </w:t>
      </w:r>
      <w:r w:rsidR="00586A20">
        <w:rPr>
          <w:sz w:val="18"/>
          <w:szCs w:val="18"/>
        </w:rPr>
        <w:t xml:space="preserve">Senior </w:t>
      </w:r>
      <w:r w:rsidR="00B524E8" w:rsidRPr="00A46295">
        <w:rPr>
          <w:sz w:val="18"/>
          <w:szCs w:val="18"/>
        </w:rPr>
        <w:t xml:space="preserve">Bonds not otherwise refunded with proceeds of the </w:t>
      </w:r>
      <w:r w:rsidR="006C3474">
        <w:rPr>
          <w:sz w:val="18"/>
          <w:szCs w:val="18"/>
        </w:rPr>
        <w:t>Series 2019A Senior Bond</w:t>
      </w:r>
      <w:r w:rsidR="00B524E8" w:rsidRPr="00A46295">
        <w:rPr>
          <w:sz w:val="18"/>
          <w:szCs w:val="18"/>
        </w:rPr>
        <w:t>s</w:t>
      </w:r>
      <w:r w:rsidR="00A46295">
        <w:rPr>
          <w:sz w:val="18"/>
          <w:szCs w:val="18"/>
        </w:rPr>
        <w:t xml:space="preserve"> and any additional Senior Bonds </w:t>
      </w:r>
      <w:r w:rsidR="005F3FA5">
        <w:rPr>
          <w:sz w:val="18"/>
          <w:szCs w:val="18"/>
        </w:rPr>
        <w:t>issued by the Bridge Enterprise in the future</w:t>
      </w:r>
      <w:r w:rsidR="00B524E8" w:rsidRPr="00A46295">
        <w:rPr>
          <w:sz w:val="18"/>
          <w:szCs w:val="18"/>
        </w:rPr>
        <w:t>.</w:t>
      </w:r>
    </w:p>
    <w:p w:rsidR="004F7590" w:rsidRPr="004F7590" w:rsidRDefault="004F7590" w:rsidP="004F7590">
      <w:pPr>
        <w:pStyle w:val="BodyText"/>
        <w:spacing w:after="120"/>
        <w:rPr>
          <w:sz w:val="18"/>
          <w:szCs w:val="18"/>
        </w:rPr>
      </w:pPr>
      <w:r w:rsidRPr="004F7590">
        <w:rPr>
          <w:sz w:val="18"/>
          <w:szCs w:val="18"/>
        </w:rPr>
        <w:t xml:space="preserve">The </w:t>
      </w:r>
      <w:r w:rsidR="006C3474">
        <w:rPr>
          <w:sz w:val="18"/>
          <w:szCs w:val="18"/>
        </w:rPr>
        <w:t>Series 2019A Senior Bond</w:t>
      </w:r>
      <w:r w:rsidRPr="004F7590">
        <w:rPr>
          <w:sz w:val="18"/>
          <w:szCs w:val="18"/>
        </w:rPr>
        <w:t xml:space="preserve">s will be issued as fully registered bonds in the name of Cede &amp; Co., as registered owner and nominee of The Depository Trust Company (“DTC”), New York, New York.  Individual purchases and sales of the </w:t>
      </w:r>
      <w:r w:rsidR="006C3474">
        <w:rPr>
          <w:sz w:val="18"/>
          <w:szCs w:val="18"/>
        </w:rPr>
        <w:t>Series 2019A Senior Bond</w:t>
      </w:r>
      <w:r w:rsidRPr="004F7590">
        <w:rPr>
          <w:sz w:val="18"/>
          <w:szCs w:val="18"/>
        </w:rPr>
        <w:t xml:space="preserve">s may be made in book-entry-form only in denominations of $5,000 and integral multiplies thereof.  Interest on the </w:t>
      </w:r>
      <w:r w:rsidR="006C3474">
        <w:rPr>
          <w:sz w:val="18"/>
          <w:szCs w:val="18"/>
        </w:rPr>
        <w:t>Series 2019A Senior Bond</w:t>
      </w:r>
      <w:r w:rsidRPr="004F7590">
        <w:rPr>
          <w:sz w:val="18"/>
          <w:szCs w:val="18"/>
        </w:rPr>
        <w:t xml:space="preserve">s will be payable on </w:t>
      </w:r>
      <w:r w:rsidR="00CC2075">
        <w:rPr>
          <w:sz w:val="18"/>
          <w:szCs w:val="18"/>
        </w:rPr>
        <w:t>June</w:t>
      </w:r>
      <w:r w:rsidR="00F37776">
        <w:rPr>
          <w:sz w:val="18"/>
          <w:szCs w:val="18"/>
        </w:rPr>
        <w:t> </w:t>
      </w:r>
      <w:r w:rsidR="00CC2075">
        <w:rPr>
          <w:sz w:val="18"/>
          <w:szCs w:val="18"/>
        </w:rPr>
        <w:t xml:space="preserve">1 </w:t>
      </w:r>
      <w:r w:rsidRPr="004F7590">
        <w:rPr>
          <w:sz w:val="18"/>
          <w:szCs w:val="18"/>
        </w:rPr>
        <w:t xml:space="preserve">and </w:t>
      </w:r>
      <w:r w:rsidR="00CC2075">
        <w:rPr>
          <w:sz w:val="18"/>
          <w:szCs w:val="18"/>
        </w:rPr>
        <w:t>December </w:t>
      </w:r>
      <w:r w:rsidRPr="004F7590">
        <w:rPr>
          <w:sz w:val="18"/>
          <w:szCs w:val="18"/>
        </w:rPr>
        <w:t xml:space="preserve">1, commencing on </w:t>
      </w:r>
      <w:r w:rsidR="00CC2075">
        <w:rPr>
          <w:sz w:val="18"/>
          <w:szCs w:val="18"/>
        </w:rPr>
        <w:t xml:space="preserve">June </w:t>
      </w:r>
      <w:r w:rsidRPr="004F7590">
        <w:rPr>
          <w:sz w:val="18"/>
          <w:szCs w:val="18"/>
        </w:rPr>
        <w:t xml:space="preserve">1, 2020.  So long as the </w:t>
      </w:r>
      <w:r w:rsidR="006C3474">
        <w:rPr>
          <w:sz w:val="18"/>
          <w:szCs w:val="18"/>
        </w:rPr>
        <w:t>Series 2019A Senior Bond</w:t>
      </w:r>
      <w:r w:rsidRPr="004F7590">
        <w:rPr>
          <w:sz w:val="18"/>
          <w:szCs w:val="18"/>
        </w:rPr>
        <w:t xml:space="preserve">s are held by DTC, the principal of and interest on the </w:t>
      </w:r>
      <w:r w:rsidR="006C3474">
        <w:rPr>
          <w:sz w:val="18"/>
          <w:szCs w:val="18"/>
        </w:rPr>
        <w:t>Series 2019A Senior Bond</w:t>
      </w:r>
      <w:r w:rsidRPr="004F7590">
        <w:rPr>
          <w:sz w:val="18"/>
          <w:szCs w:val="18"/>
        </w:rPr>
        <w:t xml:space="preserve">s will be payable by wire transfer to DTC, which in turn will be required to remit such principal and interest to the DTC participants for subsequent disbursement to the beneficial owners of the </w:t>
      </w:r>
      <w:r w:rsidR="006C3474">
        <w:rPr>
          <w:sz w:val="18"/>
          <w:szCs w:val="18"/>
        </w:rPr>
        <w:t>Series 2019A Senior Bond</w:t>
      </w:r>
      <w:r w:rsidRPr="004F7590">
        <w:rPr>
          <w:sz w:val="18"/>
          <w:szCs w:val="18"/>
        </w:rPr>
        <w:t xml:space="preserve">s, as more fully described herein.  See “APPENDIX </w:t>
      </w:r>
      <w:r w:rsidR="00E2638E">
        <w:rPr>
          <w:sz w:val="18"/>
          <w:szCs w:val="18"/>
        </w:rPr>
        <w:t>G</w:t>
      </w:r>
      <w:r w:rsidRPr="004F7590">
        <w:rPr>
          <w:sz w:val="18"/>
          <w:szCs w:val="18"/>
        </w:rPr>
        <w:t>—BOOK-ENTRY-ONLY SYSTEM.”</w:t>
      </w:r>
    </w:p>
    <w:p w:rsidR="004F7590" w:rsidRPr="00F37776" w:rsidRDefault="004F7590" w:rsidP="004F7590">
      <w:pPr>
        <w:pStyle w:val="BodyText"/>
        <w:spacing w:after="120"/>
        <w:ind w:firstLine="0"/>
        <w:jc w:val="center"/>
        <w:rPr>
          <w:sz w:val="18"/>
          <w:szCs w:val="18"/>
          <w:u w:val="single"/>
        </w:rPr>
      </w:pPr>
      <w:r w:rsidRPr="00F37776">
        <w:rPr>
          <w:sz w:val="18"/>
          <w:szCs w:val="18"/>
          <w:u w:val="single"/>
        </w:rPr>
        <w:tab/>
      </w:r>
      <w:r w:rsidRPr="00F37776">
        <w:rPr>
          <w:sz w:val="18"/>
          <w:szCs w:val="18"/>
          <w:u w:val="single"/>
        </w:rPr>
        <w:tab/>
      </w:r>
      <w:r w:rsidRPr="00F37776">
        <w:rPr>
          <w:sz w:val="18"/>
          <w:szCs w:val="18"/>
          <w:u w:val="single"/>
        </w:rPr>
        <w:tab/>
      </w:r>
      <w:r w:rsidRPr="00F37776">
        <w:rPr>
          <w:sz w:val="18"/>
          <w:szCs w:val="18"/>
          <w:u w:val="single"/>
        </w:rPr>
        <w:tab/>
      </w:r>
      <w:r w:rsidRPr="00F37776">
        <w:rPr>
          <w:sz w:val="18"/>
          <w:szCs w:val="18"/>
          <w:u w:val="single"/>
        </w:rPr>
        <w:tab/>
      </w:r>
      <w:r w:rsidRPr="00F37776">
        <w:rPr>
          <w:sz w:val="18"/>
          <w:szCs w:val="18"/>
          <w:u w:val="single"/>
        </w:rPr>
        <w:tab/>
      </w:r>
    </w:p>
    <w:p w:rsidR="004F7590" w:rsidRPr="004F7590" w:rsidRDefault="004F7590" w:rsidP="00CC2075">
      <w:pPr>
        <w:pStyle w:val="BodyText"/>
        <w:spacing w:after="0"/>
        <w:ind w:firstLine="0"/>
        <w:jc w:val="center"/>
        <w:rPr>
          <w:b/>
          <w:sz w:val="18"/>
          <w:szCs w:val="18"/>
        </w:rPr>
      </w:pPr>
      <w:r w:rsidRPr="004F7590">
        <w:rPr>
          <w:b/>
          <w:sz w:val="18"/>
          <w:szCs w:val="18"/>
        </w:rPr>
        <w:t>Maturity Schedule on Inside Front Cover</w:t>
      </w:r>
    </w:p>
    <w:p w:rsidR="004F7590" w:rsidRPr="00F37776" w:rsidRDefault="004F7590" w:rsidP="004F7590">
      <w:pPr>
        <w:pStyle w:val="BodyText"/>
        <w:spacing w:after="120"/>
        <w:ind w:firstLine="0"/>
        <w:jc w:val="center"/>
        <w:rPr>
          <w:sz w:val="18"/>
          <w:szCs w:val="18"/>
          <w:u w:val="single"/>
        </w:rPr>
      </w:pPr>
      <w:r w:rsidRPr="00F37776">
        <w:rPr>
          <w:sz w:val="18"/>
          <w:szCs w:val="18"/>
          <w:u w:val="single"/>
        </w:rPr>
        <w:tab/>
      </w:r>
      <w:r w:rsidRPr="00F37776">
        <w:rPr>
          <w:sz w:val="18"/>
          <w:szCs w:val="18"/>
          <w:u w:val="single"/>
        </w:rPr>
        <w:tab/>
      </w:r>
      <w:r w:rsidRPr="00F37776">
        <w:rPr>
          <w:sz w:val="18"/>
          <w:szCs w:val="18"/>
          <w:u w:val="single"/>
        </w:rPr>
        <w:tab/>
      </w:r>
      <w:r w:rsidRPr="00F37776">
        <w:rPr>
          <w:sz w:val="18"/>
          <w:szCs w:val="18"/>
          <w:u w:val="single"/>
        </w:rPr>
        <w:tab/>
      </w:r>
      <w:r w:rsidRPr="00F37776">
        <w:rPr>
          <w:sz w:val="18"/>
          <w:szCs w:val="18"/>
          <w:u w:val="single"/>
        </w:rPr>
        <w:tab/>
      </w:r>
      <w:r w:rsidRPr="00F37776">
        <w:rPr>
          <w:sz w:val="18"/>
          <w:szCs w:val="18"/>
          <w:u w:val="single"/>
        </w:rPr>
        <w:tab/>
      </w:r>
    </w:p>
    <w:p w:rsidR="004F7590" w:rsidRPr="004F7590" w:rsidRDefault="001465F6" w:rsidP="004F7590">
      <w:pPr>
        <w:pStyle w:val="BodyText"/>
        <w:spacing w:after="120"/>
        <w:rPr>
          <w:sz w:val="18"/>
          <w:szCs w:val="18"/>
        </w:rPr>
      </w:pPr>
      <w:r>
        <w:rPr>
          <w:sz w:val="18"/>
          <w:szCs w:val="18"/>
        </w:rPr>
        <w:t>[</w:t>
      </w:r>
      <w:r w:rsidR="004F7590" w:rsidRPr="004F7590">
        <w:rPr>
          <w:sz w:val="18"/>
          <w:szCs w:val="18"/>
        </w:rPr>
        <w:t xml:space="preserve">The </w:t>
      </w:r>
      <w:r w:rsidR="006C3474">
        <w:rPr>
          <w:sz w:val="18"/>
          <w:szCs w:val="18"/>
        </w:rPr>
        <w:t>Series 2019A Senior Bond</w:t>
      </w:r>
      <w:r w:rsidR="004F7590" w:rsidRPr="004F7590">
        <w:rPr>
          <w:sz w:val="18"/>
          <w:szCs w:val="18"/>
        </w:rPr>
        <w:t xml:space="preserve">s are subject to optional </w:t>
      </w:r>
      <w:r>
        <w:rPr>
          <w:sz w:val="18"/>
          <w:szCs w:val="18"/>
        </w:rPr>
        <w:t xml:space="preserve">redemption </w:t>
      </w:r>
      <w:r w:rsidR="004F7590" w:rsidRPr="004F7590">
        <w:rPr>
          <w:sz w:val="18"/>
          <w:szCs w:val="18"/>
        </w:rPr>
        <w:t xml:space="preserve">prior to maturity, as more fully described herein.  See “DESCRIPTION OF THE </w:t>
      </w:r>
      <w:r w:rsidR="006C3474">
        <w:rPr>
          <w:sz w:val="18"/>
          <w:szCs w:val="18"/>
        </w:rPr>
        <w:t>SERIES 2019A SENIOR BOND</w:t>
      </w:r>
      <w:r w:rsidR="004F7590" w:rsidRPr="004F7590">
        <w:rPr>
          <w:sz w:val="18"/>
          <w:szCs w:val="18"/>
        </w:rPr>
        <w:t>S—Redemption Provisions.”</w:t>
      </w:r>
      <w:r w:rsidR="00A50D7A">
        <w:rPr>
          <w:sz w:val="18"/>
          <w:szCs w:val="18"/>
        </w:rPr>
        <w:t>]  [The Series 2019A Senior Bonds are not subject to redemption prior to redemption.]</w:t>
      </w:r>
    </w:p>
    <w:p w:rsidR="002E4A0D" w:rsidRPr="009F27D6" w:rsidRDefault="004F7590" w:rsidP="004F7590">
      <w:pPr>
        <w:pStyle w:val="BodyText"/>
        <w:spacing w:after="120"/>
        <w:rPr>
          <w:sz w:val="18"/>
          <w:szCs w:val="18"/>
        </w:rPr>
      </w:pPr>
      <w:r w:rsidRPr="004F7590">
        <w:rPr>
          <w:sz w:val="18"/>
          <w:szCs w:val="18"/>
        </w:rPr>
        <w:t xml:space="preserve">The purchase and ownership of </w:t>
      </w:r>
      <w:r w:rsidR="006C3474">
        <w:rPr>
          <w:sz w:val="18"/>
          <w:szCs w:val="18"/>
        </w:rPr>
        <w:t>Series 2019A Senior Bond</w:t>
      </w:r>
      <w:r w:rsidRPr="004F7590">
        <w:rPr>
          <w:sz w:val="18"/>
          <w:szCs w:val="18"/>
        </w:rPr>
        <w:t xml:space="preserve">s involve investment risk and may not be suitable for all investors.  This cover page contains certain information for general reference only.  It is not intended to be a summary of the security or terms of the </w:t>
      </w:r>
      <w:r w:rsidR="006C3474">
        <w:rPr>
          <w:sz w:val="18"/>
          <w:szCs w:val="18"/>
        </w:rPr>
        <w:t>Series 2019A Senior Bond</w:t>
      </w:r>
      <w:r w:rsidRPr="004F7590">
        <w:rPr>
          <w:sz w:val="18"/>
          <w:szCs w:val="18"/>
        </w:rPr>
        <w:t xml:space="preserve">s.  Investors are advised to read the entire Official Statement, including any portion hereof included by reference, to obtain information essential to the making of an informed decision, giving particular attention to the matters discussed under “CERTAIN </w:t>
      </w:r>
      <w:r w:rsidR="001B2DD2">
        <w:rPr>
          <w:sz w:val="18"/>
          <w:szCs w:val="18"/>
        </w:rPr>
        <w:t>INVESTMENT CONSIDERATIONS</w:t>
      </w:r>
      <w:r w:rsidRPr="004F7590">
        <w:rPr>
          <w:sz w:val="18"/>
          <w:szCs w:val="18"/>
        </w:rPr>
        <w:t>.”  Capitalized terms used on this cover page and not otherwise defined have the meanings set forth herein.</w:t>
      </w:r>
    </w:p>
    <w:p w:rsidR="002E4A0D" w:rsidRDefault="002E4A0D" w:rsidP="009F27D6">
      <w:pPr>
        <w:pStyle w:val="BodyText"/>
        <w:spacing w:after="120"/>
        <w:rPr>
          <w:sz w:val="18"/>
          <w:szCs w:val="18"/>
        </w:rPr>
      </w:pPr>
      <w:r w:rsidRPr="009F27D6">
        <w:rPr>
          <w:sz w:val="18"/>
          <w:szCs w:val="18"/>
        </w:rPr>
        <w:t xml:space="preserve">The </w:t>
      </w:r>
      <w:r w:rsidR="006C3474">
        <w:rPr>
          <w:sz w:val="18"/>
          <w:szCs w:val="18"/>
        </w:rPr>
        <w:t>Series 2019A Senior Bond</w:t>
      </w:r>
      <w:r w:rsidRPr="009F27D6">
        <w:rPr>
          <w:sz w:val="18"/>
          <w:szCs w:val="18"/>
        </w:rPr>
        <w:t>s are offered when, as, and if issued by the Bridge Enterprise, subject to the approving opinion of Kutak Rock LLP, Bond Counsel</w:t>
      </w:r>
      <w:r w:rsidR="00C46D7B">
        <w:rPr>
          <w:sz w:val="18"/>
          <w:szCs w:val="18"/>
        </w:rPr>
        <w:t xml:space="preserve"> to the </w:t>
      </w:r>
      <w:r w:rsidR="00C46D7B" w:rsidRPr="00986BD5">
        <w:rPr>
          <w:sz w:val="18"/>
          <w:szCs w:val="18"/>
        </w:rPr>
        <w:t>Bridge Enterprise</w:t>
      </w:r>
      <w:r w:rsidR="009F27D6" w:rsidRPr="00986BD5">
        <w:rPr>
          <w:sz w:val="18"/>
          <w:szCs w:val="18"/>
        </w:rPr>
        <w:t xml:space="preserve">.  </w:t>
      </w:r>
      <w:r w:rsidRPr="00986BD5">
        <w:rPr>
          <w:sz w:val="18"/>
          <w:szCs w:val="18"/>
        </w:rPr>
        <w:t xml:space="preserve">Certain legal matters will be passed upon for the Bridge Enterprise by the Office of the Attorney </w:t>
      </w:r>
      <w:r w:rsidRPr="00986BD5">
        <w:rPr>
          <w:sz w:val="18"/>
          <w:szCs w:val="18"/>
        </w:rPr>
        <w:lastRenderedPageBreak/>
        <w:t xml:space="preserve">General of the State and by the Bridge Enterprise’s </w:t>
      </w:r>
      <w:r w:rsidR="00CF194B">
        <w:rPr>
          <w:sz w:val="18"/>
          <w:szCs w:val="18"/>
        </w:rPr>
        <w:t>D</w:t>
      </w:r>
      <w:r w:rsidR="00C46D7B" w:rsidRPr="00986BD5">
        <w:rPr>
          <w:sz w:val="18"/>
          <w:szCs w:val="18"/>
        </w:rPr>
        <w:t xml:space="preserve">isclosure </w:t>
      </w:r>
      <w:r w:rsidR="00CF194B">
        <w:rPr>
          <w:sz w:val="18"/>
          <w:szCs w:val="18"/>
        </w:rPr>
        <w:t>C</w:t>
      </w:r>
      <w:r w:rsidRPr="00986BD5">
        <w:rPr>
          <w:sz w:val="18"/>
          <w:szCs w:val="18"/>
        </w:rPr>
        <w:t xml:space="preserve">ounsel, </w:t>
      </w:r>
      <w:r w:rsidR="00C46D7B" w:rsidRPr="00986BD5">
        <w:rPr>
          <w:sz w:val="18"/>
          <w:szCs w:val="18"/>
        </w:rPr>
        <w:t>Kutak Rock LLP</w:t>
      </w:r>
      <w:r w:rsidR="009F27D6" w:rsidRPr="00986BD5">
        <w:rPr>
          <w:sz w:val="18"/>
          <w:szCs w:val="18"/>
        </w:rPr>
        <w:t xml:space="preserve">.  </w:t>
      </w:r>
      <w:r w:rsidRPr="00986BD5">
        <w:rPr>
          <w:sz w:val="18"/>
          <w:szCs w:val="18"/>
        </w:rPr>
        <w:t xml:space="preserve">Certain legal matters will be passed upon for the Underwriter by </w:t>
      </w:r>
      <w:r w:rsidR="00A50D7A">
        <w:rPr>
          <w:sz w:val="18"/>
          <w:szCs w:val="18"/>
        </w:rPr>
        <w:t>its</w:t>
      </w:r>
      <w:r w:rsidR="00C46D7B" w:rsidRPr="00986BD5">
        <w:rPr>
          <w:sz w:val="18"/>
          <w:szCs w:val="18"/>
        </w:rPr>
        <w:t xml:space="preserve"> counsel, </w:t>
      </w:r>
      <w:r w:rsidR="005E1392" w:rsidRPr="00986BD5">
        <w:rPr>
          <w:sz w:val="18"/>
          <w:szCs w:val="18"/>
        </w:rPr>
        <w:t>Hogan Lovells US LLP</w:t>
      </w:r>
      <w:r w:rsidR="009F27D6" w:rsidRPr="00986BD5">
        <w:rPr>
          <w:sz w:val="18"/>
          <w:szCs w:val="18"/>
        </w:rPr>
        <w:t>.</w:t>
      </w:r>
      <w:r w:rsidR="009F27D6" w:rsidRPr="009F27D6">
        <w:rPr>
          <w:sz w:val="18"/>
          <w:szCs w:val="18"/>
        </w:rPr>
        <w:t xml:space="preserve">  </w:t>
      </w:r>
      <w:r w:rsidRPr="009F27D6">
        <w:rPr>
          <w:sz w:val="18"/>
          <w:szCs w:val="18"/>
        </w:rPr>
        <w:t>Stifel, Nicolaus &amp; Company, Incorporated</w:t>
      </w:r>
      <w:r w:rsidR="000B736B">
        <w:rPr>
          <w:sz w:val="18"/>
          <w:szCs w:val="18"/>
        </w:rPr>
        <w:t xml:space="preserve"> </w:t>
      </w:r>
      <w:r w:rsidRPr="009F27D6">
        <w:rPr>
          <w:sz w:val="18"/>
          <w:szCs w:val="18"/>
        </w:rPr>
        <w:t xml:space="preserve">has acted as </w:t>
      </w:r>
      <w:r w:rsidR="000B736B">
        <w:rPr>
          <w:sz w:val="18"/>
          <w:szCs w:val="18"/>
        </w:rPr>
        <w:t xml:space="preserve">Municipal </w:t>
      </w:r>
      <w:r w:rsidRPr="009F27D6">
        <w:rPr>
          <w:sz w:val="18"/>
          <w:szCs w:val="18"/>
        </w:rPr>
        <w:t xml:space="preserve">Advisor to the Bridge Enterprise in connection with the issuance of the </w:t>
      </w:r>
      <w:r w:rsidR="006C3474">
        <w:rPr>
          <w:sz w:val="18"/>
          <w:szCs w:val="18"/>
        </w:rPr>
        <w:t>Series 2019A Senior Bond</w:t>
      </w:r>
      <w:r w:rsidRPr="009F27D6">
        <w:rPr>
          <w:sz w:val="18"/>
          <w:szCs w:val="18"/>
        </w:rPr>
        <w:t>s</w:t>
      </w:r>
      <w:r w:rsidR="009F27D6" w:rsidRPr="009F27D6">
        <w:rPr>
          <w:sz w:val="18"/>
          <w:szCs w:val="18"/>
        </w:rPr>
        <w:t xml:space="preserve">.  </w:t>
      </w:r>
      <w:r w:rsidRPr="009F27D6">
        <w:rPr>
          <w:sz w:val="18"/>
          <w:szCs w:val="18"/>
        </w:rPr>
        <w:t xml:space="preserve">It is expected that the </w:t>
      </w:r>
      <w:r w:rsidR="006C3474">
        <w:rPr>
          <w:sz w:val="18"/>
          <w:szCs w:val="18"/>
        </w:rPr>
        <w:t>Series 2019A Senior Bond</w:t>
      </w:r>
      <w:r w:rsidRPr="009F27D6">
        <w:rPr>
          <w:sz w:val="18"/>
          <w:szCs w:val="18"/>
        </w:rPr>
        <w:t>s in book-entry form will be available for delivery through</w:t>
      </w:r>
      <w:r w:rsidR="00861AC4">
        <w:rPr>
          <w:sz w:val="18"/>
          <w:szCs w:val="18"/>
        </w:rPr>
        <w:t xml:space="preserve"> the facilities of </w:t>
      </w:r>
      <w:r w:rsidRPr="009F27D6">
        <w:rPr>
          <w:sz w:val="18"/>
          <w:szCs w:val="18"/>
        </w:rPr>
        <w:t xml:space="preserve"> DTC on or about </w:t>
      </w:r>
      <w:r w:rsidR="00F17EA0">
        <w:rPr>
          <w:sz w:val="18"/>
          <w:szCs w:val="18"/>
        </w:rPr>
        <w:t>December 3</w:t>
      </w:r>
      <w:r w:rsidR="000B736B">
        <w:rPr>
          <w:sz w:val="18"/>
          <w:szCs w:val="18"/>
        </w:rPr>
        <w:t>, 2019</w:t>
      </w:r>
      <w:r w:rsidRPr="009F27D6">
        <w:rPr>
          <w:sz w:val="18"/>
          <w:szCs w:val="18"/>
        </w:rPr>
        <w:t>.</w:t>
      </w:r>
    </w:p>
    <w:p w:rsidR="00A85839" w:rsidRPr="00C8129A" w:rsidRDefault="00A50D7A" w:rsidP="00A50D7A">
      <w:pPr>
        <w:pStyle w:val="BodyText"/>
        <w:spacing w:after="120"/>
        <w:ind w:firstLine="0"/>
        <w:jc w:val="center"/>
        <w:rPr>
          <w:szCs w:val="22"/>
        </w:rPr>
      </w:pPr>
      <w:r w:rsidRPr="00C8129A">
        <w:rPr>
          <w:b/>
          <w:szCs w:val="22"/>
        </w:rPr>
        <w:t>Morgan Stanley</w:t>
      </w:r>
    </w:p>
    <w:p w:rsidR="002E4A0D" w:rsidRPr="003326E9" w:rsidRDefault="002E4A0D" w:rsidP="003326E9">
      <w:pPr>
        <w:pStyle w:val="BodyText"/>
        <w:tabs>
          <w:tab w:val="right" w:pos="10800"/>
        </w:tabs>
        <w:spacing w:after="0"/>
        <w:ind w:firstLine="0"/>
        <w:rPr>
          <w:b/>
          <w:sz w:val="18"/>
          <w:szCs w:val="18"/>
        </w:rPr>
      </w:pPr>
    </w:p>
    <w:p w:rsidR="002E4A0D" w:rsidRDefault="0092331F" w:rsidP="0092331F">
      <w:pPr>
        <w:pStyle w:val="BodyText"/>
        <w:spacing w:after="120"/>
        <w:ind w:firstLine="0"/>
      </w:pPr>
      <w:r>
        <w:rPr>
          <w:sz w:val="18"/>
          <w:szCs w:val="18"/>
        </w:rPr>
        <w:t>D</w:t>
      </w:r>
      <w:r w:rsidR="003326E9">
        <w:rPr>
          <w:sz w:val="18"/>
          <w:szCs w:val="18"/>
        </w:rPr>
        <w:t>ate of Official Statement</w:t>
      </w:r>
      <w:r>
        <w:rPr>
          <w:sz w:val="18"/>
          <w:szCs w:val="18"/>
        </w:rPr>
        <w:t xml:space="preserve">: </w:t>
      </w:r>
    </w:p>
    <w:p w:rsidR="00086FB4" w:rsidRDefault="00086FB4" w:rsidP="002E4A0D">
      <w:pPr>
        <w:pStyle w:val="BodyText"/>
        <w:sectPr w:rsidR="00086FB4" w:rsidSect="00F607D0">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2240" w:h="15840" w:code="1"/>
          <w:pgMar w:top="720" w:right="432" w:bottom="720" w:left="1152" w:header="720" w:footer="720" w:gutter="0"/>
          <w:cols w:space="720"/>
          <w:titlePg/>
          <w:docGrid w:linePitch="360"/>
        </w:sectPr>
      </w:pPr>
    </w:p>
    <w:p w:rsidR="000B736B" w:rsidRDefault="000B736B" w:rsidP="000B736B">
      <w:pPr>
        <w:pStyle w:val="Centered"/>
        <w:spacing w:after="480"/>
        <w:rPr>
          <w:b/>
        </w:rPr>
      </w:pPr>
      <w:r w:rsidRPr="008527B9">
        <w:rPr>
          <w:b/>
        </w:rPr>
        <w:lastRenderedPageBreak/>
        <w:t>MATURITY SCHEDULE</w:t>
      </w:r>
      <w:r w:rsidR="004B471D" w:rsidRPr="004B471D">
        <w:rPr>
          <w:b/>
          <w:vertAlign w:val="superscript"/>
        </w:rPr>
        <w:t>*</w:t>
      </w:r>
    </w:p>
    <w:p w:rsidR="007662B8" w:rsidRPr="007662B8" w:rsidRDefault="0092331F" w:rsidP="007662B8">
      <w:pPr>
        <w:pStyle w:val="Centered"/>
        <w:spacing w:after="0"/>
        <w:rPr>
          <w:b/>
        </w:rPr>
      </w:pPr>
      <w:r>
        <w:rPr>
          <w:b/>
        </w:rPr>
        <w:t>$[PAR]</w:t>
      </w:r>
      <w:r w:rsidR="000B736B">
        <w:rPr>
          <w:rStyle w:val="FootnoteReference"/>
          <w:b/>
        </w:rPr>
        <w:footnoteReference w:id="2"/>
      </w:r>
    </w:p>
    <w:p w:rsidR="007662B8" w:rsidRPr="007662B8" w:rsidRDefault="007B17F8" w:rsidP="007662B8">
      <w:pPr>
        <w:pStyle w:val="Centered"/>
        <w:spacing w:after="0"/>
        <w:rPr>
          <w:b/>
        </w:rPr>
      </w:pPr>
      <w:r w:rsidRPr="007662B8">
        <w:rPr>
          <w:b/>
        </w:rPr>
        <w:t>COLORADO BRIDGE ENTERPRISE</w:t>
      </w:r>
      <w:r w:rsidR="000B736B">
        <w:rPr>
          <w:b/>
        </w:rPr>
        <w:br/>
        <w:t xml:space="preserve">Senior </w:t>
      </w:r>
      <w:r w:rsidR="007662B8" w:rsidRPr="007662B8">
        <w:rPr>
          <w:b/>
        </w:rPr>
        <w:t xml:space="preserve">Revenue </w:t>
      </w:r>
      <w:r w:rsidR="000B736B">
        <w:rPr>
          <w:b/>
        </w:rPr>
        <w:t xml:space="preserve">Refunding </w:t>
      </w:r>
      <w:r w:rsidR="007662B8" w:rsidRPr="007662B8">
        <w:rPr>
          <w:b/>
        </w:rPr>
        <w:t>Bonds</w:t>
      </w:r>
    </w:p>
    <w:p w:rsidR="007662B8" w:rsidRPr="007662B8" w:rsidRDefault="007662B8" w:rsidP="007662B8">
      <w:pPr>
        <w:pStyle w:val="Centered"/>
        <w:rPr>
          <w:b/>
        </w:rPr>
      </w:pPr>
      <w:r w:rsidRPr="007662B8">
        <w:rPr>
          <w:b/>
        </w:rPr>
        <w:t xml:space="preserve">Series </w:t>
      </w:r>
      <w:r w:rsidR="0092331F">
        <w:rPr>
          <w:b/>
        </w:rPr>
        <w:t>2019A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1569"/>
        <w:gridCol w:w="1562"/>
        <w:gridCol w:w="1550"/>
        <w:gridCol w:w="1549"/>
        <w:gridCol w:w="1562"/>
      </w:tblGrid>
      <w:tr w:rsidR="007662B8" w:rsidRPr="00DC0CAD" w:rsidTr="00A239A3">
        <w:trPr>
          <w:trHeight w:val="953"/>
        </w:trPr>
        <w:tc>
          <w:tcPr>
            <w:tcW w:w="1568" w:type="dxa"/>
            <w:vAlign w:val="bottom"/>
          </w:tcPr>
          <w:p w:rsidR="007662B8" w:rsidRPr="00DC0CAD" w:rsidRDefault="007662B8" w:rsidP="000B736B">
            <w:pPr>
              <w:pStyle w:val="BodyText"/>
              <w:keepNext/>
              <w:pBdr>
                <w:bottom w:val="single" w:sz="4" w:space="1" w:color="auto"/>
              </w:pBdr>
              <w:spacing w:after="120"/>
              <w:ind w:firstLine="0"/>
              <w:jc w:val="center"/>
              <w:rPr>
                <w:b/>
              </w:rPr>
            </w:pPr>
            <w:r w:rsidRPr="00DC0CAD">
              <w:rPr>
                <w:b/>
              </w:rPr>
              <w:t>Maturity</w:t>
            </w:r>
            <w:r>
              <w:rPr>
                <w:b/>
              </w:rPr>
              <w:t xml:space="preserve"> </w:t>
            </w:r>
            <w:r w:rsidRPr="00DC0CAD">
              <w:rPr>
                <w:b/>
              </w:rPr>
              <w:t>Date</w:t>
            </w:r>
            <w:r>
              <w:rPr>
                <w:b/>
              </w:rPr>
              <w:t xml:space="preserve"> </w:t>
            </w:r>
            <w:r w:rsidRPr="00DC0CAD">
              <w:rPr>
                <w:b/>
              </w:rPr>
              <w:t>(</w:t>
            </w:r>
            <w:r w:rsidR="000B736B">
              <w:rPr>
                <w:b/>
              </w:rPr>
              <w:t>December 1</w:t>
            </w:r>
            <w:r w:rsidRPr="00DC0CAD">
              <w:rPr>
                <w:b/>
              </w:rPr>
              <w:t>)</w:t>
            </w:r>
          </w:p>
        </w:tc>
        <w:tc>
          <w:tcPr>
            <w:tcW w:w="1569" w:type="dxa"/>
            <w:vAlign w:val="bottom"/>
          </w:tcPr>
          <w:p w:rsidR="007662B8" w:rsidRPr="00DC0CAD" w:rsidRDefault="007662B8" w:rsidP="000B736B">
            <w:pPr>
              <w:pStyle w:val="BodyText"/>
              <w:keepNext/>
              <w:pBdr>
                <w:bottom w:val="single" w:sz="4" w:space="1" w:color="auto"/>
              </w:pBdr>
              <w:spacing w:after="120"/>
              <w:ind w:firstLine="0"/>
              <w:jc w:val="center"/>
              <w:rPr>
                <w:b/>
              </w:rPr>
            </w:pPr>
            <w:r w:rsidRPr="00DC0CAD">
              <w:rPr>
                <w:b/>
              </w:rPr>
              <w:t>Principal</w:t>
            </w:r>
            <w:r>
              <w:rPr>
                <w:b/>
              </w:rPr>
              <w:t xml:space="preserve"> </w:t>
            </w:r>
            <w:r w:rsidRPr="00DC0CAD">
              <w:rPr>
                <w:b/>
              </w:rPr>
              <w:t>Amount</w:t>
            </w:r>
          </w:p>
        </w:tc>
        <w:tc>
          <w:tcPr>
            <w:tcW w:w="1562" w:type="dxa"/>
            <w:vAlign w:val="bottom"/>
          </w:tcPr>
          <w:p w:rsidR="007662B8" w:rsidRPr="00DC0CAD" w:rsidRDefault="007662B8" w:rsidP="000B736B">
            <w:pPr>
              <w:pStyle w:val="BodyText"/>
              <w:keepNext/>
              <w:pBdr>
                <w:bottom w:val="single" w:sz="4" w:space="1" w:color="auto"/>
              </w:pBdr>
              <w:spacing w:after="120"/>
              <w:ind w:firstLine="0"/>
              <w:jc w:val="center"/>
              <w:rPr>
                <w:b/>
              </w:rPr>
            </w:pPr>
            <w:r w:rsidRPr="00DC0CAD">
              <w:rPr>
                <w:b/>
              </w:rPr>
              <w:t>Interest</w:t>
            </w:r>
            <w:r>
              <w:rPr>
                <w:b/>
              </w:rPr>
              <w:t xml:space="preserve"> </w:t>
            </w:r>
            <w:r w:rsidRPr="00DC0CAD">
              <w:rPr>
                <w:b/>
              </w:rPr>
              <w:t>Rate</w:t>
            </w:r>
          </w:p>
        </w:tc>
        <w:tc>
          <w:tcPr>
            <w:tcW w:w="1550" w:type="dxa"/>
            <w:vAlign w:val="bottom"/>
          </w:tcPr>
          <w:p w:rsidR="007662B8" w:rsidRPr="00DC0CAD" w:rsidRDefault="007662B8" w:rsidP="000B736B">
            <w:pPr>
              <w:pStyle w:val="BodyText"/>
              <w:keepNext/>
              <w:pBdr>
                <w:bottom w:val="single" w:sz="4" w:space="1" w:color="auto"/>
              </w:pBdr>
              <w:spacing w:after="120"/>
              <w:ind w:firstLine="0"/>
              <w:jc w:val="center"/>
              <w:rPr>
                <w:b/>
              </w:rPr>
            </w:pPr>
            <w:r w:rsidRPr="00DC0CAD">
              <w:rPr>
                <w:b/>
              </w:rPr>
              <w:t>Yield</w:t>
            </w:r>
          </w:p>
        </w:tc>
        <w:tc>
          <w:tcPr>
            <w:tcW w:w="1549" w:type="dxa"/>
            <w:vAlign w:val="bottom"/>
          </w:tcPr>
          <w:p w:rsidR="007662B8" w:rsidRPr="00DC0CAD" w:rsidRDefault="007662B8" w:rsidP="000B736B">
            <w:pPr>
              <w:pStyle w:val="BodyText"/>
              <w:keepNext/>
              <w:pBdr>
                <w:bottom w:val="single" w:sz="4" w:space="1" w:color="auto"/>
              </w:pBdr>
              <w:spacing w:after="120"/>
              <w:ind w:firstLine="6"/>
              <w:jc w:val="center"/>
              <w:rPr>
                <w:b/>
              </w:rPr>
            </w:pPr>
            <w:r w:rsidRPr="00DC0CAD">
              <w:rPr>
                <w:b/>
              </w:rPr>
              <w:t>Price</w:t>
            </w:r>
          </w:p>
        </w:tc>
        <w:tc>
          <w:tcPr>
            <w:tcW w:w="1562" w:type="dxa"/>
            <w:vAlign w:val="bottom"/>
          </w:tcPr>
          <w:p w:rsidR="007662B8" w:rsidRPr="00DC0CAD" w:rsidRDefault="00CC2075" w:rsidP="000B736B">
            <w:pPr>
              <w:pStyle w:val="BodyText"/>
              <w:keepNext/>
              <w:pBdr>
                <w:bottom w:val="single" w:sz="4" w:space="1" w:color="auto"/>
              </w:pBdr>
              <w:spacing w:after="120"/>
              <w:ind w:firstLine="0"/>
              <w:jc w:val="center"/>
              <w:rPr>
                <w:b/>
              </w:rPr>
            </w:pPr>
            <w:r w:rsidRPr="00D56C5F">
              <w:rPr>
                <w:b/>
                <w:szCs w:val="22"/>
              </w:rPr>
              <w:t>CUSIP</w:t>
            </w:r>
            <w:r w:rsidRPr="00D56C5F">
              <w:rPr>
                <w:b/>
                <w:szCs w:val="22"/>
              </w:rPr>
              <w:br/>
              <w:t>Numbers</w:t>
            </w:r>
            <w:r w:rsidRPr="00D56C5F">
              <w:rPr>
                <w:rStyle w:val="FootnoteReference"/>
                <w:b/>
                <w:szCs w:val="22"/>
              </w:rPr>
              <w:footnoteReference w:customMarkFollows="1" w:id="3"/>
              <w:t>†</w:t>
            </w:r>
          </w:p>
        </w:tc>
      </w:tr>
      <w:tr w:rsidR="007662B8" w:rsidRPr="00500FE1" w:rsidTr="00A239A3">
        <w:tc>
          <w:tcPr>
            <w:tcW w:w="1568" w:type="dxa"/>
          </w:tcPr>
          <w:p w:rsidR="007662B8" w:rsidRPr="00500FE1" w:rsidRDefault="007662B8" w:rsidP="00E13B81">
            <w:pPr>
              <w:pStyle w:val="BodyText"/>
              <w:keepNext/>
              <w:spacing w:after="0"/>
              <w:ind w:firstLine="0"/>
            </w:pPr>
          </w:p>
        </w:tc>
        <w:tc>
          <w:tcPr>
            <w:tcW w:w="156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c>
          <w:tcPr>
            <w:tcW w:w="1550" w:type="dxa"/>
          </w:tcPr>
          <w:p w:rsidR="007662B8" w:rsidRPr="00500FE1" w:rsidRDefault="007662B8" w:rsidP="00E13B81">
            <w:pPr>
              <w:pStyle w:val="BodyText"/>
              <w:keepNext/>
              <w:spacing w:after="0"/>
              <w:ind w:firstLine="0"/>
            </w:pPr>
          </w:p>
        </w:tc>
        <w:tc>
          <w:tcPr>
            <w:tcW w:w="154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r>
      <w:tr w:rsidR="007662B8" w:rsidRPr="00500FE1" w:rsidTr="00A239A3">
        <w:tc>
          <w:tcPr>
            <w:tcW w:w="1568" w:type="dxa"/>
          </w:tcPr>
          <w:p w:rsidR="007662B8" w:rsidRPr="00500FE1" w:rsidRDefault="007662B8" w:rsidP="00E13B81">
            <w:pPr>
              <w:pStyle w:val="BodyText"/>
              <w:keepNext/>
              <w:spacing w:after="0"/>
              <w:ind w:firstLine="0"/>
            </w:pPr>
          </w:p>
        </w:tc>
        <w:tc>
          <w:tcPr>
            <w:tcW w:w="156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c>
          <w:tcPr>
            <w:tcW w:w="1550" w:type="dxa"/>
          </w:tcPr>
          <w:p w:rsidR="007662B8" w:rsidRPr="00500FE1" w:rsidRDefault="007662B8" w:rsidP="00E13B81">
            <w:pPr>
              <w:pStyle w:val="BodyText"/>
              <w:keepNext/>
              <w:spacing w:after="0"/>
              <w:ind w:firstLine="0"/>
            </w:pPr>
          </w:p>
        </w:tc>
        <w:tc>
          <w:tcPr>
            <w:tcW w:w="154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r>
      <w:tr w:rsidR="007662B8" w:rsidRPr="00500FE1" w:rsidTr="00A239A3">
        <w:tc>
          <w:tcPr>
            <w:tcW w:w="1568" w:type="dxa"/>
          </w:tcPr>
          <w:p w:rsidR="007662B8" w:rsidRPr="00500FE1" w:rsidRDefault="007662B8" w:rsidP="00E13B81">
            <w:pPr>
              <w:pStyle w:val="BodyText"/>
              <w:keepNext/>
              <w:spacing w:after="0"/>
              <w:ind w:firstLine="0"/>
            </w:pPr>
          </w:p>
        </w:tc>
        <w:tc>
          <w:tcPr>
            <w:tcW w:w="156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c>
          <w:tcPr>
            <w:tcW w:w="1550" w:type="dxa"/>
          </w:tcPr>
          <w:p w:rsidR="007662B8" w:rsidRPr="00500FE1" w:rsidRDefault="007662B8" w:rsidP="00E13B81">
            <w:pPr>
              <w:pStyle w:val="BodyText"/>
              <w:keepNext/>
              <w:spacing w:after="0"/>
              <w:ind w:firstLine="0"/>
            </w:pPr>
          </w:p>
        </w:tc>
        <w:tc>
          <w:tcPr>
            <w:tcW w:w="154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r>
      <w:tr w:rsidR="007662B8" w:rsidRPr="00500FE1" w:rsidTr="00A239A3">
        <w:tc>
          <w:tcPr>
            <w:tcW w:w="1568" w:type="dxa"/>
          </w:tcPr>
          <w:p w:rsidR="007662B8" w:rsidRPr="00500FE1" w:rsidRDefault="007662B8" w:rsidP="00E13B81">
            <w:pPr>
              <w:pStyle w:val="BodyText"/>
              <w:keepNext/>
              <w:spacing w:after="0"/>
              <w:ind w:firstLine="0"/>
            </w:pPr>
          </w:p>
        </w:tc>
        <w:tc>
          <w:tcPr>
            <w:tcW w:w="156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c>
          <w:tcPr>
            <w:tcW w:w="1550" w:type="dxa"/>
          </w:tcPr>
          <w:p w:rsidR="007662B8" w:rsidRPr="00500FE1" w:rsidRDefault="007662B8" w:rsidP="00E13B81">
            <w:pPr>
              <w:pStyle w:val="BodyText"/>
              <w:keepNext/>
              <w:spacing w:after="0"/>
              <w:ind w:firstLine="0"/>
            </w:pPr>
          </w:p>
        </w:tc>
        <w:tc>
          <w:tcPr>
            <w:tcW w:w="154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r>
      <w:tr w:rsidR="007662B8" w:rsidRPr="00500FE1" w:rsidTr="00A239A3">
        <w:tc>
          <w:tcPr>
            <w:tcW w:w="1568" w:type="dxa"/>
          </w:tcPr>
          <w:p w:rsidR="007662B8" w:rsidRPr="00500FE1" w:rsidRDefault="007662B8" w:rsidP="00E13B81">
            <w:pPr>
              <w:pStyle w:val="BodyText"/>
              <w:keepNext/>
              <w:spacing w:after="0"/>
              <w:ind w:firstLine="0"/>
            </w:pPr>
          </w:p>
        </w:tc>
        <w:tc>
          <w:tcPr>
            <w:tcW w:w="156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c>
          <w:tcPr>
            <w:tcW w:w="1550" w:type="dxa"/>
          </w:tcPr>
          <w:p w:rsidR="007662B8" w:rsidRPr="00500FE1" w:rsidRDefault="007662B8" w:rsidP="00E13B81">
            <w:pPr>
              <w:pStyle w:val="BodyText"/>
              <w:keepNext/>
              <w:spacing w:after="0"/>
              <w:ind w:firstLine="0"/>
            </w:pPr>
          </w:p>
        </w:tc>
        <w:tc>
          <w:tcPr>
            <w:tcW w:w="154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r>
      <w:tr w:rsidR="007662B8" w:rsidRPr="00500FE1" w:rsidTr="00A239A3">
        <w:tc>
          <w:tcPr>
            <w:tcW w:w="1568" w:type="dxa"/>
          </w:tcPr>
          <w:p w:rsidR="007662B8" w:rsidRPr="00500FE1" w:rsidRDefault="007662B8" w:rsidP="00E13B81">
            <w:pPr>
              <w:pStyle w:val="BodyText"/>
              <w:keepNext/>
              <w:spacing w:after="0"/>
              <w:ind w:firstLine="0"/>
            </w:pPr>
          </w:p>
        </w:tc>
        <w:tc>
          <w:tcPr>
            <w:tcW w:w="156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c>
          <w:tcPr>
            <w:tcW w:w="1550" w:type="dxa"/>
          </w:tcPr>
          <w:p w:rsidR="007662B8" w:rsidRPr="00500FE1" w:rsidRDefault="007662B8" w:rsidP="00E13B81">
            <w:pPr>
              <w:pStyle w:val="BodyText"/>
              <w:keepNext/>
              <w:spacing w:after="0"/>
              <w:ind w:firstLine="0"/>
            </w:pPr>
          </w:p>
        </w:tc>
        <w:tc>
          <w:tcPr>
            <w:tcW w:w="1549" w:type="dxa"/>
          </w:tcPr>
          <w:p w:rsidR="007662B8" w:rsidRPr="00500FE1" w:rsidRDefault="007662B8" w:rsidP="00E13B81">
            <w:pPr>
              <w:pStyle w:val="BodyText"/>
              <w:keepNext/>
              <w:spacing w:after="0"/>
              <w:ind w:firstLine="0"/>
            </w:pPr>
          </w:p>
        </w:tc>
        <w:tc>
          <w:tcPr>
            <w:tcW w:w="1562" w:type="dxa"/>
          </w:tcPr>
          <w:p w:rsidR="007662B8" w:rsidRPr="00500FE1" w:rsidRDefault="007662B8" w:rsidP="00E13B81">
            <w:pPr>
              <w:pStyle w:val="BodyText"/>
              <w:keepNext/>
              <w:spacing w:after="0"/>
              <w:ind w:firstLine="0"/>
            </w:pPr>
          </w:p>
        </w:tc>
      </w:tr>
    </w:tbl>
    <w:p w:rsidR="007662B8" w:rsidRDefault="007662B8" w:rsidP="007662B8"/>
    <w:p w:rsidR="00CC105A" w:rsidRDefault="00CC105A" w:rsidP="007662B8"/>
    <w:p w:rsidR="00CC105A" w:rsidRDefault="00CC105A" w:rsidP="007662B8"/>
    <w:p w:rsidR="00A50D7A" w:rsidRDefault="00A50D7A" w:rsidP="007662B8"/>
    <w:p w:rsidR="00A50D7A" w:rsidRDefault="00A50D7A" w:rsidP="007662B8"/>
    <w:p w:rsidR="00A50D7A" w:rsidRDefault="00A50D7A" w:rsidP="007662B8"/>
    <w:p w:rsidR="00A50D7A" w:rsidRDefault="00A50D7A" w:rsidP="007662B8"/>
    <w:p w:rsidR="00861AC4" w:rsidRDefault="00861AC4" w:rsidP="007662B8"/>
    <w:p w:rsidR="00861AC4" w:rsidRDefault="00861AC4" w:rsidP="007662B8"/>
    <w:p w:rsidR="00861AC4" w:rsidRDefault="00861AC4" w:rsidP="007662B8"/>
    <w:p w:rsidR="00861AC4" w:rsidRDefault="00861AC4" w:rsidP="007662B8"/>
    <w:p w:rsidR="00861AC4" w:rsidRPr="007662B8" w:rsidRDefault="00861AC4" w:rsidP="007662B8">
      <w:r w:rsidRPr="00260A2C">
        <w:rPr>
          <w:sz w:val="20"/>
        </w:rPr>
        <w:t xml:space="preserve">THE PRICES AT WHICH THE </w:t>
      </w:r>
      <w:r w:rsidR="006C3474">
        <w:rPr>
          <w:sz w:val="20"/>
        </w:rPr>
        <w:t>SERIES 2019A SENIOR BOND</w:t>
      </w:r>
      <w:r>
        <w:rPr>
          <w:sz w:val="20"/>
        </w:rPr>
        <w:t xml:space="preserve">S </w:t>
      </w:r>
      <w:r w:rsidRPr="00260A2C">
        <w:rPr>
          <w:sz w:val="20"/>
        </w:rPr>
        <w:t xml:space="preserve">ARE OFFERED TO THE PUBLIC BY THE UNDERWRITER (AND THE YIELDS RESULTING THEREFROM) MAY VARY FROM THE INITIAL PUBLIC OFFERING PRICES OR YIELDS APPEARING ABOVE.  IN ADDITION, THE UNDERWRITER MAY ALLOW CONCESSIONS OR DISCOUNTS FROM SUCH INITIAL PUBLIC OFFERING PRICES TO DEALERS AND OTHERS.  IN ORDER TO FACILITATE DISTRIBUTION OF THE </w:t>
      </w:r>
      <w:r w:rsidR="006C3474">
        <w:rPr>
          <w:sz w:val="20"/>
        </w:rPr>
        <w:t>SERIES 2019A SENIOR BOND</w:t>
      </w:r>
      <w:r>
        <w:rPr>
          <w:sz w:val="20"/>
        </w:rPr>
        <w:t>S</w:t>
      </w:r>
      <w:r w:rsidRPr="00260A2C">
        <w:rPr>
          <w:sz w:val="20"/>
        </w:rPr>
        <w:t xml:space="preserve">, THE UNDERWRITER MAY ENGAGE IN TRANSACTIONS INTENDED TO STABILIZE THE PRICE OF THE </w:t>
      </w:r>
      <w:r w:rsidR="006C3474">
        <w:rPr>
          <w:sz w:val="20"/>
        </w:rPr>
        <w:t>SERIES 2019A SENIOR BOND</w:t>
      </w:r>
      <w:r>
        <w:rPr>
          <w:sz w:val="20"/>
        </w:rPr>
        <w:t>S A</w:t>
      </w:r>
      <w:r w:rsidRPr="00260A2C">
        <w:rPr>
          <w:sz w:val="20"/>
        </w:rPr>
        <w:t>T A LEVEL ABOVE THAT WHICH MIGHT OTHERWISE PREVAIL IN THE OPEN MARKET.  SUCH STABILIZING, IF COMMENCED, MAY BE DISCONTINUED AT ANY TIME.</w:t>
      </w:r>
    </w:p>
    <w:p w:rsidR="002E4A0D" w:rsidRDefault="002E4A0D" w:rsidP="002E4A0D">
      <w:pPr>
        <w:pStyle w:val="BodyText"/>
      </w:pPr>
    </w:p>
    <w:p w:rsidR="00086FB4" w:rsidRDefault="00086FB4" w:rsidP="002E4A0D">
      <w:pPr>
        <w:pStyle w:val="BodyText"/>
        <w:sectPr w:rsidR="00086FB4" w:rsidSect="002E4A0D">
          <w:headerReference w:type="even" r:id="rId14"/>
          <w:headerReference w:type="default" r:id="rId15"/>
          <w:footerReference w:type="even" r:id="rId16"/>
          <w:footerReference w:type="default" r:id="rId17"/>
          <w:headerReference w:type="first" r:id="rId18"/>
          <w:footerReference w:type="first" r:id="rId19"/>
          <w:footnotePr>
            <w:numFmt w:val="chicago"/>
            <w:numRestart w:val="eachPage"/>
          </w:footnotePr>
          <w:pgSz w:w="12240" w:h="15840" w:code="1"/>
          <w:pgMar w:top="1440" w:right="1440" w:bottom="1440" w:left="1440" w:header="720" w:footer="720" w:gutter="0"/>
          <w:cols w:space="720"/>
          <w:titlePg/>
          <w:docGrid w:linePitch="360"/>
        </w:sectPr>
      </w:pPr>
    </w:p>
    <w:p w:rsidR="000934D5" w:rsidRPr="00246493" w:rsidRDefault="002E4A0D" w:rsidP="00862C4E">
      <w:pPr>
        <w:pStyle w:val="BodyText"/>
        <w:spacing w:after="120"/>
        <w:rPr>
          <w:szCs w:val="22"/>
        </w:rPr>
      </w:pPr>
      <w:r w:rsidRPr="00246493">
        <w:rPr>
          <w:szCs w:val="22"/>
        </w:rPr>
        <w:lastRenderedPageBreak/>
        <w:t xml:space="preserve">No dealer, broker, or other person has been authorized by the Bridge Enterprise, CDOT, the State, or the Underwriter to give any information or to make any representation in connection with the offering of the </w:t>
      </w:r>
      <w:r w:rsidR="006C3474" w:rsidRPr="00246493">
        <w:rPr>
          <w:szCs w:val="22"/>
        </w:rPr>
        <w:t>Series 2019A Senior Bond</w:t>
      </w:r>
      <w:r w:rsidRPr="00246493">
        <w:rPr>
          <w:szCs w:val="22"/>
        </w:rPr>
        <w:t>s, other than the information and representations contained in this Official Statement and, if given or made, such information or representation must not be relied upon as having been authorized by the Bridge Enterprise</w:t>
      </w:r>
      <w:r w:rsidR="00DE0AAA" w:rsidRPr="00246493">
        <w:rPr>
          <w:szCs w:val="22"/>
        </w:rPr>
        <w:t>, CDOT, the State</w:t>
      </w:r>
      <w:r w:rsidRPr="00246493">
        <w:rPr>
          <w:szCs w:val="22"/>
        </w:rPr>
        <w:t xml:space="preserve"> or the Underwriter</w:t>
      </w:r>
      <w:r w:rsidR="009F27D6" w:rsidRPr="00246493">
        <w:rPr>
          <w:szCs w:val="22"/>
        </w:rPr>
        <w:t xml:space="preserve">.  </w:t>
      </w:r>
    </w:p>
    <w:p w:rsidR="002E4A0D" w:rsidRPr="00246493" w:rsidRDefault="002E4A0D" w:rsidP="00862C4E">
      <w:pPr>
        <w:pStyle w:val="BodyText"/>
        <w:spacing w:after="120"/>
        <w:rPr>
          <w:szCs w:val="22"/>
        </w:rPr>
      </w:pPr>
      <w:r w:rsidRPr="00246493">
        <w:rPr>
          <w:szCs w:val="22"/>
        </w:rPr>
        <w:t xml:space="preserve">This Official Statement does not constitute an offer to sell or the solicitation of an offer to buy the </w:t>
      </w:r>
      <w:r w:rsidR="006C3474" w:rsidRPr="00246493">
        <w:rPr>
          <w:szCs w:val="22"/>
        </w:rPr>
        <w:t>Series 2019A Senior Bond</w:t>
      </w:r>
      <w:r w:rsidRPr="00246493">
        <w:rPr>
          <w:szCs w:val="22"/>
        </w:rPr>
        <w:t>s by any person, in any jurisdiction in which it is unlawful for such person to make such offer, solicitation, or sale</w:t>
      </w:r>
      <w:r w:rsidR="009F27D6" w:rsidRPr="00246493">
        <w:rPr>
          <w:szCs w:val="22"/>
        </w:rPr>
        <w:t xml:space="preserve">.  </w:t>
      </w:r>
      <w:r w:rsidRPr="00246493">
        <w:rPr>
          <w:szCs w:val="22"/>
        </w:rPr>
        <w:t>The information, estimates, and expressions of opinion herein are subject to change without notice, and neither the delivery of this Official Statement nor any sale made hereunder shall, under any circumstances, create any implication that there has been no change in the affairs of the Bridge Enterprise since the date hereof</w:t>
      </w:r>
      <w:r w:rsidR="009F27D6" w:rsidRPr="00246493">
        <w:rPr>
          <w:szCs w:val="22"/>
        </w:rPr>
        <w:t xml:space="preserve">.  </w:t>
      </w:r>
      <w:r w:rsidRPr="00246493">
        <w:rPr>
          <w:szCs w:val="22"/>
        </w:rPr>
        <w:t>The information set forth herein concerning the Bridge Enterprise, CDOT and the State has been obtained from the Bridge Enterprise, CDOT and the State, respectively</w:t>
      </w:r>
      <w:r w:rsidR="009F27D6" w:rsidRPr="00246493">
        <w:rPr>
          <w:szCs w:val="22"/>
        </w:rPr>
        <w:t xml:space="preserve">.  </w:t>
      </w:r>
      <w:r w:rsidRPr="00246493">
        <w:rPr>
          <w:szCs w:val="22"/>
        </w:rPr>
        <w:t xml:space="preserve">This Official Statement does not constitute a contract between the Bridge Enterprise or the Underwriter and any one or more of the purchasers or registered owners of the </w:t>
      </w:r>
      <w:r w:rsidR="006C3474" w:rsidRPr="00246493">
        <w:rPr>
          <w:szCs w:val="22"/>
        </w:rPr>
        <w:t>Series 2019A Senior Bond</w:t>
      </w:r>
      <w:r w:rsidRPr="00246493">
        <w:rPr>
          <w:szCs w:val="22"/>
        </w:rPr>
        <w:t>s.</w:t>
      </w:r>
    </w:p>
    <w:p w:rsidR="002E4A0D" w:rsidRPr="00246493" w:rsidRDefault="002E4A0D" w:rsidP="00862C4E">
      <w:pPr>
        <w:pStyle w:val="BodyText"/>
        <w:spacing w:after="120"/>
        <w:rPr>
          <w:szCs w:val="22"/>
        </w:rPr>
      </w:pPr>
      <w:r w:rsidRPr="00246493">
        <w:rPr>
          <w:szCs w:val="22"/>
        </w:rPr>
        <w:t>The Underwriter h</w:t>
      </w:r>
      <w:r w:rsidR="00A50D7A">
        <w:rPr>
          <w:szCs w:val="22"/>
        </w:rPr>
        <w:t>as</w:t>
      </w:r>
      <w:r w:rsidRPr="00246493">
        <w:rPr>
          <w:szCs w:val="22"/>
        </w:rPr>
        <w:t xml:space="preserve"> provided the following sentence for inclusion in this Official Statement</w:t>
      </w:r>
      <w:r w:rsidR="009F27D6" w:rsidRPr="00246493">
        <w:rPr>
          <w:szCs w:val="22"/>
        </w:rPr>
        <w:t xml:space="preserve">.  </w:t>
      </w:r>
      <w:r w:rsidRPr="00246493">
        <w:rPr>
          <w:szCs w:val="22"/>
        </w:rPr>
        <w:t>The Underwriter</w:t>
      </w:r>
      <w:r w:rsidR="00A50D7A">
        <w:rPr>
          <w:szCs w:val="22"/>
        </w:rPr>
        <w:t xml:space="preserve"> ha</w:t>
      </w:r>
      <w:r w:rsidRPr="00246493">
        <w:rPr>
          <w:szCs w:val="22"/>
        </w:rPr>
        <w:t xml:space="preserve">s reviewed the information in this Official Statement in accordance with, and as part of, </w:t>
      </w:r>
      <w:r w:rsidR="00A50D7A">
        <w:rPr>
          <w:szCs w:val="22"/>
        </w:rPr>
        <w:t>its</w:t>
      </w:r>
      <w:r w:rsidRPr="00246493">
        <w:rPr>
          <w:szCs w:val="22"/>
        </w:rPr>
        <w:t xml:space="preserve"> responsibilities under the federal securities laws as applied to the facts and circumstances of this transaction, but the Underwriter do</w:t>
      </w:r>
      <w:r w:rsidR="00A50D7A">
        <w:rPr>
          <w:szCs w:val="22"/>
        </w:rPr>
        <w:t>es</w:t>
      </w:r>
      <w:r w:rsidRPr="00246493">
        <w:rPr>
          <w:szCs w:val="22"/>
        </w:rPr>
        <w:t xml:space="preserve"> not guarantee the accuracy or completeness of such information.</w:t>
      </w:r>
    </w:p>
    <w:p w:rsidR="00246493" w:rsidRDefault="002E4A0D" w:rsidP="00862C4E">
      <w:pPr>
        <w:pStyle w:val="BodyText"/>
        <w:rPr>
          <w:szCs w:val="22"/>
        </w:rPr>
      </w:pPr>
      <w:r w:rsidRPr="00246493">
        <w:rPr>
          <w:szCs w:val="22"/>
        </w:rPr>
        <w:t xml:space="preserve">THE </w:t>
      </w:r>
      <w:r w:rsidR="006C3474" w:rsidRPr="00246493">
        <w:rPr>
          <w:szCs w:val="22"/>
        </w:rPr>
        <w:t>SERIES 2019A SENIOR BOND</w:t>
      </w:r>
      <w:r w:rsidRPr="00246493">
        <w:rPr>
          <w:szCs w:val="22"/>
        </w:rPr>
        <w:t>S HAVE NOT BEEN REGISTERED WITH THE SECURITIES AND EXCHANGE COMMISSION</w:t>
      </w:r>
      <w:r w:rsidR="009F27D6" w:rsidRPr="00246493">
        <w:rPr>
          <w:szCs w:val="22"/>
        </w:rPr>
        <w:t xml:space="preserve">.  </w:t>
      </w:r>
      <w:r w:rsidRPr="00246493">
        <w:rPr>
          <w:szCs w:val="22"/>
        </w:rPr>
        <w:t xml:space="preserve">THE REGISTRATION, QUALIFICATION, OR EXEMPTION OF THE </w:t>
      </w:r>
      <w:r w:rsidR="006C3474" w:rsidRPr="00246493">
        <w:rPr>
          <w:szCs w:val="22"/>
        </w:rPr>
        <w:t>SERIES 2019A SENIOR BOND</w:t>
      </w:r>
      <w:r w:rsidRPr="00246493">
        <w:rPr>
          <w:szCs w:val="22"/>
        </w:rPr>
        <w:t>S IN ACCORDANCE WITH THE APPLICABLE SECURITIES LAW PROVISIONS OF THE JURISDICTIONS IN WHICH THESE SECURITIES HAVE BEEN REGISTERED, QUALIFIED, OR EXEMPTED SHOULD NOT BE REGARDED AS A RECOMMENDATION THEREOF</w:t>
      </w:r>
      <w:r w:rsidR="009F27D6" w:rsidRPr="00246493">
        <w:rPr>
          <w:szCs w:val="22"/>
        </w:rPr>
        <w:t xml:space="preserve">.  </w:t>
      </w:r>
      <w:r w:rsidRPr="00246493">
        <w:rPr>
          <w:szCs w:val="22"/>
        </w:rPr>
        <w:t xml:space="preserve">NEITHER THESE JURISDICTIONS NOR ANY OF THEIR AGENCIES HAVE GUARANTEED OR PASSED UPON THE SAFETY OF THE </w:t>
      </w:r>
      <w:r w:rsidR="006C3474" w:rsidRPr="00246493">
        <w:rPr>
          <w:szCs w:val="22"/>
        </w:rPr>
        <w:t>SERIES 2019A SENIOR BOND</w:t>
      </w:r>
      <w:r w:rsidRPr="00246493">
        <w:rPr>
          <w:szCs w:val="22"/>
        </w:rPr>
        <w:t>S AS AN INVESTMENT, UPON THE PROBABILITY OF ANY EARNINGS THEREON OR UPON THE ACCURACY OR ADEQUACY OF THIS OFFICIAL STATEMENT.</w:t>
      </w:r>
      <w:r w:rsidR="00246493">
        <w:rPr>
          <w:szCs w:val="22"/>
        </w:rPr>
        <w:t xml:space="preserve">  </w:t>
      </w:r>
    </w:p>
    <w:p w:rsidR="002E4A0D" w:rsidRPr="00246493" w:rsidRDefault="00246493" w:rsidP="00862C4E">
      <w:pPr>
        <w:pStyle w:val="BodyText"/>
        <w:rPr>
          <w:szCs w:val="22"/>
        </w:rPr>
      </w:pPr>
      <w:r w:rsidRPr="00246493">
        <w:rPr>
          <w:szCs w:val="22"/>
        </w:rPr>
        <w:t xml:space="preserve">THE INDENTURE HAS NOT BEEN QUALIFIED UNDER THE TRUST INDENTURE ACT OF 1939, AS AMENDED, IN RELIANCE UPON AN EXEMPTION CONTAINED THEREIN.  </w:t>
      </w:r>
    </w:p>
    <w:p w:rsidR="00473F06" w:rsidRPr="00246493" w:rsidRDefault="00473F06" w:rsidP="00473F06">
      <w:pPr>
        <w:pStyle w:val="BodyText"/>
        <w:spacing w:after="120"/>
        <w:rPr>
          <w:szCs w:val="22"/>
        </w:rPr>
      </w:pPr>
      <w:r w:rsidRPr="00246493">
        <w:rPr>
          <w:szCs w:val="22"/>
        </w:rPr>
        <w:t xml:space="preserve">The Trustee has not participated in the preparation of this Official Statement or any other disclosure documents relating to the </w:t>
      </w:r>
      <w:r w:rsidR="006C3474" w:rsidRPr="00246493">
        <w:rPr>
          <w:szCs w:val="22"/>
        </w:rPr>
        <w:t>Series 2019A Senior Bond</w:t>
      </w:r>
      <w:r w:rsidRPr="00246493">
        <w:rPr>
          <w:szCs w:val="22"/>
        </w:rPr>
        <w:t>s and does not have or assume any responsibility as to the accuracy or completeness of any information contained in this Official Statement or any other such disclosure documents.</w:t>
      </w:r>
    </w:p>
    <w:p w:rsidR="00473F06" w:rsidRPr="00246493" w:rsidRDefault="00473F06" w:rsidP="00473F06">
      <w:pPr>
        <w:pStyle w:val="BodyText"/>
        <w:spacing w:after="0"/>
        <w:ind w:firstLine="0"/>
        <w:jc w:val="center"/>
        <w:rPr>
          <w:szCs w:val="22"/>
        </w:rPr>
      </w:pP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rPr>
        <w:br/>
        <w:t>CAUTIONARY STATEMENTS REGARDING</w:t>
      </w:r>
    </w:p>
    <w:p w:rsidR="00473F06" w:rsidRPr="00246493" w:rsidRDefault="00473F06" w:rsidP="00473F06">
      <w:pPr>
        <w:pStyle w:val="BodyText"/>
        <w:spacing w:after="0"/>
        <w:ind w:firstLine="0"/>
        <w:jc w:val="center"/>
        <w:rPr>
          <w:szCs w:val="22"/>
        </w:rPr>
      </w:pPr>
      <w:r w:rsidRPr="00246493">
        <w:rPr>
          <w:szCs w:val="22"/>
        </w:rPr>
        <w:t>PROJECTIONS, ESTIMATES AND OTHER FORWARD</w:t>
      </w:r>
    </w:p>
    <w:p w:rsidR="00473F06" w:rsidRPr="00246493" w:rsidRDefault="00473F06" w:rsidP="00473F06">
      <w:pPr>
        <w:pStyle w:val="BodyText"/>
        <w:ind w:firstLine="0"/>
        <w:jc w:val="center"/>
        <w:rPr>
          <w:szCs w:val="22"/>
          <w:u w:val="single"/>
        </w:rPr>
      </w:pPr>
      <w:r w:rsidRPr="00246493">
        <w:rPr>
          <w:szCs w:val="22"/>
        </w:rPr>
        <w:t>LOOKING STATEMENTS IN THIS OFFICIAL STATEMENT</w:t>
      </w:r>
      <w:r w:rsidRPr="00246493">
        <w:rPr>
          <w:szCs w:val="22"/>
        </w:rPr>
        <w:br/>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r w:rsidRPr="00246493">
        <w:rPr>
          <w:szCs w:val="22"/>
          <w:u w:val="single"/>
        </w:rPr>
        <w:tab/>
      </w:r>
    </w:p>
    <w:p w:rsidR="00246493" w:rsidRPr="00246493" w:rsidRDefault="00246493" w:rsidP="00246493">
      <w:pPr>
        <w:pStyle w:val="BodyText"/>
        <w:spacing w:after="120"/>
        <w:rPr>
          <w:szCs w:val="22"/>
        </w:rPr>
      </w:pPr>
      <w:r w:rsidRPr="00246493">
        <w:rPr>
          <w:szCs w:val="22"/>
        </w:rPr>
        <w:t xml:space="preserve">The statements contained in this Official Statement that are not purely historical, are forward-looking statements, including statements regarding the </w:t>
      </w:r>
      <w:r>
        <w:rPr>
          <w:szCs w:val="22"/>
        </w:rPr>
        <w:t>Bridge Enterprise</w:t>
      </w:r>
      <w:r w:rsidRPr="00246493">
        <w:rPr>
          <w:szCs w:val="22"/>
        </w:rPr>
        <w:t xml:space="preserve">’s expectations, hopes, intentions or strategies regarding the future.  Such statements are generally identifiable by the terminology used such as “plan,” “expect,” “estimate,” “budget,” “project,” “forecast,” “will likely result,” “are expected to,” “will continue,” “is anticipated,” “intend” or other similar words.  Prospective investors should not place undue reliance on forward-looking statements.  All forward-looking statements included in this Official Statement are based on information available to the </w:t>
      </w:r>
      <w:r>
        <w:rPr>
          <w:szCs w:val="22"/>
        </w:rPr>
        <w:t>Bridge Enterprise</w:t>
      </w:r>
      <w:r w:rsidRPr="00246493">
        <w:rPr>
          <w:szCs w:val="22"/>
        </w:rPr>
        <w:t xml:space="preserve"> on the date hereof, and the </w:t>
      </w:r>
      <w:r>
        <w:rPr>
          <w:szCs w:val="22"/>
        </w:rPr>
        <w:t>Bridge Enterprise</w:t>
      </w:r>
      <w:r w:rsidRPr="00246493">
        <w:rPr>
          <w:szCs w:val="22"/>
        </w:rPr>
        <w:t xml:space="preserve"> </w:t>
      </w:r>
      <w:r w:rsidRPr="00246493">
        <w:rPr>
          <w:szCs w:val="22"/>
        </w:rPr>
        <w:lastRenderedPageBreak/>
        <w:t xml:space="preserve">assumes no obligation to update any such forward-looking statements.  It is important to note that the </w:t>
      </w:r>
      <w:r>
        <w:rPr>
          <w:szCs w:val="22"/>
        </w:rPr>
        <w:t>Bridge Enterprise</w:t>
      </w:r>
      <w:r w:rsidRPr="00246493">
        <w:rPr>
          <w:szCs w:val="22"/>
        </w:rPr>
        <w:t>’s actual financial and operating results likely will differ, and could differ materially, from those in such forward-looking statements.</w:t>
      </w:r>
    </w:p>
    <w:p w:rsidR="002E4A0D" w:rsidRPr="00246493" w:rsidRDefault="00246493" w:rsidP="00246493">
      <w:pPr>
        <w:pStyle w:val="BodyText"/>
        <w:spacing w:after="120"/>
        <w:rPr>
          <w:szCs w:val="22"/>
        </w:rPr>
      </w:pPr>
      <w:r w:rsidRPr="00246493">
        <w:rPr>
          <w:szCs w:val="22"/>
        </w:rPr>
        <w:t xml:space="preserve">The forward-looking statements herein are based on various assumptions and estimates and are inherently subject to various risks and uncertainties, including risks and uncertainties relating to the possible invalidity of the underlying assumptions and estimates and possible changes or developments in social, economic, business, industry, market, legal and regulatory circumstances and conditions and actions taken or omitted to be taken by third parties, including airlines, customers, suppliers and competitors, among others, and legislative, judicial and other governmental authorities and officials.  Assumptions related to the foregoing involve judgments with respect to, among other things, future economic, competitive and market conditions and future business decisions, all of which are difficult or impossible to predict accurately and many of which are beyond the control of the </w:t>
      </w:r>
      <w:r>
        <w:rPr>
          <w:szCs w:val="22"/>
        </w:rPr>
        <w:t>Bridge Enterprise</w:t>
      </w:r>
      <w:r w:rsidRPr="00246493">
        <w:rPr>
          <w:szCs w:val="22"/>
        </w:rPr>
        <w:t>.  Any such assumptions could be inaccurate and, therefore, there can be no assurance that the forward-looking statements included in this Official Statement will prove to be accurate.</w:t>
      </w:r>
    </w:p>
    <w:p w:rsidR="002E4A0D" w:rsidRDefault="002E4A0D" w:rsidP="002E4A0D">
      <w:pPr>
        <w:pStyle w:val="BodyText"/>
      </w:pPr>
    </w:p>
    <w:p w:rsidR="00086FB4" w:rsidRDefault="00086FB4" w:rsidP="00086FB4">
      <w:pPr>
        <w:sectPr w:rsidR="00086FB4" w:rsidSect="00A239A3">
          <w:headerReference w:type="even" r:id="rId20"/>
          <w:headerReference w:type="default" r:id="rId21"/>
          <w:footerReference w:type="even" r:id="rId22"/>
          <w:footerReference w:type="default" r:id="rId23"/>
          <w:headerReference w:type="first" r:id="rId24"/>
          <w:footerReference w:type="first" r:id="rId25"/>
          <w:footnotePr>
            <w:numFmt w:val="chicago"/>
            <w:numRestart w:val="eachPage"/>
          </w:footnotePr>
          <w:pgSz w:w="12240" w:h="15840" w:code="1"/>
          <w:pgMar w:top="1440" w:right="1440" w:bottom="1440" w:left="1440" w:header="720" w:footer="720" w:gutter="0"/>
          <w:pgNumType w:fmt="lowerRoman" w:start="1"/>
          <w:cols w:space="720"/>
          <w:titlePg/>
          <w:docGrid w:linePitch="360"/>
        </w:sectPr>
      </w:pPr>
    </w:p>
    <w:p w:rsidR="00A44CD9" w:rsidRPr="00A44CD9" w:rsidRDefault="00A44CD9" w:rsidP="00A44CD9">
      <w:pPr>
        <w:pStyle w:val="TOC1"/>
        <w:rPr>
          <w:rFonts w:eastAsiaTheme="minorEastAsia"/>
          <w:sz w:val="16"/>
          <w:szCs w:val="16"/>
        </w:rPr>
      </w:pPr>
      <w:bookmarkStart w:id="9" w:name="mpTableOfContents"/>
      <w:r w:rsidRPr="00A44CD9">
        <w:rPr>
          <w:sz w:val="16"/>
          <w:szCs w:val="16"/>
        </w:rPr>
        <w:lastRenderedPageBreak/>
        <w:t>INTRODUCTION</w:t>
      </w:r>
      <w:r w:rsidRPr="00A44CD9">
        <w:rPr>
          <w:sz w:val="16"/>
          <w:szCs w:val="16"/>
        </w:rPr>
        <w:tab/>
        <w:t>1</w:t>
      </w:r>
    </w:p>
    <w:p w:rsidR="00A44CD9" w:rsidRPr="00A44CD9" w:rsidRDefault="00A44CD9" w:rsidP="00A44CD9">
      <w:pPr>
        <w:pStyle w:val="TOC2"/>
        <w:rPr>
          <w:rFonts w:eastAsiaTheme="minorEastAsia"/>
          <w:szCs w:val="16"/>
        </w:rPr>
      </w:pPr>
      <w:r w:rsidRPr="00A44CD9">
        <w:rPr>
          <w:szCs w:val="16"/>
        </w:rPr>
        <w:t>General</w:t>
      </w:r>
      <w:r w:rsidRPr="00A44CD9">
        <w:rPr>
          <w:szCs w:val="16"/>
        </w:rPr>
        <w:tab/>
        <w:t>1</w:t>
      </w:r>
    </w:p>
    <w:p w:rsidR="00A44CD9" w:rsidRPr="00A44CD9" w:rsidRDefault="00A44CD9" w:rsidP="00A44CD9">
      <w:pPr>
        <w:pStyle w:val="TOC2"/>
        <w:rPr>
          <w:rFonts w:eastAsiaTheme="minorEastAsia"/>
          <w:szCs w:val="16"/>
        </w:rPr>
      </w:pPr>
      <w:r w:rsidRPr="00A44CD9">
        <w:rPr>
          <w:szCs w:val="16"/>
        </w:rPr>
        <w:t>Purpose of Issuance of Series 2019A Senior Bonds</w:t>
      </w:r>
      <w:r w:rsidRPr="00A44CD9">
        <w:rPr>
          <w:szCs w:val="16"/>
        </w:rPr>
        <w:tab/>
        <w:t>1</w:t>
      </w:r>
    </w:p>
    <w:p w:rsidR="00A44CD9" w:rsidRPr="00A44CD9" w:rsidRDefault="00A44CD9" w:rsidP="00A44CD9">
      <w:pPr>
        <w:pStyle w:val="TOC2"/>
        <w:rPr>
          <w:rFonts w:eastAsiaTheme="minorEastAsia"/>
          <w:szCs w:val="16"/>
        </w:rPr>
      </w:pPr>
      <w:r w:rsidRPr="00A44CD9">
        <w:rPr>
          <w:szCs w:val="16"/>
        </w:rPr>
        <w:t>Bridge Enterprise</w:t>
      </w:r>
      <w:r w:rsidRPr="00A44CD9">
        <w:rPr>
          <w:szCs w:val="16"/>
        </w:rPr>
        <w:tab/>
        <w:t>1</w:t>
      </w:r>
    </w:p>
    <w:p w:rsidR="00A44CD9" w:rsidRPr="00A44CD9" w:rsidRDefault="00A44CD9" w:rsidP="00A44CD9">
      <w:pPr>
        <w:pStyle w:val="TOC2"/>
        <w:rPr>
          <w:rFonts w:eastAsiaTheme="minorEastAsia"/>
          <w:szCs w:val="16"/>
        </w:rPr>
      </w:pPr>
      <w:r w:rsidRPr="00A44CD9">
        <w:rPr>
          <w:szCs w:val="16"/>
        </w:rPr>
        <w:t>CDOT</w:t>
      </w:r>
      <w:r w:rsidRPr="00A44CD9">
        <w:rPr>
          <w:szCs w:val="16"/>
        </w:rPr>
        <w:tab/>
        <w:t>2</w:t>
      </w:r>
    </w:p>
    <w:p w:rsidR="00A44CD9" w:rsidRPr="00A44CD9" w:rsidRDefault="00A44CD9" w:rsidP="00A44CD9">
      <w:pPr>
        <w:pStyle w:val="TOC2"/>
        <w:rPr>
          <w:rFonts w:eastAsiaTheme="minorEastAsia"/>
          <w:szCs w:val="16"/>
        </w:rPr>
      </w:pPr>
      <w:r w:rsidRPr="00A44CD9">
        <w:rPr>
          <w:szCs w:val="16"/>
        </w:rPr>
        <w:t>Security and Sources of Payment for the Series 2019A Senior Bonds</w:t>
      </w:r>
      <w:r w:rsidRPr="00A44CD9">
        <w:rPr>
          <w:szCs w:val="16"/>
        </w:rPr>
        <w:tab/>
        <w:t>2</w:t>
      </w:r>
    </w:p>
    <w:p w:rsidR="00A44CD9" w:rsidRPr="00A44CD9" w:rsidRDefault="00A44CD9" w:rsidP="00A44CD9">
      <w:pPr>
        <w:pStyle w:val="TOC2"/>
        <w:rPr>
          <w:rFonts w:eastAsiaTheme="minorEastAsia"/>
          <w:szCs w:val="16"/>
        </w:rPr>
      </w:pPr>
      <w:r w:rsidRPr="00A44CD9">
        <w:rPr>
          <w:szCs w:val="16"/>
        </w:rPr>
        <w:t>Senior Bonds</w:t>
      </w:r>
      <w:r w:rsidRPr="00A44CD9">
        <w:rPr>
          <w:szCs w:val="16"/>
        </w:rPr>
        <w:tab/>
        <w:t>3</w:t>
      </w:r>
    </w:p>
    <w:p w:rsidR="00A44CD9" w:rsidRPr="00A44CD9" w:rsidRDefault="00A44CD9" w:rsidP="00A44CD9">
      <w:pPr>
        <w:pStyle w:val="TOC2"/>
        <w:rPr>
          <w:rFonts w:eastAsiaTheme="minorEastAsia"/>
          <w:szCs w:val="16"/>
        </w:rPr>
      </w:pPr>
      <w:r w:rsidRPr="00A44CD9">
        <w:rPr>
          <w:szCs w:val="16"/>
        </w:rPr>
        <w:t>First Tier Subordinate Bonds (Central 70 Note)</w:t>
      </w:r>
      <w:r w:rsidRPr="00A44CD9">
        <w:rPr>
          <w:szCs w:val="16"/>
        </w:rPr>
        <w:tab/>
        <w:t>3</w:t>
      </w:r>
    </w:p>
    <w:p w:rsidR="00A44CD9" w:rsidRPr="00A44CD9" w:rsidRDefault="00A44CD9" w:rsidP="00A44CD9">
      <w:pPr>
        <w:pStyle w:val="TOC2"/>
        <w:rPr>
          <w:rFonts w:eastAsiaTheme="minorEastAsia"/>
          <w:szCs w:val="16"/>
        </w:rPr>
      </w:pPr>
      <w:r w:rsidRPr="00A44CD9">
        <w:rPr>
          <w:szCs w:val="16"/>
        </w:rPr>
        <w:t>Legal and Tax Matters</w:t>
      </w:r>
      <w:r w:rsidRPr="00A44CD9">
        <w:rPr>
          <w:szCs w:val="16"/>
        </w:rPr>
        <w:tab/>
        <w:t>4</w:t>
      </w:r>
    </w:p>
    <w:p w:rsidR="00A44CD9" w:rsidRPr="00A44CD9" w:rsidRDefault="00A44CD9" w:rsidP="00A44CD9">
      <w:pPr>
        <w:pStyle w:val="TOC2"/>
        <w:rPr>
          <w:rFonts w:eastAsiaTheme="minorEastAsia"/>
          <w:szCs w:val="16"/>
        </w:rPr>
      </w:pPr>
      <w:r w:rsidRPr="00A44CD9">
        <w:rPr>
          <w:szCs w:val="16"/>
        </w:rPr>
        <w:t>Investment Considerations</w:t>
      </w:r>
      <w:r w:rsidRPr="00A44CD9">
        <w:rPr>
          <w:szCs w:val="16"/>
        </w:rPr>
        <w:tab/>
        <w:t>4</w:t>
      </w:r>
    </w:p>
    <w:p w:rsidR="00A44CD9" w:rsidRPr="00A44CD9" w:rsidRDefault="00A44CD9" w:rsidP="00A44CD9">
      <w:pPr>
        <w:pStyle w:val="TOC2"/>
        <w:rPr>
          <w:rFonts w:eastAsiaTheme="minorEastAsia"/>
          <w:szCs w:val="16"/>
        </w:rPr>
      </w:pPr>
      <w:r w:rsidRPr="00A44CD9">
        <w:rPr>
          <w:szCs w:val="16"/>
        </w:rPr>
        <w:t>Continuing Disclosure Undertaking</w:t>
      </w:r>
      <w:r w:rsidRPr="00A44CD9">
        <w:rPr>
          <w:szCs w:val="16"/>
        </w:rPr>
        <w:tab/>
        <w:t>4</w:t>
      </w:r>
    </w:p>
    <w:p w:rsidR="00A44CD9" w:rsidRPr="00A44CD9" w:rsidRDefault="00A44CD9" w:rsidP="00A44CD9">
      <w:pPr>
        <w:pStyle w:val="TOC2"/>
        <w:rPr>
          <w:rFonts w:eastAsiaTheme="minorEastAsia"/>
          <w:szCs w:val="16"/>
        </w:rPr>
      </w:pPr>
      <w:r w:rsidRPr="00A44CD9">
        <w:rPr>
          <w:szCs w:val="16"/>
        </w:rPr>
        <w:t>State Economic and Demographic Information</w:t>
      </w:r>
      <w:r w:rsidRPr="00A44CD9">
        <w:rPr>
          <w:szCs w:val="16"/>
        </w:rPr>
        <w:tab/>
        <w:t>5</w:t>
      </w:r>
    </w:p>
    <w:p w:rsidR="00A44CD9" w:rsidRPr="00A44CD9" w:rsidRDefault="00A44CD9" w:rsidP="00A44CD9">
      <w:pPr>
        <w:pStyle w:val="TOC2"/>
        <w:rPr>
          <w:rFonts w:eastAsiaTheme="minorEastAsia"/>
          <w:szCs w:val="16"/>
        </w:rPr>
      </w:pPr>
      <w:r w:rsidRPr="00A44CD9">
        <w:rPr>
          <w:szCs w:val="16"/>
        </w:rPr>
        <w:t>Additional Information</w:t>
      </w:r>
      <w:r w:rsidRPr="00A44CD9">
        <w:rPr>
          <w:szCs w:val="16"/>
        </w:rPr>
        <w:tab/>
        <w:t>5</w:t>
      </w:r>
    </w:p>
    <w:p w:rsidR="00A44CD9" w:rsidRPr="00A44CD9" w:rsidRDefault="00A44CD9" w:rsidP="00A44CD9">
      <w:pPr>
        <w:pStyle w:val="TOC2"/>
        <w:rPr>
          <w:rFonts w:eastAsiaTheme="minorEastAsia"/>
          <w:szCs w:val="16"/>
        </w:rPr>
      </w:pPr>
      <w:r w:rsidRPr="00A44CD9">
        <w:rPr>
          <w:szCs w:val="16"/>
        </w:rPr>
        <w:t>Forward Looking Statements</w:t>
      </w:r>
      <w:r w:rsidRPr="00A44CD9">
        <w:rPr>
          <w:szCs w:val="16"/>
        </w:rPr>
        <w:tab/>
        <w:t>5</w:t>
      </w:r>
    </w:p>
    <w:p w:rsidR="00A44CD9" w:rsidRPr="00A44CD9" w:rsidRDefault="00A44CD9" w:rsidP="00A44CD9">
      <w:pPr>
        <w:pStyle w:val="TOC2"/>
        <w:rPr>
          <w:rFonts w:eastAsiaTheme="minorEastAsia"/>
          <w:szCs w:val="16"/>
        </w:rPr>
      </w:pPr>
      <w:r w:rsidRPr="00A44CD9">
        <w:rPr>
          <w:szCs w:val="16"/>
        </w:rPr>
        <w:t>Miscellaneous</w:t>
      </w:r>
      <w:r w:rsidRPr="00A44CD9">
        <w:rPr>
          <w:szCs w:val="16"/>
        </w:rPr>
        <w:tab/>
        <w:t>5</w:t>
      </w:r>
    </w:p>
    <w:p w:rsidR="00A44CD9" w:rsidRPr="00A44CD9" w:rsidRDefault="00A44CD9" w:rsidP="00A44CD9">
      <w:pPr>
        <w:pStyle w:val="TOC1"/>
        <w:rPr>
          <w:rFonts w:eastAsiaTheme="minorEastAsia"/>
          <w:sz w:val="16"/>
          <w:szCs w:val="16"/>
        </w:rPr>
      </w:pPr>
      <w:r w:rsidRPr="00A44CD9">
        <w:rPr>
          <w:sz w:val="16"/>
          <w:szCs w:val="16"/>
        </w:rPr>
        <w:t>PLAN OF REFUNDING</w:t>
      </w:r>
      <w:r w:rsidRPr="00A44CD9">
        <w:rPr>
          <w:sz w:val="16"/>
          <w:szCs w:val="16"/>
        </w:rPr>
        <w:tab/>
        <w:t>6</w:t>
      </w:r>
    </w:p>
    <w:p w:rsidR="00A44CD9" w:rsidRPr="00A44CD9" w:rsidRDefault="00A44CD9" w:rsidP="00A44CD9">
      <w:pPr>
        <w:pStyle w:val="TOC2"/>
        <w:rPr>
          <w:rFonts w:eastAsiaTheme="minorEastAsia"/>
          <w:szCs w:val="16"/>
        </w:rPr>
      </w:pPr>
      <w:r w:rsidRPr="00A44CD9">
        <w:rPr>
          <w:szCs w:val="16"/>
        </w:rPr>
        <w:t>Plan of Refunding</w:t>
      </w:r>
      <w:r w:rsidRPr="00A44CD9">
        <w:rPr>
          <w:szCs w:val="16"/>
        </w:rPr>
        <w:tab/>
        <w:t>6</w:t>
      </w:r>
    </w:p>
    <w:p w:rsidR="00A44CD9" w:rsidRPr="00A44CD9" w:rsidRDefault="00A44CD9" w:rsidP="00A44CD9">
      <w:pPr>
        <w:pStyle w:val="TOC2"/>
        <w:rPr>
          <w:rFonts w:eastAsiaTheme="minorEastAsia"/>
          <w:szCs w:val="16"/>
        </w:rPr>
      </w:pPr>
      <w:r w:rsidRPr="00A44CD9">
        <w:rPr>
          <w:szCs w:val="16"/>
        </w:rPr>
        <w:t>Estimated Sources and Uses of Funds</w:t>
      </w:r>
      <w:r w:rsidRPr="00A44CD9">
        <w:rPr>
          <w:szCs w:val="16"/>
        </w:rPr>
        <w:tab/>
        <w:t>7</w:t>
      </w:r>
    </w:p>
    <w:p w:rsidR="00A44CD9" w:rsidRPr="00A44CD9" w:rsidRDefault="00A44CD9" w:rsidP="00A44CD9">
      <w:pPr>
        <w:pStyle w:val="TOC1"/>
        <w:rPr>
          <w:rFonts w:eastAsiaTheme="minorEastAsia"/>
          <w:sz w:val="16"/>
          <w:szCs w:val="16"/>
        </w:rPr>
      </w:pPr>
      <w:r w:rsidRPr="00A44CD9">
        <w:rPr>
          <w:sz w:val="16"/>
          <w:szCs w:val="16"/>
        </w:rPr>
        <w:t>THE SERIES 2019A SENIOR BONDS</w:t>
      </w:r>
      <w:r w:rsidRPr="00A44CD9">
        <w:rPr>
          <w:sz w:val="16"/>
          <w:szCs w:val="16"/>
        </w:rPr>
        <w:tab/>
        <w:t>7</w:t>
      </w:r>
    </w:p>
    <w:p w:rsidR="00A44CD9" w:rsidRPr="00A44CD9" w:rsidRDefault="00A44CD9" w:rsidP="00A44CD9">
      <w:pPr>
        <w:pStyle w:val="TOC2"/>
        <w:rPr>
          <w:rFonts w:eastAsiaTheme="minorEastAsia"/>
          <w:szCs w:val="16"/>
        </w:rPr>
      </w:pPr>
      <w:r w:rsidRPr="00A44CD9">
        <w:rPr>
          <w:szCs w:val="16"/>
        </w:rPr>
        <w:t>General</w:t>
      </w:r>
      <w:r w:rsidRPr="00A44CD9">
        <w:rPr>
          <w:szCs w:val="16"/>
        </w:rPr>
        <w:tab/>
        <w:t>7</w:t>
      </w:r>
    </w:p>
    <w:p w:rsidR="00A44CD9" w:rsidRPr="00A44CD9" w:rsidRDefault="00A44CD9" w:rsidP="00A44CD9">
      <w:pPr>
        <w:pStyle w:val="TOC2"/>
        <w:rPr>
          <w:rFonts w:eastAsiaTheme="minorEastAsia"/>
          <w:szCs w:val="16"/>
        </w:rPr>
      </w:pPr>
      <w:r w:rsidRPr="00A44CD9">
        <w:rPr>
          <w:szCs w:val="16"/>
        </w:rPr>
        <w:t>DTC Book-Entry System</w:t>
      </w:r>
      <w:r w:rsidRPr="00A44CD9">
        <w:rPr>
          <w:szCs w:val="16"/>
        </w:rPr>
        <w:tab/>
        <w:t>8</w:t>
      </w:r>
    </w:p>
    <w:p w:rsidR="00A44CD9" w:rsidRPr="00A44CD9" w:rsidRDefault="00A44CD9" w:rsidP="00A44CD9">
      <w:pPr>
        <w:pStyle w:val="TOC2"/>
        <w:rPr>
          <w:rFonts w:eastAsiaTheme="minorEastAsia"/>
          <w:szCs w:val="16"/>
        </w:rPr>
      </w:pPr>
      <w:r w:rsidRPr="00A44CD9">
        <w:rPr>
          <w:szCs w:val="16"/>
        </w:rPr>
        <w:t>Optional Redemption of Series 2019A Bonds Prior to Maturity</w:t>
      </w:r>
      <w:r w:rsidRPr="00A44CD9">
        <w:rPr>
          <w:szCs w:val="16"/>
        </w:rPr>
        <w:tab/>
        <w:t>8</w:t>
      </w:r>
    </w:p>
    <w:p w:rsidR="00A44CD9" w:rsidRPr="00A44CD9" w:rsidRDefault="00A44CD9" w:rsidP="00A44CD9">
      <w:pPr>
        <w:pStyle w:val="TOC2"/>
        <w:rPr>
          <w:rFonts w:eastAsiaTheme="minorEastAsia"/>
          <w:szCs w:val="16"/>
        </w:rPr>
      </w:pPr>
      <w:r w:rsidRPr="00A44CD9">
        <w:rPr>
          <w:szCs w:val="16"/>
        </w:rPr>
        <w:t>Transfer and Exchange</w:t>
      </w:r>
      <w:r w:rsidRPr="00A44CD9">
        <w:rPr>
          <w:szCs w:val="16"/>
        </w:rPr>
        <w:tab/>
        <w:t>9</w:t>
      </w:r>
    </w:p>
    <w:p w:rsidR="00A44CD9" w:rsidRPr="00A44CD9" w:rsidRDefault="00A44CD9" w:rsidP="00A44CD9">
      <w:pPr>
        <w:pStyle w:val="TOC1"/>
        <w:rPr>
          <w:rFonts w:eastAsiaTheme="minorEastAsia"/>
          <w:sz w:val="16"/>
          <w:szCs w:val="16"/>
        </w:rPr>
      </w:pPr>
      <w:r w:rsidRPr="00A44CD9">
        <w:rPr>
          <w:sz w:val="16"/>
          <w:szCs w:val="16"/>
        </w:rPr>
        <w:t>SECURITY AND SOURCES OF PAYMENT FOR THE SERIES 2019A SENIOR BONDS</w:t>
      </w:r>
      <w:r w:rsidRPr="00A44CD9">
        <w:rPr>
          <w:sz w:val="16"/>
          <w:szCs w:val="16"/>
        </w:rPr>
        <w:tab/>
        <w:t>9</w:t>
      </w:r>
    </w:p>
    <w:p w:rsidR="00A44CD9" w:rsidRPr="00A44CD9" w:rsidRDefault="00A44CD9" w:rsidP="00A44CD9">
      <w:pPr>
        <w:pStyle w:val="TOC2"/>
        <w:rPr>
          <w:rFonts w:eastAsiaTheme="minorEastAsia"/>
          <w:szCs w:val="16"/>
        </w:rPr>
      </w:pPr>
      <w:r w:rsidRPr="00A44CD9">
        <w:rPr>
          <w:szCs w:val="16"/>
        </w:rPr>
        <w:t>Authorization</w:t>
      </w:r>
      <w:r w:rsidRPr="00A44CD9">
        <w:rPr>
          <w:szCs w:val="16"/>
        </w:rPr>
        <w:tab/>
        <w:t>9</w:t>
      </w:r>
    </w:p>
    <w:p w:rsidR="00A44CD9" w:rsidRPr="00A44CD9" w:rsidRDefault="00A44CD9" w:rsidP="00A44CD9">
      <w:pPr>
        <w:pStyle w:val="TOC2"/>
        <w:rPr>
          <w:rFonts w:eastAsiaTheme="minorEastAsia"/>
          <w:szCs w:val="16"/>
        </w:rPr>
      </w:pPr>
      <w:r w:rsidRPr="00A44CD9">
        <w:rPr>
          <w:szCs w:val="16"/>
        </w:rPr>
        <w:t>Trust Estate</w:t>
      </w:r>
      <w:r w:rsidRPr="00A44CD9">
        <w:rPr>
          <w:szCs w:val="16"/>
        </w:rPr>
        <w:tab/>
        <w:t>9</w:t>
      </w:r>
    </w:p>
    <w:p w:rsidR="00A44CD9" w:rsidRPr="00A44CD9" w:rsidRDefault="00A44CD9" w:rsidP="00A44CD9">
      <w:pPr>
        <w:pStyle w:val="TOC2"/>
        <w:rPr>
          <w:rFonts w:eastAsiaTheme="minorEastAsia"/>
          <w:szCs w:val="16"/>
        </w:rPr>
      </w:pPr>
      <w:r w:rsidRPr="00A44CD9">
        <w:rPr>
          <w:szCs w:val="16"/>
        </w:rPr>
        <w:t>Revenues</w:t>
      </w:r>
      <w:r w:rsidRPr="00A44CD9">
        <w:rPr>
          <w:szCs w:val="16"/>
        </w:rPr>
        <w:tab/>
        <w:t>10</w:t>
      </w:r>
    </w:p>
    <w:p w:rsidR="00A44CD9" w:rsidRPr="00A44CD9" w:rsidRDefault="00A44CD9" w:rsidP="00A44CD9">
      <w:pPr>
        <w:pStyle w:val="TOC2"/>
        <w:rPr>
          <w:rFonts w:eastAsiaTheme="minorEastAsia"/>
          <w:szCs w:val="16"/>
        </w:rPr>
      </w:pPr>
      <w:r w:rsidRPr="00A44CD9">
        <w:rPr>
          <w:szCs w:val="16"/>
        </w:rPr>
        <w:t>Bridge Surcharges</w:t>
      </w:r>
      <w:r w:rsidRPr="00A44CD9">
        <w:rPr>
          <w:szCs w:val="16"/>
        </w:rPr>
        <w:tab/>
        <w:t>11</w:t>
      </w:r>
    </w:p>
    <w:p w:rsidR="00A44CD9" w:rsidRPr="00A44CD9" w:rsidRDefault="00A44CD9" w:rsidP="00A44CD9">
      <w:pPr>
        <w:pStyle w:val="TOC2"/>
        <w:rPr>
          <w:rFonts w:eastAsiaTheme="minorEastAsia"/>
          <w:szCs w:val="16"/>
        </w:rPr>
      </w:pPr>
      <w:r w:rsidRPr="00A44CD9">
        <w:rPr>
          <w:szCs w:val="16"/>
        </w:rPr>
        <w:t>Historical Vehicle Registrations</w:t>
      </w:r>
      <w:r w:rsidRPr="00A44CD9">
        <w:rPr>
          <w:szCs w:val="16"/>
        </w:rPr>
        <w:tab/>
        <w:t>14</w:t>
      </w:r>
    </w:p>
    <w:p w:rsidR="00A44CD9" w:rsidRPr="00A44CD9" w:rsidRDefault="00A44CD9" w:rsidP="00A44CD9">
      <w:pPr>
        <w:pStyle w:val="TOC2"/>
        <w:rPr>
          <w:rFonts w:eastAsiaTheme="minorEastAsia"/>
          <w:szCs w:val="16"/>
        </w:rPr>
      </w:pPr>
      <w:r w:rsidRPr="00A44CD9">
        <w:rPr>
          <w:szCs w:val="16"/>
        </w:rPr>
        <w:t>Federal Funds</w:t>
      </w:r>
      <w:r w:rsidRPr="00A44CD9">
        <w:rPr>
          <w:szCs w:val="16"/>
        </w:rPr>
        <w:tab/>
        <w:t>15</w:t>
      </w:r>
    </w:p>
    <w:p w:rsidR="00A44CD9" w:rsidRPr="00A44CD9" w:rsidRDefault="00A44CD9" w:rsidP="00A44CD9">
      <w:pPr>
        <w:pStyle w:val="TOC2"/>
        <w:rPr>
          <w:rFonts w:eastAsiaTheme="minorEastAsia"/>
          <w:szCs w:val="16"/>
        </w:rPr>
      </w:pPr>
      <w:r w:rsidRPr="00A44CD9">
        <w:rPr>
          <w:szCs w:val="16"/>
        </w:rPr>
        <w:t>Bridge Special Fund</w:t>
      </w:r>
      <w:r w:rsidRPr="00A44CD9">
        <w:rPr>
          <w:szCs w:val="16"/>
        </w:rPr>
        <w:tab/>
        <w:t>15</w:t>
      </w:r>
    </w:p>
    <w:p w:rsidR="00A44CD9" w:rsidRPr="00A44CD9" w:rsidRDefault="00A44CD9" w:rsidP="00A44CD9">
      <w:pPr>
        <w:pStyle w:val="TOC2"/>
        <w:rPr>
          <w:rFonts w:eastAsiaTheme="minorEastAsia"/>
          <w:szCs w:val="16"/>
        </w:rPr>
      </w:pPr>
      <w:r w:rsidRPr="00A44CD9">
        <w:rPr>
          <w:szCs w:val="16"/>
        </w:rPr>
        <w:t>Flow of Funds</w:t>
      </w:r>
      <w:r w:rsidRPr="00A44CD9">
        <w:rPr>
          <w:szCs w:val="16"/>
        </w:rPr>
        <w:tab/>
        <w:t>16</w:t>
      </w:r>
    </w:p>
    <w:p w:rsidR="00A44CD9" w:rsidRPr="00A44CD9" w:rsidRDefault="00A44CD9" w:rsidP="00A44CD9">
      <w:pPr>
        <w:pStyle w:val="TOC2"/>
        <w:rPr>
          <w:rFonts w:eastAsiaTheme="minorEastAsia"/>
          <w:szCs w:val="16"/>
        </w:rPr>
      </w:pPr>
      <w:r w:rsidRPr="00A44CD9">
        <w:rPr>
          <w:szCs w:val="16"/>
        </w:rPr>
        <w:t>Investment of Moneys</w:t>
      </w:r>
      <w:r w:rsidRPr="00A44CD9">
        <w:rPr>
          <w:szCs w:val="16"/>
        </w:rPr>
        <w:tab/>
        <w:t>21</w:t>
      </w:r>
    </w:p>
    <w:p w:rsidR="00A44CD9" w:rsidRPr="00A44CD9" w:rsidRDefault="00A44CD9" w:rsidP="00A44CD9">
      <w:pPr>
        <w:pStyle w:val="TOC2"/>
        <w:rPr>
          <w:rFonts w:eastAsiaTheme="minorEastAsia"/>
          <w:szCs w:val="16"/>
        </w:rPr>
      </w:pPr>
      <w:r w:rsidRPr="00A44CD9">
        <w:rPr>
          <w:szCs w:val="16"/>
        </w:rPr>
        <w:t>Issuance of Additional Bonds</w:t>
      </w:r>
      <w:r w:rsidRPr="00A44CD9">
        <w:rPr>
          <w:szCs w:val="16"/>
        </w:rPr>
        <w:tab/>
        <w:t>22</w:t>
      </w:r>
    </w:p>
    <w:p w:rsidR="00A44CD9" w:rsidRPr="00A44CD9" w:rsidRDefault="00A44CD9" w:rsidP="00A44CD9">
      <w:pPr>
        <w:pStyle w:val="TOC1"/>
        <w:rPr>
          <w:rFonts w:eastAsiaTheme="minorEastAsia"/>
          <w:sz w:val="16"/>
          <w:szCs w:val="16"/>
        </w:rPr>
      </w:pPr>
      <w:r w:rsidRPr="00A44CD9">
        <w:rPr>
          <w:sz w:val="16"/>
          <w:szCs w:val="16"/>
        </w:rPr>
        <w:t>OUTSTANDING OBLIGATIONS AND DEBT SERVICE SCHEDULE</w:t>
      </w:r>
      <w:r w:rsidRPr="00A44CD9">
        <w:rPr>
          <w:sz w:val="16"/>
          <w:szCs w:val="16"/>
        </w:rPr>
        <w:tab/>
        <w:t>24</w:t>
      </w:r>
    </w:p>
    <w:p w:rsidR="00A44CD9" w:rsidRPr="00A44CD9" w:rsidRDefault="00A44CD9" w:rsidP="00A44CD9">
      <w:pPr>
        <w:pStyle w:val="TOC2"/>
        <w:rPr>
          <w:rFonts w:eastAsiaTheme="minorEastAsia"/>
          <w:szCs w:val="16"/>
        </w:rPr>
      </w:pPr>
      <w:r w:rsidRPr="00A44CD9">
        <w:rPr>
          <w:szCs w:val="16"/>
        </w:rPr>
        <w:t>Outstanding Senior Bonds</w:t>
      </w:r>
      <w:r w:rsidRPr="00A44CD9">
        <w:rPr>
          <w:szCs w:val="16"/>
        </w:rPr>
        <w:tab/>
        <w:t>24</w:t>
      </w:r>
    </w:p>
    <w:p w:rsidR="00A44CD9" w:rsidRPr="00A44CD9" w:rsidRDefault="00A44CD9" w:rsidP="00A44CD9">
      <w:pPr>
        <w:pStyle w:val="TOC2"/>
        <w:rPr>
          <w:rFonts w:eastAsiaTheme="minorEastAsia"/>
          <w:szCs w:val="16"/>
        </w:rPr>
      </w:pPr>
      <w:r w:rsidRPr="00A44CD9">
        <w:rPr>
          <w:szCs w:val="16"/>
        </w:rPr>
        <w:t>First Tier Subordinate Bonds (Central 70 Note)</w:t>
      </w:r>
      <w:r w:rsidRPr="00A44CD9">
        <w:rPr>
          <w:szCs w:val="16"/>
        </w:rPr>
        <w:tab/>
        <w:t>25</w:t>
      </w:r>
    </w:p>
    <w:p w:rsidR="00A44CD9" w:rsidRPr="00A44CD9" w:rsidRDefault="00A44CD9" w:rsidP="00A44CD9">
      <w:pPr>
        <w:pStyle w:val="TOC2"/>
        <w:rPr>
          <w:rFonts w:eastAsiaTheme="minorEastAsia"/>
          <w:szCs w:val="16"/>
        </w:rPr>
      </w:pPr>
      <w:r w:rsidRPr="00A44CD9">
        <w:rPr>
          <w:szCs w:val="16"/>
        </w:rPr>
        <w:t>Debt Service Requirements</w:t>
      </w:r>
      <w:r w:rsidRPr="00A44CD9">
        <w:rPr>
          <w:szCs w:val="16"/>
        </w:rPr>
        <w:tab/>
        <w:t>26</w:t>
      </w:r>
    </w:p>
    <w:p w:rsidR="00A44CD9" w:rsidRPr="00A44CD9" w:rsidRDefault="00A44CD9" w:rsidP="00A44CD9">
      <w:pPr>
        <w:pStyle w:val="TOC1"/>
        <w:rPr>
          <w:rFonts w:eastAsiaTheme="minorEastAsia"/>
          <w:sz w:val="16"/>
          <w:szCs w:val="16"/>
        </w:rPr>
      </w:pPr>
      <w:r w:rsidRPr="00A44CD9">
        <w:rPr>
          <w:sz w:val="16"/>
          <w:szCs w:val="16"/>
        </w:rPr>
        <w:t>THE BRIDGE ENTERPRISE</w:t>
      </w:r>
      <w:r w:rsidRPr="00A44CD9">
        <w:rPr>
          <w:sz w:val="16"/>
          <w:szCs w:val="16"/>
        </w:rPr>
        <w:tab/>
        <w:t>27</w:t>
      </w:r>
    </w:p>
    <w:p w:rsidR="00A44CD9" w:rsidRPr="00A44CD9" w:rsidRDefault="00A44CD9" w:rsidP="00A44CD9">
      <w:pPr>
        <w:pStyle w:val="TOC2"/>
        <w:rPr>
          <w:rFonts w:eastAsiaTheme="minorEastAsia"/>
          <w:szCs w:val="16"/>
        </w:rPr>
      </w:pPr>
      <w:r w:rsidRPr="00A44CD9">
        <w:rPr>
          <w:szCs w:val="16"/>
        </w:rPr>
        <w:t>General</w:t>
      </w:r>
      <w:r w:rsidRPr="00A44CD9">
        <w:rPr>
          <w:szCs w:val="16"/>
        </w:rPr>
        <w:tab/>
        <w:t>27</w:t>
      </w:r>
    </w:p>
    <w:p w:rsidR="00A44CD9" w:rsidRPr="00A44CD9" w:rsidRDefault="00A44CD9" w:rsidP="00A44CD9">
      <w:pPr>
        <w:pStyle w:val="TOC2"/>
        <w:rPr>
          <w:rFonts w:eastAsiaTheme="minorEastAsia"/>
          <w:szCs w:val="16"/>
        </w:rPr>
      </w:pPr>
      <w:r w:rsidRPr="00A44CD9">
        <w:rPr>
          <w:szCs w:val="16"/>
        </w:rPr>
        <w:t>Designated Bridge Projects</w:t>
      </w:r>
      <w:r w:rsidRPr="00A44CD9">
        <w:rPr>
          <w:szCs w:val="16"/>
        </w:rPr>
        <w:tab/>
        <w:t>27</w:t>
      </w:r>
    </w:p>
    <w:p w:rsidR="00A44CD9" w:rsidRPr="00A44CD9" w:rsidRDefault="00A44CD9" w:rsidP="00A44CD9">
      <w:pPr>
        <w:pStyle w:val="TOC2"/>
        <w:rPr>
          <w:rFonts w:eastAsiaTheme="minorEastAsia"/>
          <w:szCs w:val="16"/>
        </w:rPr>
      </w:pPr>
      <w:r w:rsidRPr="00A44CD9">
        <w:rPr>
          <w:szCs w:val="16"/>
        </w:rPr>
        <w:t>Material Agreements</w:t>
      </w:r>
      <w:r w:rsidRPr="00A44CD9">
        <w:rPr>
          <w:szCs w:val="16"/>
        </w:rPr>
        <w:tab/>
        <w:t>27</w:t>
      </w:r>
    </w:p>
    <w:p w:rsidR="00A44CD9" w:rsidRPr="00A44CD9" w:rsidRDefault="00A44CD9" w:rsidP="00A44CD9">
      <w:pPr>
        <w:pStyle w:val="TOC2"/>
        <w:rPr>
          <w:rFonts w:eastAsiaTheme="minorEastAsia"/>
          <w:szCs w:val="16"/>
        </w:rPr>
      </w:pPr>
      <w:r w:rsidRPr="00A44CD9">
        <w:rPr>
          <w:szCs w:val="16"/>
        </w:rPr>
        <w:t>Financial Statements</w:t>
      </w:r>
      <w:r w:rsidRPr="00A44CD9">
        <w:rPr>
          <w:szCs w:val="16"/>
        </w:rPr>
        <w:tab/>
        <w:t>28</w:t>
      </w:r>
    </w:p>
    <w:p w:rsidR="00A44CD9" w:rsidRPr="00A44CD9" w:rsidRDefault="00A44CD9" w:rsidP="00A44CD9">
      <w:pPr>
        <w:pStyle w:val="TOC1"/>
        <w:rPr>
          <w:rFonts w:eastAsiaTheme="minorEastAsia"/>
          <w:sz w:val="16"/>
          <w:szCs w:val="16"/>
        </w:rPr>
      </w:pPr>
      <w:r w:rsidRPr="00A44CD9">
        <w:rPr>
          <w:sz w:val="16"/>
          <w:szCs w:val="16"/>
        </w:rPr>
        <w:t>THE COLORADO DEPARTMENT OF TRANSPORTATION</w:t>
      </w:r>
      <w:r w:rsidRPr="00A44CD9">
        <w:rPr>
          <w:sz w:val="16"/>
          <w:szCs w:val="16"/>
        </w:rPr>
        <w:tab/>
        <w:t>29</w:t>
      </w:r>
    </w:p>
    <w:p w:rsidR="00A44CD9" w:rsidRPr="00A44CD9" w:rsidRDefault="00A44CD9" w:rsidP="00A44CD9">
      <w:pPr>
        <w:pStyle w:val="TOC2"/>
        <w:rPr>
          <w:rFonts w:eastAsiaTheme="minorEastAsia"/>
          <w:szCs w:val="16"/>
        </w:rPr>
      </w:pPr>
      <w:r w:rsidRPr="00A44CD9">
        <w:rPr>
          <w:szCs w:val="16"/>
        </w:rPr>
        <w:t>General</w:t>
      </w:r>
      <w:r w:rsidRPr="00A44CD9">
        <w:rPr>
          <w:szCs w:val="16"/>
        </w:rPr>
        <w:tab/>
        <w:t>29</w:t>
      </w:r>
    </w:p>
    <w:p w:rsidR="00A44CD9" w:rsidRPr="00A44CD9" w:rsidRDefault="00A44CD9" w:rsidP="00A44CD9">
      <w:pPr>
        <w:pStyle w:val="TOC2"/>
        <w:rPr>
          <w:rFonts w:eastAsiaTheme="minorEastAsia"/>
          <w:szCs w:val="16"/>
        </w:rPr>
      </w:pPr>
      <w:r w:rsidRPr="00A44CD9">
        <w:rPr>
          <w:szCs w:val="16"/>
        </w:rPr>
        <w:t>Organization of Department</w:t>
      </w:r>
      <w:r w:rsidRPr="00A44CD9">
        <w:rPr>
          <w:szCs w:val="16"/>
        </w:rPr>
        <w:tab/>
        <w:t>29</w:t>
      </w:r>
    </w:p>
    <w:p w:rsidR="00A44CD9" w:rsidRPr="00A44CD9" w:rsidRDefault="00A44CD9" w:rsidP="00A44CD9">
      <w:pPr>
        <w:pStyle w:val="TOC2"/>
        <w:rPr>
          <w:rFonts w:eastAsiaTheme="minorEastAsia"/>
          <w:szCs w:val="16"/>
        </w:rPr>
      </w:pPr>
      <w:r w:rsidRPr="00A44CD9">
        <w:rPr>
          <w:szCs w:val="16"/>
        </w:rPr>
        <w:t>The Transportation Commission</w:t>
      </w:r>
      <w:r w:rsidRPr="00A44CD9">
        <w:rPr>
          <w:szCs w:val="16"/>
        </w:rPr>
        <w:tab/>
        <w:t>31</w:t>
      </w:r>
    </w:p>
    <w:p w:rsidR="00A44CD9" w:rsidRPr="00A44CD9" w:rsidRDefault="00A44CD9" w:rsidP="00A44CD9">
      <w:pPr>
        <w:pStyle w:val="TOC2"/>
        <w:rPr>
          <w:rFonts w:eastAsiaTheme="minorEastAsia"/>
          <w:szCs w:val="16"/>
        </w:rPr>
      </w:pPr>
      <w:r w:rsidRPr="00A44CD9">
        <w:rPr>
          <w:szCs w:val="16"/>
        </w:rPr>
        <w:t>Current Operations</w:t>
      </w:r>
      <w:r w:rsidRPr="00A44CD9">
        <w:rPr>
          <w:szCs w:val="16"/>
        </w:rPr>
        <w:tab/>
        <w:t>32</w:t>
      </w:r>
    </w:p>
    <w:p w:rsidR="00A44CD9" w:rsidRPr="00A44CD9" w:rsidRDefault="00A44CD9" w:rsidP="00A44CD9">
      <w:pPr>
        <w:pStyle w:val="TOC1"/>
        <w:rPr>
          <w:rFonts w:eastAsiaTheme="minorEastAsia"/>
          <w:sz w:val="16"/>
          <w:szCs w:val="16"/>
        </w:rPr>
      </w:pPr>
      <w:r w:rsidRPr="00A44CD9">
        <w:rPr>
          <w:sz w:val="16"/>
          <w:szCs w:val="16"/>
        </w:rPr>
        <w:t>CERTAIN INVESTMENT CONSIDERATIONS</w:t>
      </w:r>
      <w:r w:rsidRPr="00A44CD9">
        <w:rPr>
          <w:sz w:val="16"/>
          <w:szCs w:val="16"/>
        </w:rPr>
        <w:tab/>
        <w:t>32</w:t>
      </w:r>
    </w:p>
    <w:p w:rsidR="00A44CD9" w:rsidRPr="00A44CD9" w:rsidRDefault="00A44CD9" w:rsidP="00A44CD9">
      <w:pPr>
        <w:pStyle w:val="TOC2"/>
        <w:rPr>
          <w:rFonts w:eastAsiaTheme="minorEastAsia"/>
          <w:szCs w:val="16"/>
        </w:rPr>
      </w:pPr>
      <w:r w:rsidRPr="00A44CD9">
        <w:rPr>
          <w:szCs w:val="16"/>
        </w:rPr>
        <w:t>Special, Limited Obligations</w:t>
      </w:r>
      <w:r w:rsidRPr="00A44CD9">
        <w:rPr>
          <w:szCs w:val="16"/>
        </w:rPr>
        <w:tab/>
        <w:t>32</w:t>
      </w:r>
    </w:p>
    <w:p w:rsidR="00A44CD9" w:rsidRPr="00A44CD9" w:rsidRDefault="00A44CD9" w:rsidP="00A44CD9">
      <w:pPr>
        <w:pStyle w:val="TOC2"/>
        <w:rPr>
          <w:rFonts w:eastAsiaTheme="minorEastAsia"/>
          <w:szCs w:val="16"/>
        </w:rPr>
      </w:pPr>
      <w:r w:rsidRPr="00A44CD9">
        <w:rPr>
          <w:szCs w:val="16"/>
        </w:rPr>
        <w:t>Limitation on Bridge Surcharges</w:t>
      </w:r>
      <w:r w:rsidRPr="00A44CD9">
        <w:rPr>
          <w:szCs w:val="16"/>
        </w:rPr>
        <w:tab/>
        <w:t>33</w:t>
      </w:r>
    </w:p>
    <w:p w:rsidR="00A44CD9" w:rsidRPr="00A44CD9" w:rsidRDefault="00A44CD9" w:rsidP="00A44CD9">
      <w:pPr>
        <w:pStyle w:val="TOC2"/>
        <w:rPr>
          <w:rFonts w:eastAsiaTheme="minorEastAsia"/>
          <w:szCs w:val="16"/>
        </w:rPr>
      </w:pPr>
      <w:r w:rsidRPr="00A44CD9">
        <w:rPr>
          <w:szCs w:val="16"/>
        </w:rPr>
        <w:t>Economic Conditions Affecting Revenues</w:t>
      </w:r>
      <w:r w:rsidRPr="00A44CD9">
        <w:rPr>
          <w:szCs w:val="16"/>
        </w:rPr>
        <w:tab/>
        <w:t>33</w:t>
      </w:r>
    </w:p>
    <w:p w:rsidR="00A44CD9" w:rsidRPr="00A44CD9" w:rsidRDefault="00A44CD9" w:rsidP="00A44CD9">
      <w:pPr>
        <w:pStyle w:val="TOC2"/>
        <w:rPr>
          <w:rFonts w:eastAsiaTheme="minorEastAsia"/>
          <w:szCs w:val="16"/>
        </w:rPr>
      </w:pPr>
      <w:r w:rsidRPr="00A44CD9">
        <w:rPr>
          <w:szCs w:val="16"/>
        </w:rPr>
        <w:t>Annual State Law Changes</w:t>
      </w:r>
      <w:r w:rsidRPr="00A44CD9">
        <w:rPr>
          <w:szCs w:val="16"/>
        </w:rPr>
        <w:tab/>
        <w:t>33</w:t>
      </w:r>
    </w:p>
    <w:p w:rsidR="00A44CD9" w:rsidRPr="00A44CD9" w:rsidRDefault="00A44CD9" w:rsidP="00A44CD9">
      <w:pPr>
        <w:pStyle w:val="TOC2"/>
        <w:rPr>
          <w:rFonts w:eastAsiaTheme="minorEastAsia"/>
          <w:szCs w:val="16"/>
        </w:rPr>
      </w:pPr>
      <w:r w:rsidRPr="00A44CD9">
        <w:rPr>
          <w:szCs w:val="16"/>
        </w:rPr>
        <w:t>Risks Related to the Federal Subsidy Payment on Bonds Issued as Build America Bonds</w:t>
      </w:r>
      <w:r w:rsidRPr="00A44CD9">
        <w:rPr>
          <w:szCs w:val="16"/>
        </w:rPr>
        <w:tab/>
        <w:t>33</w:t>
      </w:r>
    </w:p>
    <w:p w:rsidR="00A44CD9" w:rsidRPr="00A44CD9" w:rsidRDefault="00A44CD9" w:rsidP="00A44CD9">
      <w:pPr>
        <w:pStyle w:val="TOC2"/>
        <w:rPr>
          <w:rFonts w:eastAsiaTheme="minorEastAsia"/>
          <w:szCs w:val="16"/>
        </w:rPr>
      </w:pPr>
      <w:r w:rsidRPr="00A44CD9">
        <w:rPr>
          <w:szCs w:val="16"/>
        </w:rPr>
        <w:t>Availability of Federal Funds</w:t>
      </w:r>
      <w:r w:rsidRPr="00A44CD9">
        <w:rPr>
          <w:szCs w:val="16"/>
        </w:rPr>
        <w:tab/>
        <w:t>34</w:t>
      </w:r>
    </w:p>
    <w:p w:rsidR="00A44CD9" w:rsidRPr="00A44CD9" w:rsidRDefault="00A44CD9" w:rsidP="00A44CD9">
      <w:pPr>
        <w:pStyle w:val="TOC2"/>
        <w:rPr>
          <w:rFonts w:eastAsiaTheme="minorEastAsia"/>
          <w:szCs w:val="16"/>
        </w:rPr>
      </w:pPr>
      <w:r w:rsidRPr="00A44CD9">
        <w:rPr>
          <w:szCs w:val="16"/>
        </w:rPr>
        <w:t>Default and Remedies</w:t>
      </w:r>
      <w:r w:rsidRPr="00A44CD9">
        <w:rPr>
          <w:szCs w:val="16"/>
        </w:rPr>
        <w:tab/>
        <w:t>34</w:t>
      </w:r>
    </w:p>
    <w:p w:rsidR="00A44CD9" w:rsidRPr="00A44CD9" w:rsidRDefault="00A44CD9" w:rsidP="00A44CD9">
      <w:pPr>
        <w:pStyle w:val="TOC2"/>
        <w:rPr>
          <w:rFonts w:eastAsiaTheme="minorEastAsia"/>
          <w:szCs w:val="16"/>
        </w:rPr>
      </w:pPr>
      <w:r w:rsidRPr="00A44CD9">
        <w:rPr>
          <w:szCs w:val="16"/>
        </w:rPr>
        <w:t>Potential Limitation of Tax Exemption of Interest on Series 2019A Senior Bonds</w:t>
      </w:r>
      <w:r w:rsidRPr="00A44CD9">
        <w:rPr>
          <w:szCs w:val="16"/>
        </w:rPr>
        <w:tab/>
        <w:t>34</w:t>
      </w:r>
    </w:p>
    <w:p w:rsidR="00A44CD9" w:rsidRPr="00A44CD9" w:rsidRDefault="00A44CD9" w:rsidP="00A44CD9">
      <w:pPr>
        <w:pStyle w:val="TOC1"/>
        <w:rPr>
          <w:rFonts w:eastAsiaTheme="minorEastAsia"/>
          <w:sz w:val="16"/>
          <w:szCs w:val="16"/>
        </w:rPr>
      </w:pPr>
      <w:r w:rsidRPr="00A44CD9">
        <w:rPr>
          <w:sz w:val="16"/>
          <w:szCs w:val="16"/>
        </w:rPr>
        <w:t>LEGAL MATTERS</w:t>
      </w:r>
      <w:r w:rsidRPr="00A44CD9">
        <w:rPr>
          <w:sz w:val="16"/>
          <w:szCs w:val="16"/>
        </w:rPr>
        <w:tab/>
        <w:t>35</w:t>
      </w:r>
    </w:p>
    <w:p w:rsidR="00A44CD9" w:rsidRPr="00A44CD9" w:rsidRDefault="00A44CD9" w:rsidP="00A44CD9">
      <w:pPr>
        <w:pStyle w:val="TOC2"/>
        <w:rPr>
          <w:rFonts w:eastAsiaTheme="minorEastAsia"/>
          <w:szCs w:val="16"/>
        </w:rPr>
      </w:pPr>
      <w:r w:rsidRPr="00A44CD9">
        <w:rPr>
          <w:szCs w:val="16"/>
        </w:rPr>
        <w:t>Certain Constitutional Limitations</w:t>
      </w:r>
      <w:r w:rsidRPr="00A44CD9">
        <w:rPr>
          <w:szCs w:val="16"/>
        </w:rPr>
        <w:tab/>
        <w:t>35</w:t>
      </w:r>
    </w:p>
    <w:p w:rsidR="00A44CD9" w:rsidRPr="00A44CD9" w:rsidRDefault="00A44CD9" w:rsidP="00A44CD9">
      <w:pPr>
        <w:pStyle w:val="TOC2"/>
        <w:rPr>
          <w:rFonts w:eastAsiaTheme="minorEastAsia"/>
          <w:szCs w:val="16"/>
        </w:rPr>
      </w:pPr>
      <w:r w:rsidRPr="00A44CD9">
        <w:rPr>
          <w:szCs w:val="16"/>
        </w:rPr>
        <w:t>Voter Approval Requirements and Limitations on Taxes, Spending, Revenues, and Borrowing</w:t>
      </w:r>
      <w:r w:rsidRPr="00A44CD9">
        <w:rPr>
          <w:szCs w:val="16"/>
        </w:rPr>
        <w:tab/>
        <w:t>35</w:t>
      </w:r>
    </w:p>
    <w:p w:rsidR="00A44CD9" w:rsidRPr="00A44CD9" w:rsidRDefault="00A44CD9" w:rsidP="00A44CD9">
      <w:pPr>
        <w:pStyle w:val="TOC2"/>
        <w:rPr>
          <w:rFonts w:eastAsiaTheme="minorEastAsia"/>
          <w:szCs w:val="16"/>
        </w:rPr>
      </w:pPr>
      <w:r w:rsidRPr="00A44CD9">
        <w:rPr>
          <w:szCs w:val="16"/>
        </w:rPr>
        <w:t>Enterprise Status</w:t>
      </w:r>
      <w:r w:rsidRPr="00A44CD9">
        <w:rPr>
          <w:szCs w:val="16"/>
        </w:rPr>
        <w:tab/>
        <w:t>35</w:t>
      </w:r>
    </w:p>
    <w:p w:rsidR="00A44CD9" w:rsidRPr="00A44CD9" w:rsidRDefault="00A44CD9" w:rsidP="00A44CD9">
      <w:pPr>
        <w:pStyle w:val="TOC2"/>
        <w:rPr>
          <w:rFonts w:eastAsiaTheme="minorEastAsia"/>
          <w:szCs w:val="16"/>
        </w:rPr>
      </w:pPr>
      <w:r w:rsidRPr="00A44CD9">
        <w:rPr>
          <w:szCs w:val="16"/>
        </w:rPr>
        <w:t>Prior Legal Challenge to Bridge Surcharge</w:t>
      </w:r>
      <w:r w:rsidRPr="00A44CD9">
        <w:rPr>
          <w:szCs w:val="16"/>
        </w:rPr>
        <w:tab/>
        <w:t>36</w:t>
      </w:r>
    </w:p>
    <w:p w:rsidR="00A44CD9" w:rsidRPr="00A44CD9" w:rsidRDefault="00A44CD9" w:rsidP="00A44CD9">
      <w:pPr>
        <w:pStyle w:val="TOC1"/>
        <w:rPr>
          <w:rFonts w:eastAsiaTheme="minorEastAsia"/>
          <w:sz w:val="16"/>
          <w:szCs w:val="16"/>
        </w:rPr>
      </w:pPr>
      <w:r w:rsidRPr="00A44CD9">
        <w:rPr>
          <w:sz w:val="16"/>
          <w:szCs w:val="16"/>
        </w:rPr>
        <w:t>TAX MATTERS</w:t>
      </w:r>
      <w:r w:rsidRPr="00A44CD9">
        <w:rPr>
          <w:sz w:val="16"/>
          <w:szCs w:val="16"/>
        </w:rPr>
        <w:tab/>
        <w:t>36</w:t>
      </w:r>
    </w:p>
    <w:p w:rsidR="00A44CD9" w:rsidRPr="00A44CD9" w:rsidRDefault="00A44CD9" w:rsidP="00A44CD9">
      <w:pPr>
        <w:pStyle w:val="TOC2"/>
        <w:rPr>
          <w:rFonts w:eastAsiaTheme="minorEastAsia"/>
          <w:szCs w:val="16"/>
        </w:rPr>
      </w:pPr>
      <w:r w:rsidRPr="00A44CD9">
        <w:rPr>
          <w:szCs w:val="16"/>
        </w:rPr>
        <w:t>General</w:t>
      </w:r>
      <w:r w:rsidRPr="00A44CD9">
        <w:rPr>
          <w:szCs w:val="16"/>
        </w:rPr>
        <w:tab/>
        <w:t>36</w:t>
      </w:r>
    </w:p>
    <w:p w:rsidR="00A44CD9" w:rsidRPr="00A44CD9" w:rsidRDefault="00A44CD9" w:rsidP="00A44CD9">
      <w:pPr>
        <w:pStyle w:val="TOC2"/>
        <w:rPr>
          <w:rFonts w:eastAsiaTheme="minorEastAsia"/>
          <w:szCs w:val="16"/>
        </w:rPr>
      </w:pPr>
      <w:r w:rsidRPr="00A44CD9">
        <w:rPr>
          <w:szCs w:val="16"/>
        </w:rPr>
        <w:t>Special Considerations With Respect to the Series 2019A Senior Bonds</w:t>
      </w:r>
      <w:r w:rsidRPr="00A44CD9">
        <w:rPr>
          <w:szCs w:val="16"/>
        </w:rPr>
        <w:tab/>
        <w:t>37</w:t>
      </w:r>
    </w:p>
    <w:p w:rsidR="00A44CD9" w:rsidRPr="00A44CD9" w:rsidRDefault="00A44CD9" w:rsidP="00A44CD9">
      <w:pPr>
        <w:pStyle w:val="TOC2"/>
        <w:rPr>
          <w:rFonts w:eastAsiaTheme="minorEastAsia"/>
          <w:szCs w:val="16"/>
        </w:rPr>
      </w:pPr>
      <w:r w:rsidRPr="00A44CD9">
        <w:rPr>
          <w:szCs w:val="16"/>
        </w:rPr>
        <w:t>Backup Withholding</w:t>
      </w:r>
      <w:r w:rsidRPr="00A44CD9">
        <w:rPr>
          <w:szCs w:val="16"/>
        </w:rPr>
        <w:tab/>
        <w:t>37</w:t>
      </w:r>
    </w:p>
    <w:p w:rsidR="00A44CD9" w:rsidRPr="00A44CD9" w:rsidRDefault="00A44CD9" w:rsidP="00A44CD9">
      <w:pPr>
        <w:pStyle w:val="TOC2"/>
        <w:rPr>
          <w:rFonts w:eastAsiaTheme="minorEastAsia"/>
          <w:szCs w:val="16"/>
        </w:rPr>
      </w:pPr>
      <w:r w:rsidRPr="00A44CD9">
        <w:rPr>
          <w:szCs w:val="16"/>
        </w:rPr>
        <w:t>Changes in Federal and State Tax Law</w:t>
      </w:r>
      <w:r w:rsidRPr="00A44CD9">
        <w:rPr>
          <w:szCs w:val="16"/>
        </w:rPr>
        <w:tab/>
        <w:t>37</w:t>
      </w:r>
    </w:p>
    <w:p w:rsidR="00A44CD9" w:rsidRPr="00A44CD9" w:rsidRDefault="00A44CD9" w:rsidP="00A44CD9">
      <w:pPr>
        <w:pStyle w:val="TOC2"/>
        <w:rPr>
          <w:rFonts w:eastAsiaTheme="minorEastAsia"/>
          <w:szCs w:val="16"/>
        </w:rPr>
      </w:pPr>
      <w:r w:rsidRPr="00A44CD9">
        <w:rPr>
          <w:szCs w:val="16"/>
        </w:rPr>
        <w:t>Tax Treatment of Original Issue Premium</w:t>
      </w:r>
      <w:r w:rsidRPr="00A44CD9">
        <w:rPr>
          <w:szCs w:val="16"/>
        </w:rPr>
        <w:tab/>
        <w:t>37</w:t>
      </w:r>
    </w:p>
    <w:p w:rsidR="00A44CD9" w:rsidRPr="00A44CD9" w:rsidRDefault="00A44CD9" w:rsidP="00A44CD9">
      <w:pPr>
        <w:pStyle w:val="TOC2"/>
        <w:rPr>
          <w:rFonts w:eastAsiaTheme="minorEastAsia"/>
          <w:szCs w:val="16"/>
        </w:rPr>
      </w:pPr>
      <w:r w:rsidRPr="00A44CD9">
        <w:rPr>
          <w:szCs w:val="16"/>
        </w:rPr>
        <w:t>Tax Treatment of Original Issue Discount</w:t>
      </w:r>
      <w:r w:rsidRPr="00A44CD9">
        <w:rPr>
          <w:szCs w:val="16"/>
        </w:rPr>
        <w:tab/>
        <w:t>38</w:t>
      </w:r>
    </w:p>
    <w:p w:rsidR="00A44CD9" w:rsidRPr="00A44CD9" w:rsidRDefault="00A44CD9" w:rsidP="00A44CD9">
      <w:pPr>
        <w:pStyle w:val="TOC1"/>
        <w:rPr>
          <w:rFonts w:eastAsiaTheme="minorEastAsia"/>
          <w:sz w:val="16"/>
          <w:szCs w:val="16"/>
        </w:rPr>
      </w:pPr>
      <w:r w:rsidRPr="00A44CD9">
        <w:rPr>
          <w:sz w:val="16"/>
          <w:szCs w:val="16"/>
        </w:rPr>
        <w:t>RATINGS</w:t>
      </w:r>
      <w:r w:rsidRPr="00A44CD9">
        <w:rPr>
          <w:sz w:val="16"/>
          <w:szCs w:val="16"/>
        </w:rPr>
        <w:tab/>
        <w:t>39</w:t>
      </w:r>
    </w:p>
    <w:p w:rsidR="00A44CD9" w:rsidRPr="00A44CD9" w:rsidRDefault="00A44CD9" w:rsidP="00A44CD9">
      <w:pPr>
        <w:pStyle w:val="TOC1"/>
        <w:rPr>
          <w:rFonts w:eastAsiaTheme="minorEastAsia"/>
          <w:sz w:val="16"/>
          <w:szCs w:val="16"/>
        </w:rPr>
      </w:pPr>
      <w:r w:rsidRPr="00A44CD9">
        <w:rPr>
          <w:sz w:val="16"/>
          <w:szCs w:val="16"/>
        </w:rPr>
        <w:t>CONTINUING DISCLOSURE UNDERTAKING</w:t>
      </w:r>
      <w:r w:rsidRPr="00A44CD9">
        <w:rPr>
          <w:sz w:val="16"/>
          <w:szCs w:val="16"/>
        </w:rPr>
        <w:tab/>
        <w:t>39</w:t>
      </w:r>
    </w:p>
    <w:p w:rsidR="00A44CD9" w:rsidRPr="00A44CD9" w:rsidRDefault="00A44CD9" w:rsidP="00A44CD9">
      <w:pPr>
        <w:pStyle w:val="TOC1"/>
        <w:rPr>
          <w:rFonts w:eastAsiaTheme="minorEastAsia"/>
          <w:sz w:val="16"/>
          <w:szCs w:val="16"/>
        </w:rPr>
      </w:pPr>
      <w:r w:rsidRPr="00A44CD9">
        <w:rPr>
          <w:sz w:val="16"/>
          <w:szCs w:val="16"/>
        </w:rPr>
        <w:t>LITIGATION AND GOVERNMENTAL IMMUNITY</w:t>
      </w:r>
      <w:r w:rsidRPr="00A44CD9">
        <w:rPr>
          <w:sz w:val="16"/>
          <w:szCs w:val="16"/>
        </w:rPr>
        <w:tab/>
        <w:t>40</w:t>
      </w:r>
    </w:p>
    <w:p w:rsidR="00A44CD9" w:rsidRPr="00A44CD9" w:rsidRDefault="00A44CD9" w:rsidP="00A44CD9">
      <w:pPr>
        <w:pStyle w:val="TOC2"/>
        <w:rPr>
          <w:rFonts w:eastAsiaTheme="minorEastAsia"/>
          <w:szCs w:val="16"/>
        </w:rPr>
      </w:pPr>
      <w:r w:rsidRPr="00A44CD9">
        <w:rPr>
          <w:szCs w:val="16"/>
        </w:rPr>
        <w:t>No Litigation Affecting the Series 2019A Senior Bonds</w:t>
      </w:r>
      <w:r w:rsidRPr="00A44CD9">
        <w:rPr>
          <w:szCs w:val="16"/>
        </w:rPr>
        <w:tab/>
        <w:t>40</w:t>
      </w:r>
    </w:p>
    <w:p w:rsidR="00A44CD9" w:rsidRPr="00A44CD9" w:rsidRDefault="00A44CD9" w:rsidP="00A44CD9">
      <w:pPr>
        <w:pStyle w:val="TOC2"/>
        <w:rPr>
          <w:rFonts w:eastAsiaTheme="minorEastAsia"/>
          <w:szCs w:val="16"/>
        </w:rPr>
      </w:pPr>
      <w:r w:rsidRPr="00A44CD9">
        <w:rPr>
          <w:szCs w:val="16"/>
        </w:rPr>
        <w:t>Governmental Immunity Act</w:t>
      </w:r>
      <w:r w:rsidRPr="00A44CD9">
        <w:rPr>
          <w:szCs w:val="16"/>
        </w:rPr>
        <w:tab/>
        <w:t>40</w:t>
      </w:r>
    </w:p>
    <w:p w:rsidR="00A44CD9" w:rsidRPr="00A44CD9" w:rsidRDefault="00A44CD9" w:rsidP="00A44CD9">
      <w:pPr>
        <w:pStyle w:val="TOC1"/>
        <w:rPr>
          <w:rFonts w:eastAsiaTheme="minorEastAsia"/>
          <w:sz w:val="16"/>
          <w:szCs w:val="16"/>
        </w:rPr>
      </w:pPr>
      <w:r w:rsidRPr="00A44CD9">
        <w:rPr>
          <w:sz w:val="16"/>
          <w:szCs w:val="16"/>
        </w:rPr>
        <w:t>UNDERWRITING</w:t>
      </w:r>
      <w:r w:rsidRPr="00A44CD9">
        <w:rPr>
          <w:sz w:val="16"/>
          <w:szCs w:val="16"/>
        </w:rPr>
        <w:tab/>
        <w:t>40</w:t>
      </w:r>
    </w:p>
    <w:p w:rsidR="00A44CD9" w:rsidRPr="00A44CD9" w:rsidRDefault="00A44CD9" w:rsidP="00A44CD9">
      <w:pPr>
        <w:pStyle w:val="TOC1"/>
        <w:rPr>
          <w:rFonts w:eastAsiaTheme="minorEastAsia"/>
          <w:sz w:val="16"/>
          <w:szCs w:val="16"/>
        </w:rPr>
      </w:pPr>
      <w:r w:rsidRPr="00A44CD9">
        <w:rPr>
          <w:sz w:val="16"/>
          <w:szCs w:val="16"/>
        </w:rPr>
        <w:t>VERIFICATION OF MATHEMATICAL COMPUTATIONS</w:t>
      </w:r>
      <w:r w:rsidRPr="00A44CD9">
        <w:rPr>
          <w:sz w:val="16"/>
          <w:szCs w:val="16"/>
        </w:rPr>
        <w:tab/>
        <w:t>41</w:t>
      </w:r>
    </w:p>
    <w:p w:rsidR="00A44CD9" w:rsidRPr="00A44CD9" w:rsidRDefault="00A44CD9" w:rsidP="00A44CD9">
      <w:pPr>
        <w:pStyle w:val="TOC1"/>
        <w:rPr>
          <w:rFonts w:eastAsiaTheme="minorEastAsia"/>
          <w:sz w:val="16"/>
          <w:szCs w:val="16"/>
        </w:rPr>
      </w:pPr>
      <w:r w:rsidRPr="00A44CD9">
        <w:rPr>
          <w:sz w:val="16"/>
          <w:szCs w:val="16"/>
        </w:rPr>
        <w:t>MUNICIPAL ADVISOR</w:t>
      </w:r>
      <w:r w:rsidRPr="00A44CD9">
        <w:rPr>
          <w:sz w:val="16"/>
          <w:szCs w:val="16"/>
        </w:rPr>
        <w:tab/>
        <w:t>41</w:t>
      </w:r>
    </w:p>
    <w:p w:rsidR="00A44CD9" w:rsidRPr="00A44CD9" w:rsidRDefault="00A44CD9" w:rsidP="00A44CD9">
      <w:pPr>
        <w:pStyle w:val="TOC1"/>
        <w:rPr>
          <w:rFonts w:eastAsiaTheme="minorEastAsia"/>
          <w:sz w:val="16"/>
          <w:szCs w:val="16"/>
        </w:rPr>
      </w:pPr>
      <w:r w:rsidRPr="00A44CD9">
        <w:rPr>
          <w:sz w:val="16"/>
          <w:szCs w:val="16"/>
        </w:rPr>
        <w:t>CERTAIN LEGAL MATTERS</w:t>
      </w:r>
      <w:r w:rsidRPr="00A44CD9">
        <w:rPr>
          <w:sz w:val="16"/>
          <w:szCs w:val="16"/>
        </w:rPr>
        <w:tab/>
        <w:t>42</w:t>
      </w:r>
    </w:p>
    <w:p w:rsidR="00A44CD9" w:rsidRPr="00A44CD9" w:rsidRDefault="00A44CD9" w:rsidP="00A44CD9">
      <w:pPr>
        <w:pStyle w:val="TOC1"/>
        <w:rPr>
          <w:rFonts w:eastAsiaTheme="minorEastAsia"/>
          <w:sz w:val="16"/>
          <w:szCs w:val="16"/>
        </w:rPr>
      </w:pPr>
      <w:r w:rsidRPr="00A44CD9">
        <w:rPr>
          <w:sz w:val="16"/>
          <w:szCs w:val="16"/>
        </w:rPr>
        <w:t>MISCELLANEOUS</w:t>
      </w:r>
      <w:r w:rsidRPr="00A44CD9">
        <w:rPr>
          <w:sz w:val="16"/>
          <w:szCs w:val="16"/>
        </w:rPr>
        <w:tab/>
        <w:t>42</w:t>
      </w:r>
    </w:p>
    <w:p w:rsidR="00A44CD9" w:rsidRPr="00A44CD9" w:rsidRDefault="00A44CD9" w:rsidP="00A44CD9">
      <w:pPr>
        <w:pStyle w:val="TOC1"/>
        <w:rPr>
          <w:rFonts w:eastAsiaTheme="minorEastAsia"/>
          <w:sz w:val="16"/>
          <w:szCs w:val="16"/>
        </w:rPr>
      </w:pPr>
      <w:r w:rsidRPr="00A44CD9">
        <w:rPr>
          <w:sz w:val="16"/>
          <w:szCs w:val="16"/>
        </w:rPr>
        <w:t>OFFICIAL STATEMENT CERTIFICATION</w:t>
      </w:r>
      <w:r w:rsidRPr="00A44CD9">
        <w:rPr>
          <w:sz w:val="16"/>
          <w:szCs w:val="16"/>
        </w:rPr>
        <w:tab/>
        <w:t>42</w:t>
      </w:r>
    </w:p>
    <w:p w:rsidR="00A44CD9" w:rsidRPr="00A44CD9" w:rsidRDefault="00A44CD9" w:rsidP="00A44CD9">
      <w:pPr>
        <w:pStyle w:val="TOC1"/>
        <w:rPr>
          <w:sz w:val="16"/>
          <w:szCs w:val="16"/>
        </w:rPr>
      </w:pPr>
    </w:p>
    <w:p w:rsidR="00A44CD9" w:rsidRPr="00A44CD9" w:rsidRDefault="00A44CD9" w:rsidP="00A44CD9">
      <w:pPr>
        <w:pStyle w:val="TOC1"/>
        <w:rPr>
          <w:sz w:val="16"/>
          <w:szCs w:val="16"/>
        </w:rPr>
      </w:pPr>
    </w:p>
    <w:p w:rsidR="00A44CD9" w:rsidRPr="00A44CD9" w:rsidRDefault="00A44CD9" w:rsidP="00A44CD9">
      <w:pPr>
        <w:pStyle w:val="TOC1"/>
        <w:tabs>
          <w:tab w:val="left" w:pos="1440"/>
        </w:tabs>
        <w:ind w:left="1440" w:right="-54" w:hanging="1440"/>
        <w:rPr>
          <w:sz w:val="16"/>
          <w:szCs w:val="16"/>
        </w:rPr>
      </w:pPr>
      <w:r w:rsidRPr="00A44CD9">
        <w:rPr>
          <w:sz w:val="16"/>
          <w:szCs w:val="16"/>
        </w:rPr>
        <w:t>APPENDIX A-1</w:t>
      </w:r>
      <w:r w:rsidRPr="00A44CD9">
        <w:rPr>
          <w:sz w:val="16"/>
          <w:szCs w:val="16"/>
        </w:rPr>
        <w:tab/>
        <w:t>AUDITED FINANCIAL STATEMENTS OF COLORADO BRIDGE ENTERPRISE FOR THE FISCAL YEARS ENDED JUNE 30, 2018 AND 2017</w:t>
      </w:r>
    </w:p>
    <w:p w:rsidR="00A44CD9" w:rsidRPr="00A44CD9" w:rsidRDefault="00A44CD9" w:rsidP="00A44CD9">
      <w:pPr>
        <w:pStyle w:val="TOC1"/>
        <w:tabs>
          <w:tab w:val="left" w:pos="1440"/>
        </w:tabs>
        <w:ind w:left="1440" w:right="-54" w:hanging="1440"/>
        <w:rPr>
          <w:sz w:val="16"/>
          <w:szCs w:val="16"/>
        </w:rPr>
      </w:pPr>
      <w:r w:rsidRPr="00A44CD9">
        <w:rPr>
          <w:sz w:val="16"/>
          <w:szCs w:val="16"/>
        </w:rPr>
        <w:t>APPENDIX A-2</w:t>
      </w:r>
      <w:r w:rsidRPr="00A44CD9">
        <w:rPr>
          <w:sz w:val="16"/>
          <w:szCs w:val="16"/>
        </w:rPr>
        <w:tab/>
        <w:t>CERTAIN UNAUDITED FINANCIAL INFORMATION OF COLORADO BRIDGE ENTERPRISE FOR THE FISCAL YEAR ENDED JUNE 30, 2019</w:t>
      </w:r>
    </w:p>
    <w:p w:rsidR="00A44CD9" w:rsidRPr="00A44CD9" w:rsidRDefault="00A44CD9" w:rsidP="00A44CD9">
      <w:pPr>
        <w:pStyle w:val="TOC1"/>
        <w:tabs>
          <w:tab w:val="left" w:pos="1440"/>
        </w:tabs>
        <w:ind w:left="1440" w:right="-54" w:hanging="1440"/>
        <w:rPr>
          <w:rFonts w:eastAsiaTheme="minorEastAsia"/>
          <w:sz w:val="16"/>
          <w:szCs w:val="16"/>
        </w:rPr>
      </w:pPr>
      <w:r w:rsidRPr="00A44CD9">
        <w:rPr>
          <w:sz w:val="16"/>
          <w:szCs w:val="16"/>
        </w:rPr>
        <w:t>APPENDIX B</w:t>
      </w:r>
      <w:r w:rsidRPr="00A44CD9">
        <w:rPr>
          <w:sz w:val="16"/>
          <w:szCs w:val="16"/>
        </w:rPr>
        <w:tab/>
        <w:t>OSPB SEPTEMBER 2019 REVENUE FORECAST</w:t>
      </w:r>
    </w:p>
    <w:p w:rsidR="00A44CD9" w:rsidRPr="00A44CD9" w:rsidRDefault="00A44CD9" w:rsidP="00A44CD9">
      <w:pPr>
        <w:pStyle w:val="TOC1"/>
        <w:tabs>
          <w:tab w:val="left" w:pos="1440"/>
        </w:tabs>
        <w:ind w:left="1440" w:right="-54" w:hanging="1440"/>
        <w:rPr>
          <w:rFonts w:eastAsiaTheme="minorEastAsia"/>
          <w:sz w:val="16"/>
          <w:szCs w:val="16"/>
        </w:rPr>
      </w:pPr>
      <w:r w:rsidRPr="00A44CD9">
        <w:rPr>
          <w:sz w:val="16"/>
          <w:szCs w:val="16"/>
        </w:rPr>
        <w:t>APPENDIX C</w:t>
      </w:r>
      <w:r w:rsidRPr="00A44CD9">
        <w:rPr>
          <w:sz w:val="16"/>
          <w:szCs w:val="16"/>
        </w:rPr>
        <w:tab/>
        <w:t>CERTAIN STATE ECONOMIC AND DEMOGRAPHIC INFORMATION</w:t>
      </w:r>
    </w:p>
    <w:p w:rsidR="00A44CD9" w:rsidRPr="00A44CD9" w:rsidRDefault="00A44CD9" w:rsidP="00A44CD9">
      <w:pPr>
        <w:pStyle w:val="TOC1"/>
        <w:tabs>
          <w:tab w:val="clear" w:pos="4306"/>
          <w:tab w:val="left" w:pos="1440"/>
        </w:tabs>
        <w:ind w:left="1440" w:right="0" w:hanging="1440"/>
        <w:rPr>
          <w:rFonts w:eastAsiaTheme="minorEastAsia"/>
          <w:sz w:val="16"/>
          <w:szCs w:val="16"/>
        </w:rPr>
      </w:pPr>
      <w:r w:rsidRPr="00A44CD9">
        <w:rPr>
          <w:sz w:val="16"/>
          <w:szCs w:val="16"/>
        </w:rPr>
        <w:t>APPENDIX d</w:t>
      </w:r>
      <w:r w:rsidRPr="00A44CD9">
        <w:rPr>
          <w:sz w:val="16"/>
          <w:szCs w:val="16"/>
        </w:rPr>
        <w:tab/>
        <w:t>SUMMARY OF CERTAIN PROVISIONS OF THE INDENTURE</w:t>
      </w:r>
    </w:p>
    <w:p w:rsidR="00A44CD9" w:rsidRPr="00A44CD9" w:rsidRDefault="00A44CD9" w:rsidP="00A44CD9">
      <w:pPr>
        <w:pStyle w:val="TOC1"/>
        <w:tabs>
          <w:tab w:val="left" w:pos="1440"/>
        </w:tabs>
        <w:ind w:left="1440" w:right="-54" w:hanging="1440"/>
        <w:rPr>
          <w:rFonts w:eastAsiaTheme="minorEastAsia"/>
          <w:sz w:val="16"/>
          <w:szCs w:val="16"/>
        </w:rPr>
      </w:pPr>
      <w:r w:rsidRPr="00A44CD9">
        <w:rPr>
          <w:sz w:val="16"/>
          <w:szCs w:val="16"/>
        </w:rPr>
        <w:t>APPENDIX E</w:t>
      </w:r>
      <w:r w:rsidRPr="00A44CD9">
        <w:rPr>
          <w:sz w:val="16"/>
          <w:szCs w:val="16"/>
        </w:rPr>
        <w:tab/>
        <w:t>FORM OF CONTINUING DISCLOSURE UNDERTAKING</w:t>
      </w:r>
    </w:p>
    <w:p w:rsidR="00A44CD9" w:rsidRPr="00A44CD9" w:rsidRDefault="00A44CD9" w:rsidP="00A44CD9">
      <w:pPr>
        <w:pStyle w:val="TOC1"/>
        <w:tabs>
          <w:tab w:val="left" w:pos="1440"/>
        </w:tabs>
        <w:ind w:left="1440" w:right="-54" w:hanging="1440"/>
        <w:rPr>
          <w:rFonts w:eastAsiaTheme="minorEastAsia"/>
          <w:sz w:val="16"/>
          <w:szCs w:val="16"/>
        </w:rPr>
      </w:pPr>
      <w:r w:rsidRPr="00A44CD9">
        <w:rPr>
          <w:sz w:val="16"/>
          <w:szCs w:val="16"/>
        </w:rPr>
        <w:t>APPENDIX F</w:t>
      </w:r>
      <w:r w:rsidRPr="00A44CD9">
        <w:rPr>
          <w:sz w:val="16"/>
          <w:szCs w:val="16"/>
        </w:rPr>
        <w:tab/>
        <w:t>FORM OF BOND COUNSEL OPINION</w:t>
      </w:r>
    </w:p>
    <w:p w:rsidR="00A44CD9" w:rsidRPr="00A44CD9" w:rsidRDefault="00A44CD9" w:rsidP="00A44CD9">
      <w:pPr>
        <w:pStyle w:val="TOC1"/>
        <w:ind w:left="1440" w:hanging="1440"/>
        <w:rPr>
          <w:rFonts w:eastAsiaTheme="minorEastAsia"/>
          <w:szCs w:val="18"/>
        </w:rPr>
      </w:pPr>
      <w:r w:rsidRPr="00A44CD9">
        <w:rPr>
          <w:sz w:val="16"/>
          <w:szCs w:val="16"/>
        </w:rPr>
        <w:t>APPENDIX G</w:t>
      </w:r>
      <w:r w:rsidRPr="00A44CD9">
        <w:rPr>
          <w:sz w:val="16"/>
          <w:szCs w:val="16"/>
        </w:rPr>
        <w:tab/>
        <w:t>DTC BOOK-ENTRY SYSTEM</w:t>
      </w:r>
    </w:p>
    <w:bookmarkEnd w:id="9"/>
    <w:p w:rsidR="00086FB4" w:rsidRPr="00791138" w:rsidRDefault="00086FB4" w:rsidP="00086FB4">
      <w:pPr>
        <w:rPr>
          <w:sz w:val="18"/>
          <w:szCs w:val="18"/>
        </w:rPr>
        <w:sectPr w:rsidR="00086FB4" w:rsidRPr="00791138" w:rsidSect="00643DA4">
          <w:headerReference w:type="even" r:id="rId26"/>
          <w:headerReference w:type="default" r:id="rId27"/>
          <w:footerReference w:type="even" r:id="rId28"/>
          <w:footerReference w:type="default" r:id="rId29"/>
          <w:headerReference w:type="first" r:id="rId30"/>
          <w:footerReference w:type="first" r:id="rId31"/>
          <w:footnotePr>
            <w:numFmt w:val="chicago"/>
            <w:numRestart w:val="eachPage"/>
          </w:footnotePr>
          <w:pgSz w:w="12240" w:h="15840" w:code="1"/>
          <w:pgMar w:top="1440" w:right="1440" w:bottom="1440" w:left="1440" w:header="1080" w:footer="720" w:gutter="0"/>
          <w:pgNumType w:fmt="lowerRoman"/>
          <w:cols w:num="2" w:space="720"/>
          <w:titlePg/>
          <w:docGrid w:linePitch="360"/>
        </w:sectPr>
      </w:pPr>
    </w:p>
    <w:p w:rsidR="002E4A0D" w:rsidRDefault="002E4A0D" w:rsidP="00862C4E">
      <w:pPr>
        <w:pStyle w:val="BoldCenter24pt"/>
      </w:pPr>
      <w:r>
        <w:t>OFFICIAL STATEMENT</w:t>
      </w:r>
    </w:p>
    <w:p w:rsidR="00862C4E" w:rsidRPr="00862C4E" w:rsidRDefault="000B736B" w:rsidP="000B736B">
      <w:pPr>
        <w:pStyle w:val="Centered"/>
        <w:spacing w:after="600"/>
        <w:rPr>
          <w:b/>
        </w:rPr>
      </w:pPr>
      <w:r>
        <w:rPr>
          <w:b/>
        </w:rPr>
        <w:t>$[PAR]</w:t>
      </w:r>
      <w:r>
        <w:rPr>
          <w:rStyle w:val="FootnoteReference"/>
          <w:b/>
        </w:rPr>
        <w:footnoteReference w:id="4"/>
      </w:r>
      <w:r>
        <w:rPr>
          <w:b/>
        </w:rPr>
        <w:br/>
      </w:r>
      <w:r w:rsidR="00862C4E" w:rsidRPr="00862C4E">
        <w:rPr>
          <w:b/>
        </w:rPr>
        <w:t>COLORADO BRIDGE ENTERPRISE</w:t>
      </w:r>
      <w:r>
        <w:rPr>
          <w:b/>
        </w:rPr>
        <w:br/>
        <w:t xml:space="preserve">Senior </w:t>
      </w:r>
      <w:r w:rsidR="00A239A3">
        <w:rPr>
          <w:b/>
        </w:rPr>
        <w:t xml:space="preserve">Revenue </w:t>
      </w:r>
      <w:r>
        <w:rPr>
          <w:b/>
        </w:rPr>
        <w:t xml:space="preserve">Refunding </w:t>
      </w:r>
      <w:r w:rsidR="00A239A3">
        <w:rPr>
          <w:b/>
        </w:rPr>
        <w:t>Bonds</w:t>
      </w:r>
      <w:r w:rsidR="00A239A3">
        <w:rPr>
          <w:b/>
        </w:rPr>
        <w:br/>
      </w:r>
      <w:r w:rsidR="00DC5234" w:rsidRPr="00862C4E">
        <w:rPr>
          <w:b/>
        </w:rPr>
        <w:t>Series </w:t>
      </w:r>
      <w:r w:rsidR="0092331F">
        <w:rPr>
          <w:b/>
        </w:rPr>
        <w:t>2019A</w:t>
      </w:r>
    </w:p>
    <w:p w:rsidR="002E4A0D" w:rsidRDefault="002E4A0D" w:rsidP="00DC5234">
      <w:pPr>
        <w:pStyle w:val="Kutak1L1"/>
      </w:pPr>
      <w:bookmarkStart w:id="12" w:name="_Toc21694888"/>
      <w:r>
        <w:t>INTRODUCTION</w:t>
      </w:r>
      <w:bookmarkEnd w:id="12"/>
    </w:p>
    <w:p w:rsidR="002E4A0D" w:rsidRDefault="002E4A0D" w:rsidP="002E5EAF">
      <w:pPr>
        <w:pStyle w:val="Kutak1L2"/>
      </w:pPr>
      <w:bookmarkStart w:id="13" w:name="_Toc21694889"/>
      <w:r>
        <w:t>General</w:t>
      </w:r>
      <w:bookmarkEnd w:id="13"/>
    </w:p>
    <w:p w:rsidR="002E4A0D" w:rsidRDefault="002E4A0D" w:rsidP="002E4A0D">
      <w:pPr>
        <w:pStyle w:val="BodyText"/>
      </w:pPr>
      <w:r>
        <w:t>This Official Statement</w:t>
      </w:r>
      <w:r w:rsidR="00DB673A">
        <w:t xml:space="preserve">, </w:t>
      </w:r>
      <w:r w:rsidR="00DB673A" w:rsidRPr="00DB673A">
        <w:t xml:space="preserve">which includes the cover page, inside front cover, prefatory information and the appendices, furnishes information in connection with the </w:t>
      </w:r>
      <w:r>
        <w:t xml:space="preserve">issuance and sale by the Colorado Bridge Enterprise (the “Bridge Enterprise”), </w:t>
      </w:r>
      <w:r w:rsidR="000B736B">
        <w:t xml:space="preserve">a government-owned business </w:t>
      </w:r>
      <w:r>
        <w:t xml:space="preserve">within the Colorado Department of Transportation (“CDOT”), of </w:t>
      </w:r>
      <w:r w:rsidR="0092331F">
        <w:t>$[PAR]</w:t>
      </w:r>
      <w:r w:rsidR="000B736B" w:rsidRPr="000B736B">
        <w:rPr>
          <w:vertAlign w:val="superscript"/>
        </w:rPr>
        <w:t>*</w:t>
      </w:r>
      <w:r>
        <w:t xml:space="preserve"> aggregate principal amount of its Colorado Bridge Enterprise </w:t>
      </w:r>
      <w:r w:rsidR="000B736B">
        <w:t xml:space="preserve">Senior </w:t>
      </w:r>
      <w:r>
        <w:t xml:space="preserve">Revenue </w:t>
      </w:r>
      <w:r w:rsidR="000B736B">
        <w:t xml:space="preserve">Refunding </w:t>
      </w:r>
      <w:r>
        <w:t xml:space="preserve">Bonds, </w:t>
      </w:r>
      <w:r w:rsidR="00D74A11">
        <w:t>Series </w:t>
      </w:r>
      <w:r w:rsidR="0092331F">
        <w:t>2019A</w:t>
      </w:r>
      <w:r>
        <w:t xml:space="preserve"> (the “</w:t>
      </w:r>
      <w:r w:rsidR="006C3474">
        <w:t>Series 2019A Senior Bond</w:t>
      </w:r>
      <w:r>
        <w:t>s”)</w:t>
      </w:r>
      <w:r w:rsidR="009F27D6">
        <w:t xml:space="preserve">.  </w:t>
      </w:r>
      <w:r>
        <w:t xml:space="preserve">The </w:t>
      </w:r>
      <w:r w:rsidR="006C3474">
        <w:t>Series 2019A Senior Bond</w:t>
      </w:r>
      <w:r>
        <w:t>s are being issued pursuant to</w:t>
      </w:r>
      <w:r w:rsidR="000C44D7">
        <w:t xml:space="preserve"> (a) the Funding Advancements for Surface Transportation and Economic Recovery Act of 2009, Sections 43-4-801 </w:t>
      </w:r>
      <w:r w:rsidR="000C44D7" w:rsidRPr="0075697F">
        <w:rPr>
          <w:i/>
        </w:rPr>
        <w:t>et seq</w:t>
      </w:r>
      <w:r w:rsidR="000C44D7">
        <w:t xml:space="preserve">., Colorado Revised Statutes, as amended (“FASTER”); (b) the Supplemental Public Securities Act, </w:t>
      </w:r>
      <w:r w:rsidR="0075697F">
        <w:t xml:space="preserve">Colorado Revised Statutes </w:t>
      </w:r>
      <w:r w:rsidR="000C44D7">
        <w:t xml:space="preserve">title 11, article 57, Part 2, as amended (the “Supplemental Securities Act”); </w:t>
      </w:r>
      <w:r w:rsidR="00C4527A">
        <w:t xml:space="preserve">(c) the </w:t>
      </w:r>
      <w:r w:rsidR="00C4527A" w:rsidRPr="00C4527A">
        <w:t xml:space="preserve">Public Securities Refunding Act, </w:t>
      </w:r>
      <w:r w:rsidR="00C4527A">
        <w:t xml:space="preserve">Colorado Revised Statutes, </w:t>
      </w:r>
      <w:r w:rsidR="00C4527A" w:rsidRPr="00C4527A">
        <w:t>title 11, article 56</w:t>
      </w:r>
      <w:r w:rsidR="00C4527A">
        <w:t>, as amended (the “Refunding Act”); and</w:t>
      </w:r>
      <w:r w:rsidR="000C44D7">
        <w:t xml:space="preserve"> (</w:t>
      </w:r>
      <w:r w:rsidR="00C4527A">
        <w:t>d</w:t>
      </w:r>
      <w:r w:rsidR="000C44D7">
        <w:t>)</w:t>
      </w:r>
      <w:r>
        <w:t xml:space="preserve"> </w:t>
      </w:r>
      <w:r w:rsidR="000B736B">
        <w:t xml:space="preserve">the </w:t>
      </w:r>
      <w:r>
        <w:t>Master Trust Indenture</w:t>
      </w:r>
      <w:r w:rsidR="000B736B">
        <w:t>, dated as of December 15, 2010, as amended</w:t>
      </w:r>
      <w:r w:rsidR="00CD2CF4">
        <w:t xml:space="preserve"> </w:t>
      </w:r>
      <w:r>
        <w:t>(the “Master Indenture”)</w:t>
      </w:r>
      <w:r w:rsidR="000B736B">
        <w:t>,</w:t>
      </w:r>
      <w:r w:rsidR="00197111">
        <w:t xml:space="preserve"> </w:t>
      </w:r>
      <w:r w:rsidR="001B2DD2">
        <w:t xml:space="preserve">by and </w:t>
      </w:r>
      <w:r>
        <w:t xml:space="preserve">between the Bridge Enterprise and </w:t>
      </w:r>
      <w:r w:rsidR="006C3474">
        <w:t>Zions Bancorporation</w:t>
      </w:r>
      <w:r w:rsidR="001B2DD2" w:rsidRPr="001B2DD2">
        <w:t>, National Association, as successor trustee</w:t>
      </w:r>
      <w:r>
        <w:t xml:space="preserve"> (the “Trustee”), and a 201</w:t>
      </w:r>
      <w:r w:rsidR="000B736B">
        <w:t>9</w:t>
      </w:r>
      <w:r>
        <w:t xml:space="preserve"> Supplemental Trust Indenture</w:t>
      </w:r>
      <w:r w:rsidR="000B736B">
        <w:t>,</w:t>
      </w:r>
      <w:r>
        <w:t xml:space="preserve"> to be dated as of </w:t>
      </w:r>
      <w:r w:rsidR="00F17EA0">
        <w:t>December 1</w:t>
      </w:r>
      <w:r w:rsidR="000B736B">
        <w:t>, 2019</w:t>
      </w:r>
      <w:r>
        <w:t xml:space="preserve"> (the “201</w:t>
      </w:r>
      <w:r w:rsidR="000B736B">
        <w:t>9</w:t>
      </w:r>
      <w:r>
        <w:t xml:space="preserve"> Supplemental Indenture” and, together with the Master Indenture</w:t>
      </w:r>
      <w:r w:rsidR="00CD2CF4">
        <w:t xml:space="preserve"> and all other supplements thereto</w:t>
      </w:r>
      <w:r>
        <w:t>, the “Indenture”)</w:t>
      </w:r>
      <w:r w:rsidR="000B736B">
        <w:t xml:space="preserve">, by and </w:t>
      </w:r>
      <w:r>
        <w:t>between the Bridge Enterprise and the Trustee.</w:t>
      </w:r>
    </w:p>
    <w:p w:rsidR="00DB673A" w:rsidRPr="00DB673A" w:rsidRDefault="000C44D7" w:rsidP="00DB673A">
      <w:pPr>
        <w:pStyle w:val="BodyText"/>
        <w:rPr>
          <w:i/>
        </w:rPr>
      </w:pPr>
      <w:r w:rsidRPr="000C44D7">
        <w:rPr>
          <w:i/>
        </w:rPr>
        <w:t xml:space="preserve">This introduction is not a summary of this Official Statement.  It is only a summary description of and guide to, and is qualified by, more complete and detailed information contained in the entire Official Statement and the documents summarized or described herein.  </w:t>
      </w:r>
      <w:r w:rsidR="00DB673A" w:rsidRPr="00DB673A">
        <w:rPr>
          <w:i/>
        </w:rPr>
        <w:t>The offering of the Series 2019A Senior Bonds to potential investors is made only by means of this entire Official Statement, including all Appendices.  Capitalized terms used but not defined in this Official Statement have the meanings ascribed to them in “APPENDIX D—</w:t>
      </w:r>
      <w:r w:rsidR="00740787">
        <w:rPr>
          <w:i/>
        </w:rPr>
        <w:t xml:space="preserve">SUMMARY OF CERTAIN PROVISIONS OF THE </w:t>
      </w:r>
      <w:r w:rsidR="00CD39DD">
        <w:rPr>
          <w:i/>
        </w:rPr>
        <w:t>INDENTURE</w:t>
      </w:r>
      <w:r w:rsidR="00DB673A" w:rsidRPr="00DB673A">
        <w:rPr>
          <w:i/>
        </w:rPr>
        <w:t>—</w:t>
      </w:r>
      <w:r w:rsidR="000B3B31">
        <w:rPr>
          <w:i/>
        </w:rPr>
        <w:t>DEFINITION</w:t>
      </w:r>
      <w:r w:rsidR="00CD2CF4">
        <w:rPr>
          <w:i/>
        </w:rPr>
        <w:t>S</w:t>
      </w:r>
      <w:r w:rsidR="00DB673A" w:rsidRPr="00DB673A">
        <w:rPr>
          <w:i/>
        </w:rPr>
        <w:t>.”</w:t>
      </w:r>
    </w:p>
    <w:p w:rsidR="00DB673A" w:rsidRDefault="0075697F" w:rsidP="00DB673A">
      <w:pPr>
        <w:pStyle w:val="Kutak1L2"/>
      </w:pPr>
      <w:bookmarkStart w:id="14" w:name="_Toc21694890"/>
      <w:r>
        <w:t>Purpose of Issuance of Serie</w:t>
      </w:r>
      <w:r w:rsidR="00DD65F7">
        <w:t>s</w:t>
      </w:r>
      <w:r>
        <w:t xml:space="preserve"> 2019A Senior Bond</w:t>
      </w:r>
      <w:r w:rsidR="00CD2CF4">
        <w:t>s</w:t>
      </w:r>
      <w:bookmarkEnd w:id="14"/>
    </w:p>
    <w:p w:rsidR="002E4A0D" w:rsidRDefault="0075697F" w:rsidP="002E4A0D">
      <w:pPr>
        <w:pStyle w:val="BodyText"/>
      </w:pPr>
      <w:r>
        <w:t>The p</w:t>
      </w:r>
      <w:r w:rsidR="002E4A0D">
        <w:t xml:space="preserve">roceeds of the </w:t>
      </w:r>
      <w:r w:rsidR="006C3474">
        <w:t>Series 2019A Senior Bond</w:t>
      </w:r>
      <w:r w:rsidR="002E4A0D">
        <w:t>s</w:t>
      </w:r>
      <w:r w:rsidR="007B17F8">
        <w:t xml:space="preserve"> </w:t>
      </w:r>
      <w:r w:rsidR="002E4A0D">
        <w:t>will be used</w:t>
      </w:r>
      <w:r w:rsidR="007B17F8">
        <w:t xml:space="preserve"> to</w:t>
      </w:r>
      <w:r w:rsidR="002E4A0D">
        <w:t xml:space="preserve"> (</w:t>
      </w:r>
      <w:r w:rsidR="002E5EAF">
        <w:t>a</w:t>
      </w:r>
      <w:r w:rsidR="002E4A0D">
        <w:t>)</w:t>
      </w:r>
      <w:r w:rsidR="007B17F8">
        <w:t xml:space="preserve"> refund and </w:t>
      </w:r>
      <w:proofErr w:type="spellStart"/>
      <w:r w:rsidR="007B17F8">
        <w:t>defease</w:t>
      </w:r>
      <w:proofErr w:type="spellEnd"/>
      <w:r w:rsidR="007B17F8">
        <w:t xml:space="preserve"> the Refunded Bonds (as defined herein)</w:t>
      </w:r>
      <w:r w:rsidR="002E5EAF">
        <w:t>,</w:t>
      </w:r>
      <w:r w:rsidR="002E4A0D">
        <w:t xml:space="preserve"> and (</w:t>
      </w:r>
      <w:r w:rsidR="002E5EAF">
        <w:t>b</w:t>
      </w:r>
      <w:r w:rsidR="002E4A0D">
        <w:t xml:space="preserve">) pay the costs of issuing the </w:t>
      </w:r>
      <w:r w:rsidR="006C3474">
        <w:t>Series 2019A Senior Bond</w:t>
      </w:r>
      <w:r w:rsidR="002E4A0D">
        <w:t>s</w:t>
      </w:r>
      <w:r w:rsidR="009F27D6">
        <w:t xml:space="preserve">.  </w:t>
      </w:r>
      <w:r w:rsidR="002E4A0D">
        <w:t xml:space="preserve">See “PLAN OF </w:t>
      </w:r>
      <w:r w:rsidR="007B17F8">
        <w:t>RE</w:t>
      </w:r>
      <w:r w:rsidR="004B471D">
        <w:t>F</w:t>
      </w:r>
      <w:r w:rsidR="007B17F8">
        <w:t>UNDING</w:t>
      </w:r>
      <w:r w:rsidR="002E4A0D">
        <w:t>.</w:t>
      </w:r>
      <w:r w:rsidR="007B17F8">
        <w:t>”</w:t>
      </w:r>
    </w:p>
    <w:p w:rsidR="002E4A0D" w:rsidRDefault="002E4A0D" w:rsidP="002E5EAF">
      <w:pPr>
        <w:pStyle w:val="Kutak1L2"/>
      </w:pPr>
      <w:bookmarkStart w:id="15" w:name="_Toc21694891"/>
      <w:r>
        <w:t>Bridge Enterprise</w:t>
      </w:r>
      <w:bookmarkEnd w:id="15"/>
    </w:p>
    <w:p w:rsidR="002E4A0D" w:rsidRPr="00B524E8" w:rsidRDefault="002E4A0D" w:rsidP="002E4A0D">
      <w:pPr>
        <w:pStyle w:val="BodyText"/>
      </w:pPr>
      <w:r>
        <w:t>The Bridge Enterprise was created pursuant to FASTER, as a government-owned business within CDOT, with all the powers, duties and privileges permitted by FASTER</w:t>
      </w:r>
      <w:r w:rsidR="009F27D6">
        <w:t xml:space="preserve">.  </w:t>
      </w:r>
      <w:r w:rsidR="00B8455E">
        <w:t xml:space="preserve">The </w:t>
      </w:r>
      <w:r w:rsidR="00B8455E" w:rsidRPr="00917D1E">
        <w:rPr>
          <w:szCs w:val="22"/>
        </w:rPr>
        <w:t>State</w:t>
      </w:r>
      <w:r w:rsidR="00B8455E">
        <w:rPr>
          <w:szCs w:val="22"/>
        </w:rPr>
        <w:t xml:space="preserve"> of Colorado</w:t>
      </w:r>
      <w:r w:rsidR="00B8455E" w:rsidRPr="00917D1E">
        <w:rPr>
          <w:szCs w:val="22"/>
        </w:rPr>
        <w:t xml:space="preserve"> Transportation Commission (the </w:t>
      </w:r>
      <w:r w:rsidR="00B8455E">
        <w:rPr>
          <w:szCs w:val="22"/>
        </w:rPr>
        <w:t>“</w:t>
      </w:r>
      <w:r w:rsidR="00B8455E" w:rsidRPr="00917D1E">
        <w:rPr>
          <w:szCs w:val="22"/>
        </w:rPr>
        <w:t>Transportation Commission</w:t>
      </w:r>
      <w:r w:rsidR="00B8455E">
        <w:rPr>
          <w:szCs w:val="22"/>
        </w:rPr>
        <w:t>”</w:t>
      </w:r>
      <w:r w:rsidR="00B8455E" w:rsidRPr="00917D1E">
        <w:rPr>
          <w:szCs w:val="22"/>
        </w:rPr>
        <w:t xml:space="preserve">), which under Colorado law is responsible for formulating </w:t>
      </w:r>
      <w:r w:rsidR="00B8455E" w:rsidRPr="00180B6B">
        <w:rPr>
          <w:szCs w:val="22"/>
        </w:rPr>
        <w:t>general policy with respect to State</w:t>
      </w:r>
      <w:r w:rsidR="00B8455E">
        <w:rPr>
          <w:szCs w:val="22"/>
        </w:rPr>
        <w:t xml:space="preserve"> of Colorado (the “State”)</w:t>
      </w:r>
      <w:r w:rsidR="00B8455E" w:rsidRPr="00180B6B">
        <w:rPr>
          <w:szCs w:val="22"/>
        </w:rPr>
        <w:t xml:space="preserve"> public highways and other transportation systems, and which promulgates and adopts all CDOT budgets and all State transportation programs</w:t>
      </w:r>
      <w:r>
        <w:t>, serves as the board of directors of the Bridge Enterprise (the “Bridge Enterprise Board”)</w:t>
      </w:r>
      <w:r w:rsidR="009F27D6">
        <w:t xml:space="preserve">.  </w:t>
      </w:r>
      <w:r>
        <w:t xml:space="preserve">The purpose of the Bridge Enterprise is to finance, repair, reconstruct, replace, operate and maintain, or any combination thereof, </w:t>
      </w:r>
      <w:r w:rsidR="00B8455E">
        <w:t xml:space="preserve">certain designated bridges located in the State and the roadways, sidewalks or other infrastructure connected or adjacent to such bridges.  </w:t>
      </w:r>
      <w:r>
        <w:t>As provided in FASTER, the Bridge Enterprise constitutes an “enterprise” for purposes of Section 20 of Article X of the State Constitution (commonly referred to as “TABOR”), and accordingly, is not subject to the revenue and spending limitations of TABOR</w:t>
      </w:r>
      <w:r w:rsidR="009F27D6">
        <w:t xml:space="preserve">.  </w:t>
      </w:r>
      <w:r>
        <w:t>The Bridge Enterprise has no taxing powers</w:t>
      </w:r>
      <w:r w:rsidR="009F27D6">
        <w:t xml:space="preserve">.  </w:t>
      </w:r>
      <w:r>
        <w:t>See “THE BRID</w:t>
      </w:r>
      <w:r w:rsidRPr="00B524E8">
        <w:t xml:space="preserve">GE ENTERPRISE,” </w:t>
      </w:r>
      <w:r w:rsidR="00B524E8" w:rsidRPr="00B524E8">
        <w:t xml:space="preserve">and </w:t>
      </w:r>
      <w:r w:rsidRPr="00B524E8">
        <w:t>“THE COLORADO DEPARTMENT OF TRANSPORTATION.”</w:t>
      </w:r>
    </w:p>
    <w:p w:rsidR="002E4A0D" w:rsidRPr="00B524E8" w:rsidRDefault="002E4A0D" w:rsidP="002E5EAF">
      <w:pPr>
        <w:pStyle w:val="Kutak1L2"/>
      </w:pPr>
      <w:bookmarkStart w:id="16" w:name="_Toc21694892"/>
      <w:r w:rsidRPr="00B524E8">
        <w:t>CDOT</w:t>
      </w:r>
      <w:bookmarkEnd w:id="16"/>
    </w:p>
    <w:p w:rsidR="002E4A0D" w:rsidRDefault="008C5066" w:rsidP="002E4A0D">
      <w:pPr>
        <w:pStyle w:val="BodyText"/>
      </w:pPr>
      <w:r w:rsidRPr="008C5066">
        <w:t>CDOT is an executive department of the State, with all the powers, duties, and privileges permitted by Title 43, Colorado Revised Statutes, as amended.  CDOT is under the direction of the Executive Director (the “</w:t>
      </w:r>
      <w:r w:rsidR="00A335D5">
        <w:t xml:space="preserve">CDOT </w:t>
      </w:r>
      <w:r w:rsidRPr="008C5066">
        <w:t>Executive Director”).  CDOT works in conjunction with the Transportation Commission.  See “THE COLORADO DEPARTMENT OF TRANSPORTATION—The Transportation Commission</w:t>
      </w:r>
      <w:r>
        <w:t>.</w:t>
      </w:r>
      <w:r w:rsidRPr="008C5066">
        <w:t xml:space="preserve">”  In cooperation with the Transportation Commission and other State entities and local, federal, and private entities, CDOT is responsible for the planning, development, and construction of public highways and other components of the transportation network for the State. </w:t>
      </w:r>
      <w:r>
        <w:t xml:space="preserve"> </w:t>
      </w:r>
      <w:r w:rsidRPr="008C5066">
        <w:t>CDOT has no taxing powers.  See “THE COLORADO DEPARTMENT OF TRANSPORTATION.</w:t>
      </w:r>
      <w:r w:rsidR="009F27D6">
        <w:t xml:space="preserve">  </w:t>
      </w:r>
    </w:p>
    <w:p w:rsidR="002E4A0D" w:rsidRDefault="00AD4A67" w:rsidP="00AD4A67">
      <w:pPr>
        <w:pStyle w:val="Kutak1L2"/>
        <w:jc w:val="left"/>
      </w:pPr>
      <w:bookmarkStart w:id="17" w:name="_Toc21694893"/>
      <w:r>
        <w:t>Security and Sources of Payment</w:t>
      </w:r>
      <w:r w:rsidR="0092331F">
        <w:t xml:space="preserve"> </w:t>
      </w:r>
      <w:r w:rsidR="002E4A0D">
        <w:t xml:space="preserve">for the </w:t>
      </w:r>
      <w:r w:rsidR="006C3474">
        <w:t>Series 2019A Senior Bond</w:t>
      </w:r>
      <w:r w:rsidR="002E4A0D">
        <w:t>s</w:t>
      </w:r>
      <w:bookmarkEnd w:id="17"/>
    </w:p>
    <w:p w:rsidR="001B147B" w:rsidRDefault="002E4A0D" w:rsidP="002E4A0D">
      <w:pPr>
        <w:pStyle w:val="BodyText"/>
      </w:pPr>
      <w:r>
        <w:t xml:space="preserve">The </w:t>
      </w:r>
      <w:r w:rsidR="006C3474">
        <w:t>Series 2019A Senior Bond</w:t>
      </w:r>
      <w:r>
        <w:t>s are special, limited obligations of the Bridge Enterprise payable solely from the Trust Estate, as provided in the Indenture</w:t>
      </w:r>
      <w:r w:rsidR="009F27D6">
        <w:t xml:space="preserve">.  </w:t>
      </w:r>
      <w:r>
        <w:t xml:space="preserve">The Trust Estate consists primarily of Revenues </w:t>
      </w:r>
      <w:r w:rsidR="008C5066">
        <w:t xml:space="preserve">and certain other amounts </w:t>
      </w:r>
      <w:r>
        <w:t>deposited in the Bridge Enterprise Special Revenue Fund (the “Bridge Special Fund”) created in the State treasury pursuant to FASTER</w:t>
      </w:r>
      <w:r w:rsidR="009F27D6">
        <w:t xml:space="preserve">.  </w:t>
      </w:r>
      <w:r w:rsidR="008D6F0D">
        <w:t xml:space="preserve">All Revenues are required by the Indenture to be deposited into the General Account of the Bridge Special Fund (the “General Account”).  </w:t>
      </w:r>
      <w:r>
        <w:t>“Revenues” are defined genera</w:t>
      </w:r>
      <w:r w:rsidR="00AD4A67">
        <w:t xml:space="preserve">lly in the </w:t>
      </w:r>
      <w:r w:rsidR="007A3D6B">
        <w:t xml:space="preserve">Master </w:t>
      </w:r>
      <w:r w:rsidR="00AD4A67">
        <w:t xml:space="preserve">Indenture to consist </w:t>
      </w:r>
      <w:r>
        <w:t>of (a)</w:t>
      </w:r>
      <w:r w:rsidR="009645DE">
        <w:t> </w:t>
      </w:r>
      <w:r w:rsidR="001B147B" w:rsidRPr="001B147B">
        <w:t>the Bridge Surcharges</w:t>
      </w:r>
      <w:r w:rsidR="001B147B">
        <w:t xml:space="preserve"> (as defined below)</w:t>
      </w:r>
      <w:r w:rsidR="001B147B" w:rsidRPr="001B147B">
        <w:t>; (b) all money deposited into the General Account by CDOT from (i) moneys paid to CDOT by the United States Department of Transportation or (ii) moneys paid to a political subdivision of the State by the United States Department of Transportation that are subsequently paid to CDOT by such political subdivision; (c) all money deposited into the General Account</w:t>
      </w:r>
      <w:r w:rsidR="001B147B">
        <w:t xml:space="preserve"> </w:t>
      </w:r>
      <w:r w:rsidR="001B147B" w:rsidRPr="001B147B">
        <w:t>by CDOT from any source other than a source described in clause (b)</w:t>
      </w:r>
      <w:r w:rsidR="001B147B">
        <w:t>;</w:t>
      </w:r>
      <w:r w:rsidR="001B147B" w:rsidRPr="001B147B">
        <w:t xml:space="preserve"> (d) all earnings from the investment of moneys held in </w:t>
      </w:r>
      <w:r w:rsidR="001B147B">
        <w:t>certain funds and accounts created within the Bridge Special Fund</w:t>
      </w:r>
      <w:r w:rsidR="001B147B" w:rsidRPr="001B147B">
        <w:t>; (e) the proceeds of any loan provided by CDOT to the Bridge Enterprise; (f) the proceeds from the sale or other disposition of any Designated Bridge; and (g)</w:t>
      </w:r>
      <w:r w:rsidR="00A2140B">
        <w:t> </w:t>
      </w:r>
      <w:r w:rsidR="001B147B" w:rsidRPr="001B147B">
        <w:t xml:space="preserve">all amounts paid to the Bridge Enterprise from grants and other sources not included in clauses (a) through (f), excluding, however, any such amounts that the Bridge Enterprise determines are, pursuant to the arrangement under which such amounts are paid to the Bridge Enterprise, required to be used for a purpose that is inconsistent with the deposit of such amounts into the General Account.  Federal Direct Payments and amounts payable to the Bridge Enterprise or the Trustee pursuant to a Hedge Agreement or Credit Facility with respect to </w:t>
      </w:r>
      <w:r w:rsidR="00A2140B">
        <w:t xml:space="preserve">Senior Bonds, First Tier Subordinate Bonds or Second Tier Subordinate </w:t>
      </w:r>
      <w:r w:rsidR="001B147B" w:rsidRPr="001B147B">
        <w:t>Bonds are not Revenues but are included in the Trust Estate.</w:t>
      </w:r>
    </w:p>
    <w:p w:rsidR="00B524E8" w:rsidRDefault="002E4A0D" w:rsidP="002E4A0D">
      <w:pPr>
        <w:pStyle w:val="BodyText"/>
      </w:pPr>
      <w:r>
        <w:t>On June 18, 2009, in accordance with the authority granted to it under FASTER, the Bridge Enterprise Board imposed bridge safety surcharges (the “Bridge Surcharges</w:t>
      </w:r>
      <w:r w:rsidR="00AD4A67">
        <w:t>”), effective on and after July </w:t>
      </w:r>
      <w:r>
        <w:t>1, 2009</w:t>
      </w:r>
      <w:r w:rsidR="008D6F0D">
        <w:t>,</w:t>
      </w:r>
      <w:r>
        <w:t xml:space="preserve"> for any registration period commencing on or after July 1, 2009, upon the registration of any vehicle for which a registration fee must be paid pursuant to the provisions of Part 3 of Article 3 of Title 42, Colorado Revised Statutes, as amended</w:t>
      </w:r>
      <w:r w:rsidR="009F27D6">
        <w:t xml:space="preserve">.  </w:t>
      </w:r>
      <w:r w:rsidR="00981C4D">
        <w:t xml:space="preserve">The Bridge Surcharges constitute a substantial part of the Revenues deposited to the General Account.  The Bridge Enterprise has covenanted in the </w:t>
      </w:r>
      <w:r w:rsidR="009A0A1D">
        <w:t xml:space="preserve">Master </w:t>
      </w:r>
      <w:r w:rsidR="00981C4D">
        <w:t>Indenture not to reduce any Bridge Surcharges below the maximum rates authorized by FASTER effective July 1, 2011, as long as any obligations payable from Revenues are outstanding, includ</w:t>
      </w:r>
      <w:r w:rsidR="00C8129A">
        <w:t>ing</w:t>
      </w:r>
      <w:r w:rsidR="00981C4D">
        <w:t xml:space="preserve"> the Series 2019A Senior Bonds.  </w:t>
      </w:r>
      <w:r w:rsidR="00AB4CC7">
        <w:t xml:space="preserve">The Bridge Surcharges accounted for </w:t>
      </w:r>
      <w:r w:rsidR="00BF0CC0">
        <w:t>81</w:t>
      </w:r>
      <w:r w:rsidR="00AB4CC7">
        <w:t xml:space="preserve">% of all funds deposited to the </w:t>
      </w:r>
      <w:r w:rsidR="00981C4D">
        <w:t xml:space="preserve">General Account </w:t>
      </w:r>
      <w:r w:rsidR="00AB4CC7">
        <w:t>in Fiscal Year 2019</w:t>
      </w:r>
      <w:r w:rsidR="00F234C0">
        <w:t xml:space="preserve"> (t</w:t>
      </w:r>
      <w:r w:rsidR="00872F93" w:rsidRPr="00872F93">
        <w:t xml:space="preserve">he </w:t>
      </w:r>
      <w:r w:rsidR="00872F93">
        <w:t xml:space="preserve">Bridge Enterprise’s </w:t>
      </w:r>
      <w:r w:rsidR="00872F93" w:rsidRPr="00872F93">
        <w:t>Fiscal Yea</w:t>
      </w:r>
      <w:r w:rsidR="00F234C0">
        <w:t>r</w:t>
      </w:r>
      <w:r w:rsidR="00872F93" w:rsidRPr="00872F93">
        <w:t xml:space="preserve"> currently begins on July 1 and ends on June 30 of the immediately subsequent year</w:t>
      </w:r>
      <w:r w:rsidR="00F234C0">
        <w:t>)</w:t>
      </w:r>
      <w:r w:rsidR="00872F93" w:rsidRPr="00872F93">
        <w:t xml:space="preserve">.  </w:t>
      </w:r>
      <w:r w:rsidR="00981C4D">
        <w:t>See “SECURITY AND SOURCES OF PAYMENT FOR THE SERIES 2019A SENIOR BONDS” and “APPENDIX D—</w:t>
      </w:r>
      <w:r w:rsidR="00EA3BFB">
        <w:t>SUMMARY OF CERTAIN PROVISIONS OF THE</w:t>
      </w:r>
      <w:r w:rsidR="008479F2">
        <w:t xml:space="preserve"> INDENTURE</w:t>
      </w:r>
      <w:r w:rsidR="00981C4D">
        <w:t>—</w:t>
      </w:r>
      <w:r w:rsidR="00015165">
        <w:t>—</w:t>
      </w:r>
      <w:r w:rsidR="00981C4D">
        <w:t>SECURITY FOR BONDS—Special, Limited Obligations.”</w:t>
      </w:r>
    </w:p>
    <w:p w:rsidR="00EC28E0" w:rsidRDefault="002E4A0D" w:rsidP="002E4A0D">
      <w:pPr>
        <w:pStyle w:val="BodyText"/>
      </w:pPr>
      <w:r>
        <w:t xml:space="preserve">The owners of the </w:t>
      </w:r>
      <w:r w:rsidR="006C3474">
        <w:t>Series 2019A Senior Bond</w:t>
      </w:r>
      <w:r>
        <w:t xml:space="preserve">s may not look to any revenues or funds of CDOT or the State for payment of </w:t>
      </w:r>
      <w:r w:rsidR="008479F2">
        <w:t xml:space="preserve">the </w:t>
      </w:r>
      <w:r>
        <w:t xml:space="preserve">principal of or interest on the </w:t>
      </w:r>
      <w:r w:rsidR="006C3474">
        <w:t>Series 2019A Senior Bond</w:t>
      </w:r>
      <w:r>
        <w:t xml:space="preserve">s, and the </w:t>
      </w:r>
      <w:r w:rsidR="006C3474">
        <w:t>Series 2019A Senior Bond</w:t>
      </w:r>
      <w:r>
        <w:t xml:space="preserve">s will not be deemed or construed as creating an indebtedness of CDOT or the State within the meaning of the State Constitution or </w:t>
      </w:r>
      <w:r w:rsidR="008479F2">
        <w:t xml:space="preserve">the </w:t>
      </w:r>
      <w:r>
        <w:t>laws of the State concerning or limiting the creation of indebtedness by the State</w:t>
      </w:r>
      <w:r w:rsidR="009F27D6">
        <w:t xml:space="preserve">.  </w:t>
      </w:r>
    </w:p>
    <w:p w:rsidR="002E5FCE" w:rsidRDefault="002E5FCE" w:rsidP="007800BF">
      <w:pPr>
        <w:pStyle w:val="Kutak1L2"/>
      </w:pPr>
      <w:bookmarkStart w:id="18" w:name="_Toc21694894"/>
      <w:r>
        <w:t>Senior Bonds</w:t>
      </w:r>
      <w:bookmarkEnd w:id="18"/>
    </w:p>
    <w:p w:rsidR="002E5FCE" w:rsidRDefault="00DD65F7" w:rsidP="002E5FCE">
      <w:pPr>
        <w:pStyle w:val="BodyText"/>
      </w:pPr>
      <w:r w:rsidRPr="00DD65F7">
        <w:t xml:space="preserve">Pursuant to </w:t>
      </w:r>
      <w:r w:rsidR="00BF166F">
        <w:t xml:space="preserve">FASTER, the Supplemental Securities Act, the Colorado Recovery Act, </w:t>
      </w:r>
      <w:r w:rsidRPr="00DD65F7">
        <w:t xml:space="preserve">the </w:t>
      </w:r>
      <w:r>
        <w:t xml:space="preserve">Master </w:t>
      </w:r>
      <w:r w:rsidRPr="00DD65F7">
        <w:t>Indenture</w:t>
      </w:r>
      <w:r w:rsidR="00BF166F">
        <w:t xml:space="preserve"> and the 2010 Supplemental Trust Indenture, dated as of December 15, 2010 (the “2010 Supplemental Indenture”), by and between the Bridge Enterprise and the Trustee</w:t>
      </w:r>
      <w:r w:rsidRPr="00DD65F7">
        <w:t xml:space="preserve">, the </w:t>
      </w:r>
      <w:r w:rsidR="00BF166F">
        <w:t xml:space="preserve">Bridge Enterprise </w:t>
      </w:r>
      <w:r w:rsidRPr="00DD65F7">
        <w:t xml:space="preserve">previously issued, and as of </w:t>
      </w:r>
      <w:r w:rsidR="00BF166F">
        <w:t xml:space="preserve">October </w:t>
      </w:r>
      <w:r w:rsidRPr="00DD65F7">
        <w:t>1, 2019, there was $</w:t>
      </w:r>
      <w:r w:rsidR="00BF166F">
        <w:t>300,000</w:t>
      </w:r>
      <w:r w:rsidRPr="00DD65F7">
        <w:t>,000 aggregate principal amount outstanding of</w:t>
      </w:r>
      <w:r w:rsidR="00EA3BFB">
        <w:t>,</w:t>
      </w:r>
      <w:r w:rsidRPr="00DD65F7">
        <w:t xml:space="preserve"> its </w:t>
      </w:r>
      <w:r w:rsidR="00BF166F">
        <w:t xml:space="preserve">Revenue Bonds, Senior Taxable Build America Series 2010A </w:t>
      </w:r>
      <w:r w:rsidRPr="00DD65F7">
        <w:t xml:space="preserve">(the “Series 2010A </w:t>
      </w:r>
      <w:r w:rsidR="00BF166F">
        <w:t xml:space="preserve">Senior </w:t>
      </w:r>
      <w:r w:rsidRPr="00DD65F7">
        <w:t>Bonds”).  A portion of the proceeds of the Series 2019</w:t>
      </w:r>
      <w:r w:rsidR="00BF166F">
        <w:t xml:space="preserve">A Senior </w:t>
      </w:r>
      <w:r w:rsidRPr="00DD65F7">
        <w:t>Bonds</w:t>
      </w:r>
      <w:r w:rsidR="002710F6">
        <w:t xml:space="preserve"> </w:t>
      </w:r>
      <w:r w:rsidRPr="00DD65F7">
        <w:t xml:space="preserve">will be used to refund and </w:t>
      </w:r>
      <w:proofErr w:type="spellStart"/>
      <w:r w:rsidRPr="00DD65F7">
        <w:t>defease</w:t>
      </w:r>
      <w:proofErr w:type="spellEnd"/>
      <w:r w:rsidRPr="00DD65F7">
        <w:t xml:space="preserve"> the Series 2010</w:t>
      </w:r>
      <w:r w:rsidR="00BF166F">
        <w:t xml:space="preserve">A Senior </w:t>
      </w:r>
      <w:r w:rsidRPr="00DD65F7">
        <w:t>Bonds</w:t>
      </w:r>
      <w:r w:rsidR="00BF166F">
        <w:t xml:space="preserve"> maturing on December 1, 2027</w:t>
      </w:r>
      <w:r w:rsidR="00034BC5">
        <w:t xml:space="preserve">, which, as of October 1, 2019, </w:t>
      </w:r>
      <w:r w:rsidR="009A0A1D">
        <w:t>we</w:t>
      </w:r>
      <w:r w:rsidR="00034BC5">
        <w:t>re outstanding in the aggregate principal amount of $42,820,000.  See “PLAN OF REFUNDING</w:t>
      </w:r>
      <w:r w:rsidRPr="00DD65F7">
        <w:t>.</w:t>
      </w:r>
      <w:r w:rsidR="00034BC5">
        <w:t>”</w:t>
      </w:r>
    </w:p>
    <w:p w:rsidR="00034BC5" w:rsidRPr="008479F2" w:rsidRDefault="00034BC5" w:rsidP="002E5FCE">
      <w:pPr>
        <w:pStyle w:val="BodyText"/>
      </w:pPr>
      <w:r w:rsidRPr="00C60964">
        <w:t xml:space="preserve">The </w:t>
      </w:r>
      <w:r>
        <w:t xml:space="preserve">Series 2019A Senior Bonds, the Series 2010A Senior Bonds and any additional Senior Bonds issued in the future are collectively referred to in this Official Statement as </w:t>
      </w:r>
      <w:r w:rsidR="008479F2">
        <w:t xml:space="preserve">the </w:t>
      </w:r>
      <w:r>
        <w:t>“Senior Bonds.”  The Senior Bonds have a senio</w:t>
      </w:r>
      <w:r w:rsidR="000E4664">
        <w:t>r pledge and lien on the Trust Estate</w:t>
      </w:r>
      <w:r w:rsidRPr="00E53EF7">
        <w:t>.</w:t>
      </w:r>
      <w:r>
        <w:t xml:space="preserve">  </w:t>
      </w:r>
      <w:r w:rsidRPr="008479F2">
        <w:t xml:space="preserve">See “SECURITY AND SOURCES OF PAYMENT FOR THE </w:t>
      </w:r>
      <w:r w:rsidR="000E4664" w:rsidRPr="008479F2">
        <w:t>SERIES 2019A SENIOR BONDS</w:t>
      </w:r>
      <w:r w:rsidRPr="008479F2">
        <w:t>—</w:t>
      </w:r>
      <w:r w:rsidR="000E4664" w:rsidRPr="008479F2">
        <w:t>Trust Estate</w:t>
      </w:r>
      <w:r w:rsidRPr="008479F2">
        <w:t>,” and “OUTSTANDING OBLIGATIONS AND DEBT SERVICE SCHEDULE</w:t>
      </w:r>
      <w:r w:rsidR="000E4664" w:rsidRPr="008479F2">
        <w:t>.”</w:t>
      </w:r>
    </w:p>
    <w:p w:rsidR="002E5FCE" w:rsidRPr="008479F2" w:rsidRDefault="002E5FCE" w:rsidP="007800BF">
      <w:pPr>
        <w:pStyle w:val="Kutak1L2"/>
      </w:pPr>
      <w:bookmarkStart w:id="19" w:name="_Toc21694895"/>
      <w:r w:rsidRPr="008479F2">
        <w:t xml:space="preserve">First </w:t>
      </w:r>
      <w:r w:rsidR="00516D58" w:rsidRPr="008479F2">
        <w:t>T</w:t>
      </w:r>
      <w:r w:rsidRPr="008479F2">
        <w:t xml:space="preserve">ier Subordinate Bonds (Central 70 </w:t>
      </w:r>
      <w:r w:rsidR="00981C4D" w:rsidRPr="008479F2">
        <w:t>Note</w:t>
      </w:r>
      <w:r w:rsidR="00516D58" w:rsidRPr="008479F2">
        <w:t>)</w:t>
      </w:r>
      <w:bookmarkEnd w:id="19"/>
    </w:p>
    <w:p w:rsidR="00053603" w:rsidRDefault="00053603" w:rsidP="00516D58">
      <w:pPr>
        <w:pStyle w:val="BodyText"/>
      </w:pPr>
      <w:r w:rsidRPr="008479F2">
        <w:t>On November 21, 2017, the Bridge Enterprise, the Colorado High</w:t>
      </w:r>
      <w:r w:rsidRPr="00053603">
        <w:t xml:space="preserve"> Performance Transportation Enterprise (“HPTE”), and Kiewit </w:t>
      </w:r>
      <w:proofErr w:type="spellStart"/>
      <w:r w:rsidRPr="00053603">
        <w:t>Meridiam</w:t>
      </w:r>
      <w:proofErr w:type="spellEnd"/>
      <w:r w:rsidRPr="00053603">
        <w:t xml:space="preserve"> Partners LLC (the “</w:t>
      </w:r>
      <w:r w:rsidR="00E91CC2">
        <w:t xml:space="preserve">Central 70 </w:t>
      </w:r>
      <w:r w:rsidRPr="00053603">
        <w:t>Developer”)</w:t>
      </w:r>
      <w:r>
        <w:t xml:space="preserve"> entered into a </w:t>
      </w:r>
      <w:r w:rsidRPr="00053603">
        <w:t>Project Agreement</w:t>
      </w:r>
      <w:r w:rsidR="00E91CC2">
        <w:t>,</w:t>
      </w:r>
      <w:r w:rsidRPr="00053603">
        <w:t xml:space="preserve"> as amended (the “</w:t>
      </w:r>
      <w:r w:rsidR="00E91CC2">
        <w:t xml:space="preserve">Central 70 </w:t>
      </w:r>
      <w:r w:rsidRPr="00053603">
        <w:t>Project Agreement”)</w:t>
      </w:r>
      <w:r w:rsidR="00E91CC2">
        <w:t>, with respect to the Central 70 Project</w:t>
      </w:r>
      <w:r>
        <w:t xml:space="preserve">. </w:t>
      </w:r>
      <w:r w:rsidR="00E91CC2">
        <w:t xml:space="preserve"> The Central 70</w:t>
      </w:r>
      <w:r>
        <w:t xml:space="preserve"> </w:t>
      </w:r>
      <w:r w:rsidRPr="00053603">
        <w:t>Project consists of improvements to an approximately 10-mile stretch of I-70 East in greater Denver, Colorado from I-25 to Chambers Road, adding one new tolled express lane in each direction, removing the existing viaduct, lowering the highway between Brighton Boulevard and Colorado Boulevard, and placing an approximately four-acre cover over a portion of the lowered highway</w:t>
      </w:r>
      <w:r w:rsidR="00E91CC2">
        <w:t xml:space="preserve">.  The Central 70 Project is being procured </w:t>
      </w:r>
      <w:r w:rsidRPr="00053603">
        <w:t>under an availability payment form of public-private partnership</w:t>
      </w:r>
      <w:r w:rsidR="00E91CC2">
        <w:t xml:space="preserve">.  Pursuant to, and subject to the terms of, the Central </w:t>
      </w:r>
      <w:r w:rsidR="00E91CC2" w:rsidRPr="00E521EA">
        <w:t>70 Project Agreement</w:t>
      </w:r>
      <w:r w:rsidR="00A77EEC" w:rsidRPr="00E521EA">
        <w:t xml:space="preserve"> and the </w:t>
      </w:r>
      <w:r w:rsidR="00E521EA" w:rsidRPr="00E521EA">
        <w:t>Central 70 Project Intra-Agency Agreement, dated August 22, 2017, as amended (the “Central 70 Intra-Agency Agreement”), by and among the Bridge Enterprise, HPTE and CDOT</w:t>
      </w:r>
      <w:r w:rsidR="00E91CC2" w:rsidRPr="00E521EA">
        <w:t>, the Bridge Enterprise</w:t>
      </w:r>
      <w:r w:rsidR="00A77EEC" w:rsidRPr="00E521EA">
        <w:t xml:space="preserve"> has agreed to make (a) milestone payments to the Developer during construction of the Central 70 Project in the </w:t>
      </w:r>
      <w:r w:rsidR="00332998">
        <w:t xml:space="preserve">aggregate </w:t>
      </w:r>
      <w:r w:rsidR="00A77EEC" w:rsidRPr="00E521EA">
        <w:t>amount of approximately $261 million</w:t>
      </w:r>
      <w:r w:rsidR="00E521EA">
        <w:t>,</w:t>
      </w:r>
      <w:r w:rsidR="00A77EEC" w:rsidRPr="00E521EA">
        <w:t xml:space="preserve"> and (b) capital performance payments to the Developer for approximately 30 years after completion of the Central 70 Project</w:t>
      </w:r>
      <w:r w:rsidR="00E521EA">
        <w:t xml:space="preserve"> in the amounts described </w:t>
      </w:r>
      <w:r w:rsidR="005E6431">
        <w:t xml:space="preserve">under </w:t>
      </w:r>
      <w:r w:rsidR="005E6431" w:rsidRPr="008479F2">
        <w:t>“OUTSTANDING OBLIGATIONS AND DEBT SERVICE SCHEDULE</w:t>
      </w:r>
      <w:r w:rsidR="005E6431">
        <w:t xml:space="preserve">—Debt Service Requirements” </w:t>
      </w:r>
      <w:r w:rsidR="009213B5">
        <w:t>with respect to the Central 70 Note</w:t>
      </w:r>
      <w:r w:rsidR="00332998">
        <w:t xml:space="preserve"> (as defined below)</w:t>
      </w:r>
      <w:r w:rsidR="009213B5">
        <w:t>.</w:t>
      </w:r>
      <w:r w:rsidR="00A77EEC" w:rsidRPr="00E521EA">
        <w:t xml:space="preserve"> </w:t>
      </w:r>
    </w:p>
    <w:p w:rsidR="00BF0A1B" w:rsidRPr="00B23945" w:rsidRDefault="00BF0A1B" w:rsidP="000A58E9">
      <w:pPr>
        <w:pStyle w:val="BodyText"/>
        <w:rPr>
          <w:szCs w:val="22"/>
        </w:rPr>
      </w:pPr>
      <w:r w:rsidRPr="00BF0A1B">
        <w:t xml:space="preserve">In order to evidence its obligation under the </w:t>
      </w:r>
      <w:r w:rsidR="00332998">
        <w:t xml:space="preserve">Central 70 </w:t>
      </w:r>
      <w:r w:rsidRPr="00BF0A1B">
        <w:t xml:space="preserve">Project Agreement to pay </w:t>
      </w:r>
      <w:r>
        <w:t>c</w:t>
      </w:r>
      <w:r w:rsidRPr="00BF0A1B">
        <w:t xml:space="preserve">apital </w:t>
      </w:r>
      <w:r>
        <w:t>p</w:t>
      </w:r>
      <w:r w:rsidRPr="00BF0A1B">
        <w:t xml:space="preserve">erformance </w:t>
      </w:r>
      <w:r>
        <w:t>p</w:t>
      </w:r>
      <w:r w:rsidRPr="00BF0A1B">
        <w:t xml:space="preserve">ayments </w:t>
      </w:r>
      <w:r>
        <w:t xml:space="preserve">to the </w:t>
      </w:r>
      <w:r w:rsidR="00332998">
        <w:t xml:space="preserve">Central 70 </w:t>
      </w:r>
      <w:r>
        <w:t xml:space="preserve">Developer </w:t>
      </w:r>
      <w:r w:rsidRPr="00BF0A1B">
        <w:t xml:space="preserve">for each year, minus any deductions allocated to the </w:t>
      </w:r>
      <w:r>
        <w:t>c</w:t>
      </w:r>
      <w:r w:rsidRPr="00BF0A1B">
        <w:t xml:space="preserve">apital </w:t>
      </w:r>
      <w:r>
        <w:t>p</w:t>
      </w:r>
      <w:r w:rsidRPr="00BF0A1B">
        <w:t xml:space="preserve">erformance </w:t>
      </w:r>
      <w:r>
        <w:t>p</w:t>
      </w:r>
      <w:r w:rsidRPr="00BF0A1B">
        <w:t xml:space="preserve">ayments in accordance with the </w:t>
      </w:r>
      <w:r w:rsidR="00332998">
        <w:t xml:space="preserve">Central 70 </w:t>
      </w:r>
      <w:r w:rsidRPr="00BF0A1B">
        <w:t xml:space="preserve">Project Agreement (collectively, the “Central 70 Net Payments”), </w:t>
      </w:r>
      <w:r>
        <w:t xml:space="preserve">the Bridge Enterprise issued its </w:t>
      </w:r>
      <w:r w:rsidRPr="00BF0A1B">
        <w:t xml:space="preserve">Colorado Bridge Enterprise First Tier Subordinate Revenue Note (Central 70 Project) (the “Central 70 Note”) to the </w:t>
      </w:r>
      <w:r w:rsidR="00332998">
        <w:t xml:space="preserve">Central 70 </w:t>
      </w:r>
      <w:r w:rsidRPr="00BF0A1B">
        <w:t xml:space="preserve">Developer.  The Central 70 Note </w:t>
      </w:r>
      <w:r>
        <w:t xml:space="preserve">was issued pursuant to FASTER, the Supplemental Securities Act, </w:t>
      </w:r>
      <w:r w:rsidRPr="00DD65F7">
        <w:t xml:space="preserve">the </w:t>
      </w:r>
      <w:r>
        <w:t xml:space="preserve">Master </w:t>
      </w:r>
      <w:r w:rsidRPr="00DD65F7">
        <w:t>Indenture</w:t>
      </w:r>
      <w:r>
        <w:t xml:space="preserve"> and the 2017 Supplemental Trust Indenture, dated as of December 21, 2017 (the “2017 Supplemental Indenture”), by and between the Bridge Enterprise and the Trustee</w:t>
      </w:r>
      <w:r w:rsidRPr="00BF0A1B">
        <w:t xml:space="preserve">. </w:t>
      </w:r>
      <w:r>
        <w:t xml:space="preserve"> The Central 70 Note was issued as a First Tier Subordinate Bond and is </w:t>
      </w:r>
      <w:r w:rsidR="000A58E9" w:rsidRPr="000A58E9">
        <w:t xml:space="preserve">payable from, and secured by, a subordinate pledge of and lien on, the </w:t>
      </w:r>
      <w:r w:rsidR="000A58E9">
        <w:t>T</w:t>
      </w:r>
      <w:r w:rsidR="000A58E9" w:rsidRPr="000A58E9">
        <w:t xml:space="preserve">rust Estate, subject to the prior pledge and lien securing the payment of debt service on the Senior Bonds (including the </w:t>
      </w:r>
      <w:r w:rsidR="000A58E9">
        <w:t>Series 2019A Senior Bonds</w:t>
      </w:r>
      <w:r w:rsidR="000A58E9" w:rsidRPr="000A58E9">
        <w:t xml:space="preserve">) and any amounts owed to the providers of hedge agreements or credit facilities </w:t>
      </w:r>
      <w:r w:rsidR="000A58E9" w:rsidRPr="00B23945">
        <w:rPr>
          <w:szCs w:val="22"/>
        </w:rPr>
        <w:t>that have been granted a lien on the Trust Estate on parity with the Senior Bonds</w:t>
      </w:r>
      <w:r w:rsidRPr="00B23945">
        <w:rPr>
          <w:szCs w:val="22"/>
        </w:rPr>
        <w:t xml:space="preserve">.  </w:t>
      </w:r>
      <w:r w:rsidR="009213B5" w:rsidRPr="00B23945">
        <w:rPr>
          <w:szCs w:val="22"/>
        </w:rPr>
        <w:t>See “OUTSTANDING OBLIGATIONS AND DEBT SERVICE SCHEDULE—First Tier Subordinate Bonds (Central 70 Note).”</w:t>
      </w:r>
    </w:p>
    <w:p w:rsidR="00F42D17" w:rsidRPr="00B23945" w:rsidRDefault="00F42D17" w:rsidP="00F42D17">
      <w:pPr>
        <w:pStyle w:val="Kutak1L2"/>
        <w:rPr>
          <w:szCs w:val="22"/>
        </w:rPr>
      </w:pPr>
      <w:bookmarkStart w:id="20" w:name="_Toc21694896"/>
      <w:r w:rsidRPr="00B23945">
        <w:rPr>
          <w:szCs w:val="22"/>
        </w:rPr>
        <w:t>Legal and Tax Matters</w:t>
      </w:r>
      <w:bookmarkEnd w:id="20"/>
    </w:p>
    <w:p w:rsidR="00F42D17" w:rsidRPr="00B23945" w:rsidRDefault="00F42D17" w:rsidP="00F42D17">
      <w:pPr>
        <w:pStyle w:val="BodyText"/>
        <w:rPr>
          <w:szCs w:val="22"/>
        </w:rPr>
      </w:pPr>
      <w:r w:rsidRPr="00B23945">
        <w:rPr>
          <w:szCs w:val="22"/>
        </w:rPr>
        <w:t xml:space="preserve">Kutak Rock LLP is serving as Bond Counsel to the Bridge Enterprise (“Bond Counsel”) in connection with the issuance and sale of the Series 2019A Senior Bonds and will deliver its approving opinion substantially in the form appended to this Official Statement as Appendix F.  Kutak Rock LLP also has served as Disclosure Counsel to the Bridge Enterprise in connection with this Official Statement.  Certain legal matters will be passed upon for the Bridge Enterprise by the Attorney General of the State.  Certain legal matters will be passed upon for the Underwriter by </w:t>
      </w:r>
      <w:r w:rsidR="00A50D7A" w:rsidRPr="00B23945">
        <w:rPr>
          <w:szCs w:val="22"/>
        </w:rPr>
        <w:t>its</w:t>
      </w:r>
      <w:r w:rsidRPr="00B23945">
        <w:rPr>
          <w:szCs w:val="22"/>
        </w:rPr>
        <w:t xml:space="preserve"> counsel, Hogan Lovells US LLP.</w:t>
      </w:r>
    </w:p>
    <w:p w:rsidR="00F42D17" w:rsidRPr="00B23945" w:rsidRDefault="00F42D17" w:rsidP="00F42D17">
      <w:pPr>
        <w:pStyle w:val="BodyText"/>
        <w:rPr>
          <w:szCs w:val="22"/>
        </w:rPr>
      </w:pPr>
      <w:r w:rsidRPr="00B23945">
        <w:rPr>
          <w:szCs w:val="22"/>
        </w:rPr>
        <w:t xml:space="preserve">In the opinion of Bond Counsel, under existing laws, regulations, rulings and judicial decisions, interest on the Series 2019A Senior Bonds is excluded from gross income for federal income tax purposes and is not a specific item of tax preference for purposes of the federal alternative minimum tax.  </w:t>
      </w:r>
      <w:r w:rsidR="00B23945" w:rsidRPr="00B23945">
        <w:rPr>
          <w:szCs w:val="22"/>
        </w:rPr>
        <w:t>Bond Counsel is further of the opinion that, under existing Colorado statutes, the Series 2019A Senior Bonds and the income therefrom are exempt from taxation by the State of Colorado, except inheritance, estate and transfer taxes.</w:t>
      </w:r>
      <w:r w:rsidRPr="00B23945">
        <w:rPr>
          <w:szCs w:val="22"/>
        </w:rPr>
        <w:t xml:space="preserve">  See generally “</w:t>
      </w:r>
      <w:r w:rsidR="00347878" w:rsidRPr="00B23945">
        <w:rPr>
          <w:szCs w:val="22"/>
        </w:rPr>
        <w:t xml:space="preserve">CERTAIN </w:t>
      </w:r>
      <w:r w:rsidRPr="00B23945">
        <w:rPr>
          <w:szCs w:val="22"/>
        </w:rPr>
        <w:t xml:space="preserve">LEGAL MATTERS,” “TAX MATTERS” and “APPENDIX </w:t>
      </w:r>
      <w:r w:rsidR="002906BF" w:rsidRPr="00B23945">
        <w:rPr>
          <w:szCs w:val="22"/>
        </w:rPr>
        <w:t>F</w:t>
      </w:r>
      <w:r w:rsidRPr="00B23945">
        <w:rPr>
          <w:szCs w:val="22"/>
        </w:rPr>
        <w:t xml:space="preserve">—FORM OF </w:t>
      </w:r>
      <w:r w:rsidR="002906BF" w:rsidRPr="00B23945">
        <w:rPr>
          <w:szCs w:val="22"/>
        </w:rPr>
        <w:t xml:space="preserve">BOND COUNSEL </w:t>
      </w:r>
      <w:r w:rsidRPr="00B23945">
        <w:rPr>
          <w:szCs w:val="22"/>
        </w:rPr>
        <w:t>OPINION.”</w:t>
      </w:r>
    </w:p>
    <w:p w:rsidR="002906BF" w:rsidRPr="00B23945" w:rsidRDefault="002906BF" w:rsidP="002906BF">
      <w:pPr>
        <w:pStyle w:val="Kutak1L2"/>
        <w:rPr>
          <w:szCs w:val="22"/>
        </w:rPr>
      </w:pPr>
      <w:bookmarkStart w:id="21" w:name="_Toc21694897"/>
      <w:r w:rsidRPr="00B23945">
        <w:rPr>
          <w:szCs w:val="22"/>
        </w:rPr>
        <w:t>Investment Considerations</w:t>
      </w:r>
      <w:bookmarkEnd w:id="21"/>
    </w:p>
    <w:p w:rsidR="002906BF" w:rsidRPr="00B23945" w:rsidRDefault="002906BF" w:rsidP="002906BF">
      <w:pPr>
        <w:pStyle w:val="BodyText"/>
        <w:rPr>
          <w:szCs w:val="22"/>
        </w:rPr>
      </w:pPr>
      <w:r w:rsidRPr="00B23945">
        <w:rPr>
          <w:szCs w:val="22"/>
        </w:rPr>
        <w:t>An investment in the Series 2019A Senior Bonds involves risks.  Prospective investors must read this Official Statement in its entirety, giving particular attention to the matters discussed in “CERTAIN INVESTMENT CONSIDERATIONS,” in order to obtain information essential to the making of an informed investment decision.</w:t>
      </w:r>
    </w:p>
    <w:p w:rsidR="002E4A0D" w:rsidRPr="00B23945" w:rsidRDefault="002E4A0D" w:rsidP="007800BF">
      <w:pPr>
        <w:pStyle w:val="Kutak1L2"/>
        <w:rPr>
          <w:szCs w:val="22"/>
        </w:rPr>
      </w:pPr>
      <w:bookmarkStart w:id="22" w:name="_Toc21694898"/>
      <w:r w:rsidRPr="00B23945">
        <w:rPr>
          <w:szCs w:val="22"/>
        </w:rPr>
        <w:t>Continuing Disclosure Undertaking</w:t>
      </w:r>
      <w:bookmarkEnd w:id="22"/>
    </w:p>
    <w:p w:rsidR="002906BF" w:rsidRPr="00917D1E" w:rsidRDefault="002906BF" w:rsidP="002906BF">
      <w:pPr>
        <w:pStyle w:val="BodyText"/>
        <w:rPr>
          <w:szCs w:val="22"/>
        </w:rPr>
      </w:pPr>
      <w:r w:rsidRPr="00B23945">
        <w:rPr>
          <w:szCs w:val="22"/>
        </w:rPr>
        <w:t xml:space="preserve">In connection with the issuance of the Series 2019A </w:t>
      </w:r>
      <w:r w:rsidR="006C3474" w:rsidRPr="00B23945">
        <w:rPr>
          <w:szCs w:val="22"/>
        </w:rPr>
        <w:t>Senior Bond</w:t>
      </w:r>
      <w:r w:rsidR="002E4A0D" w:rsidRPr="00B23945">
        <w:rPr>
          <w:szCs w:val="22"/>
        </w:rPr>
        <w:t xml:space="preserve">s, the Bridge Enterprise will </w:t>
      </w:r>
      <w:r w:rsidRPr="00B23945">
        <w:rPr>
          <w:szCs w:val="22"/>
        </w:rPr>
        <w:t xml:space="preserve">enter into a Continuing Disclosure Undertaking, the form of which is appended to this Official Statement as Appendix E, pursuant to which the Bridge Enterprise will agree for the benefit of the Owners and Beneficial Owners of the Series 2019A Senior Bonds to file with the Municipal Securities Rulemaking Board (the “MSRB”) via its Electronic Municipal Market Access (“EMMA”) system (a) certain annual financial and operating information </w:t>
      </w:r>
      <w:r w:rsidR="00BA13CB" w:rsidRPr="00B23945">
        <w:rPr>
          <w:szCs w:val="22"/>
        </w:rPr>
        <w:t>not later than [2</w:t>
      </w:r>
      <w:r w:rsidR="00E7543E" w:rsidRPr="00B23945">
        <w:rPr>
          <w:szCs w:val="22"/>
        </w:rPr>
        <w:t>7</w:t>
      </w:r>
      <w:r w:rsidR="00BA13CB" w:rsidRPr="00B23945">
        <w:rPr>
          <w:szCs w:val="22"/>
        </w:rPr>
        <w:t xml:space="preserve">0] days after the end of each Fiscal Year, </w:t>
      </w:r>
      <w:r w:rsidRPr="00B23945">
        <w:rPr>
          <w:szCs w:val="22"/>
        </w:rPr>
        <w:t xml:space="preserve">and the Bridge Enterprise’s audited financial statements not later </w:t>
      </w:r>
      <w:r w:rsidRPr="00917D1E">
        <w:rPr>
          <w:szCs w:val="22"/>
        </w:rPr>
        <w:t xml:space="preserve">than </w:t>
      </w:r>
      <w:r>
        <w:rPr>
          <w:szCs w:val="22"/>
        </w:rPr>
        <w:t>[</w:t>
      </w:r>
      <w:r w:rsidRPr="00917D1E">
        <w:rPr>
          <w:szCs w:val="22"/>
        </w:rPr>
        <w:t>2</w:t>
      </w:r>
      <w:r w:rsidR="00E7543E">
        <w:rPr>
          <w:szCs w:val="22"/>
        </w:rPr>
        <w:t>1</w:t>
      </w:r>
      <w:r w:rsidRPr="00917D1E">
        <w:rPr>
          <w:szCs w:val="22"/>
        </w:rPr>
        <w:t>0</w:t>
      </w:r>
      <w:r>
        <w:rPr>
          <w:szCs w:val="22"/>
        </w:rPr>
        <w:t>]</w:t>
      </w:r>
      <w:r w:rsidRPr="00917D1E">
        <w:rPr>
          <w:szCs w:val="22"/>
        </w:rPr>
        <w:t xml:space="preserve"> days after the end of each Fiscal Year, commencing with the Fiscal Year ended June 30, 201</w:t>
      </w:r>
      <w:r>
        <w:rPr>
          <w:szCs w:val="22"/>
        </w:rPr>
        <w:t>9</w:t>
      </w:r>
      <w:r w:rsidRPr="00917D1E">
        <w:rPr>
          <w:szCs w:val="22"/>
        </w:rPr>
        <w:t>, and (</w:t>
      </w:r>
      <w:r>
        <w:rPr>
          <w:szCs w:val="22"/>
        </w:rPr>
        <w:t>b</w:t>
      </w:r>
      <w:r w:rsidRPr="00917D1E">
        <w:rPr>
          <w:szCs w:val="22"/>
        </w:rPr>
        <w:t>)</w:t>
      </w:r>
      <w:r>
        <w:rPr>
          <w:szCs w:val="22"/>
        </w:rPr>
        <w:t> </w:t>
      </w:r>
      <w:r w:rsidRPr="00917D1E">
        <w:rPr>
          <w:szCs w:val="22"/>
        </w:rPr>
        <w:t xml:space="preserve">notices of the occurrence of </w:t>
      </w:r>
      <w:r w:rsidR="00347878">
        <w:rPr>
          <w:szCs w:val="22"/>
        </w:rPr>
        <w:t xml:space="preserve">certain </w:t>
      </w:r>
      <w:r w:rsidRPr="00917D1E">
        <w:rPr>
          <w:szCs w:val="22"/>
        </w:rPr>
        <w:t>enumerated events within ten business days of their occurrence.</w:t>
      </w:r>
      <w:r w:rsidR="00BA13CB">
        <w:rPr>
          <w:szCs w:val="22"/>
        </w:rPr>
        <w:t xml:space="preserve"> </w:t>
      </w:r>
      <w:r w:rsidRPr="00917D1E">
        <w:rPr>
          <w:szCs w:val="22"/>
        </w:rPr>
        <w:t xml:space="preserve"> See </w:t>
      </w:r>
      <w:r>
        <w:rPr>
          <w:szCs w:val="22"/>
        </w:rPr>
        <w:t>“</w:t>
      </w:r>
      <w:r w:rsidRPr="00917D1E">
        <w:rPr>
          <w:szCs w:val="22"/>
        </w:rPr>
        <w:t>CONTINUING DISCLOSURE</w:t>
      </w:r>
      <w:r w:rsidR="00BA13CB">
        <w:rPr>
          <w:szCs w:val="22"/>
        </w:rPr>
        <w:t xml:space="preserve"> UNDERTAKING</w:t>
      </w:r>
      <w:r>
        <w:rPr>
          <w:szCs w:val="22"/>
        </w:rPr>
        <w:t>”</w:t>
      </w:r>
      <w:r w:rsidRPr="00917D1E">
        <w:rPr>
          <w:szCs w:val="22"/>
        </w:rPr>
        <w:t xml:space="preserve"> and </w:t>
      </w:r>
      <w:r>
        <w:rPr>
          <w:szCs w:val="22"/>
        </w:rPr>
        <w:t>“</w:t>
      </w:r>
      <w:r w:rsidRPr="00917D1E">
        <w:rPr>
          <w:szCs w:val="22"/>
        </w:rPr>
        <w:t xml:space="preserve">APPENDIX </w:t>
      </w:r>
      <w:r w:rsidR="00BA13CB">
        <w:rPr>
          <w:szCs w:val="22"/>
        </w:rPr>
        <w:t>E</w:t>
      </w:r>
      <w:r w:rsidRPr="00917D1E">
        <w:rPr>
          <w:szCs w:val="22"/>
        </w:rPr>
        <w:t>—FORM OF CONTINUING DISCLOSURE UNDERTAKING.</w:t>
      </w:r>
      <w:r>
        <w:rPr>
          <w:szCs w:val="22"/>
        </w:rPr>
        <w:t>”</w:t>
      </w:r>
    </w:p>
    <w:p w:rsidR="002906BF" w:rsidRPr="00917D1E" w:rsidRDefault="002906BF" w:rsidP="002906BF">
      <w:pPr>
        <w:pStyle w:val="Kutak1L2"/>
        <w:rPr>
          <w:szCs w:val="22"/>
        </w:rPr>
      </w:pPr>
      <w:bookmarkStart w:id="23" w:name="_Toc21694899"/>
      <w:r w:rsidRPr="00917D1E">
        <w:rPr>
          <w:szCs w:val="22"/>
        </w:rPr>
        <w:t>State Economic and Demographic Information</w:t>
      </w:r>
      <w:bookmarkEnd w:id="23"/>
    </w:p>
    <w:p w:rsidR="002906BF" w:rsidRDefault="002906BF" w:rsidP="002906BF">
      <w:pPr>
        <w:pStyle w:val="BodyText"/>
        <w:rPr>
          <w:szCs w:val="22"/>
        </w:rPr>
      </w:pPr>
      <w:r w:rsidRPr="00917D1E">
        <w:rPr>
          <w:szCs w:val="22"/>
        </w:rPr>
        <w:t xml:space="preserve">This Official Statement contains economic and demographic information about the State prepared by Development Research Partners, Inc. for use by </w:t>
      </w:r>
      <w:r>
        <w:rPr>
          <w:szCs w:val="22"/>
        </w:rPr>
        <w:t>the State Treasurer</w:t>
      </w:r>
      <w:r w:rsidRPr="00917D1E">
        <w:rPr>
          <w:szCs w:val="22"/>
        </w:rPr>
        <w:t xml:space="preserve">.  See </w:t>
      </w:r>
      <w:r>
        <w:rPr>
          <w:szCs w:val="22"/>
        </w:rPr>
        <w:t>“</w:t>
      </w:r>
      <w:r w:rsidRPr="00917D1E">
        <w:rPr>
          <w:szCs w:val="22"/>
        </w:rPr>
        <w:t xml:space="preserve">APPENDIX </w:t>
      </w:r>
      <w:r w:rsidR="00404174">
        <w:rPr>
          <w:szCs w:val="22"/>
        </w:rPr>
        <w:t>C</w:t>
      </w:r>
      <w:r w:rsidRPr="00917D1E">
        <w:rPr>
          <w:szCs w:val="22"/>
        </w:rPr>
        <w:t>—CERTAIN STATE ECONOMIC AND DEMOGRAPHIC INFORMATION.</w:t>
      </w:r>
      <w:r>
        <w:rPr>
          <w:szCs w:val="22"/>
        </w:rPr>
        <w:t>”</w:t>
      </w:r>
      <w:r w:rsidRPr="00917D1E">
        <w:rPr>
          <w:szCs w:val="22"/>
        </w:rPr>
        <w:t xml:space="preserve">  Development Research Partners, Inc. has consented to the inclusion of such information in this Official Statement.  </w:t>
      </w:r>
      <w:r w:rsidR="00404174">
        <w:rPr>
          <w:szCs w:val="22"/>
        </w:rPr>
        <w:t xml:space="preserve">The Bridge Enterprise does not </w:t>
      </w:r>
      <w:r w:rsidRPr="00917D1E">
        <w:rPr>
          <w:szCs w:val="22"/>
        </w:rPr>
        <w:t>assume any responsibility for the accuracy, completeness or fairness of such information.  The information in such appendix has been included in the Official Statement in reliance upon the authority of Development Research Partners, Inc. as experts in the preparation of economic and demographic analyses.  Potential investors should read such appendix in its entirety for information with respect to the economic and demographic status of the State.</w:t>
      </w:r>
    </w:p>
    <w:p w:rsidR="00081EB2" w:rsidRPr="00081EB2" w:rsidRDefault="00081EB2" w:rsidP="00081EB2">
      <w:pPr>
        <w:pStyle w:val="Kutak1L2"/>
      </w:pPr>
      <w:bookmarkStart w:id="24" w:name="_Toc21694900"/>
      <w:r w:rsidRPr="00081EB2">
        <w:t>Additional Information</w:t>
      </w:r>
      <w:bookmarkEnd w:id="24"/>
    </w:p>
    <w:p w:rsidR="00081EB2" w:rsidRPr="00081EB2" w:rsidRDefault="00081EB2" w:rsidP="00081EB2">
      <w:pPr>
        <w:pStyle w:val="BodyText"/>
        <w:rPr>
          <w:szCs w:val="22"/>
        </w:rPr>
      </w:pPr>
      <w:r w:rsidRPr="00081EB2">
        <w:rPr>
          <w:szCs w:val="22"/>
        </w:rPr>
        <w:t xml:space="preserve">Brief descriptions of the </w:t>
      </w:r>
      <w:r>
        <w:rPr>
          <w:szCs w:val="22"/>
        </w:rPr>
        <w:t>Series 2019A Bonds</w:t>
      </w:r>
      <w:r w:rsidRPr="00081EB2">
        <w:rPr>
          <w:szCs w:val="22"/>
        </w:rPr>
        <w:t xml:space="preserve">, the Indenture, </w:t>
      </w:r>
      <w:r>
        <w:rPr>
          <w:szCs w:val="22"/>
        </w:rPr>
        <w:t xml:space="preserve">the Central 70 Project Agreement, the Central 70 Intra-Agency Agreement </w:t>
      </w:r>
      <w:r w:rsidRPr="00081EB2">
        <w:rPr>
          <w:szCs w:val="22"/>
        </w:rPr>
        <w:t xml:space="preserve">and certain other statutes, reports, documents and instruments are included in this Official Statement.  Such descriptions do not purport to be comprehensive or definitive and are qualified in their entirety by reference to each such document, statute, report or other instrument in its entirety.  During the offering period, copies of </w:t>
      </w:r>
      <w:r w:rsidR="00586A20">
        <w:rPr>
          <w:szCs w:val="22"/>
        </w:rPr>
        <w:t>such</w:t>
      </w:r>
      <w:r w:rsidRPr="00081EB2">
        <w:rPr>
          <w:szCs w:val="22"/>
        </w:rPr>
        <w:t xml:space="preserve"> documents referred to herein may be obtained from </w:t>
      </w:r>
      <w:r w:rsidR="00D80EE6">
        <w:rPr>
          <w:szCs w:val="22"/>
        </w:rPr>
        <w:t xml:space="preserve">the [Bridge Enterprise’s Municipal </w:t>
      </w:r>
      <w:r w:rsidRPr="00081EB2">
        <w:rPr>
          <w:szCs w:val="22"/>
        </w:rPr>
        <w:t>Advisor at: Stifel, Nicolaus &amp; Company, Incorporated, at 1401 Lawrence Street, Suite 900, Denver, Colorado 80202, telephone number: (303) 291-5288.</w:t>
      </w:r>
      <w:r w:rsidR="00D80EE6">
        <w:rPr>
          <w:szCs w:val="22"/>
        </w:rPr>
        <w:t>]</w:t>
      </w:r>
    </w:p>
    <w:p w:rsidR="00081EB2" w:rsidRPr="00081EB2" w:rsidRDefault="00081EB2" w:rsidP="00081EB2">
      <w:pPr>
        <w:pStyle w:val="Kutak1L2"/>
      </w:pPr>
      <w:bookmarkStart w:id="25" w:name="_Toc21694901"/>
      <w:r w:rsidRPr="00081EB2">
        <w:t>Forward Looking Statements</w:t>
      </w:r>
      <w:bookmarkEnd w:id="25"/>
    </w:p>
    <w:p w:rsidR="00D80EE6" w:rsidRPr="00D80EE6" w:rsidRDefault="00D80EE6" w:rsidP="00D80EE6">
      <w:pPr>
        <w:pStyle w:val="BodyText"/>
        <w:rPr>
          <w:szCs w:val="22"/>
        </w:rPr>
      </w:pPr>
      <w:r w:rsidRPr="00D80EE6">
        <w:rPr>
          <w:szCs w:val="22"/>
        </w:rPr>
        <w:t xml:space="preserve">The statements contained in this Official Statement that are not purely historical, are forward-looking statements, including statements regarding the </w:t>
      </w:r>
      <w:r>
        <w:rPr>
          <w:szCs w:val="22"/>
        </w:rPr>
        <w:t>Bridge Enterprise</w:t>
      </w:r>
      <w:r w:rsidRPr="00D80EE6">
        <w:rPr>
          <w:szCs w:val="22"/>
        </w:rPr>
        <w:t xml:space="preserve">’s expectations, hopes, intentions or strategies regarding the future.  Such statements are generally identifiable by the terminology used such as “plan,” “expect,” “estimate,” “budget,” “project,” “forecast,” “will likely result,” “are expected to,” “will continue,” “is anticipated,” “intend” or other similar words.  Prospective investors should not place undue reliance on forward-looking statements.  All forward-looking statements included in this Official Statement are based on information available to the </w:t>
      </w:r>
      <w:r>
        <w:rPr>
          <w:szCs w:val="22"/>
        </w:rPr>
        <w:t>Bridge Enterprise</w:t>
      </w:r>
      <w:r w:rsidRPr="00D80EE6">
        <w:rPr>
          <w:szCs w:val="22"/>
        </w:rPr>
        <w:t xml:space="preserve"> on the date hereof, and the </w:t>
      </w:r>
      <w:r>
        <w:rPr>
          <w:szCs w:val="22"/>
        </w:rPr>
        <w:t>Bridge Enterprise</w:t>
      </w:r>
      <w:r w:rsidRPr="00D80EE6">
        <w:rPr>
          <w:szCs w:val="22"/>
        </w:rPr>
        <w:t xml:space="preserve"> assumes no obligation to update any such forward-looking statements.  It is important to note that the </w:t>
      </w:r>
      <w:r>
        <w:rPr>
          <w:szCs w:val="22"/>
        </w:rPr>
        <w:t>Bridge Enterprise</w:t>
      </w:r>
      <w:r w:rsidRPr="00D80EE6">
        <w:rPr>
          <w:szCs w:val="22"/>
        </w:rPr>
        <w:t>’s actual financial and operating results likely will differ, and could differ materially, from those in such forward-looking statements.</w:t>
      </w:r>
    </w:p>
    <w:p w:rsidR="00081EB2" w:rsidRPr="00081EB2" w:rsidRDefault="00D80EE6" w:rsidP="00D80EE6">
      <w:pPr>
        <w:pStyle w:val="BodyText"/>
        <w:rPr>
          <w:szCs w:val="22"/>
        </w:rPr>
      </w:pPr>
      <w:r w:rsidRPr="00D80EE6">
        <w:rPr>
          <w:szCs w:val="22"/>
        </w:rPr>
        <w:t xml:space="preserve">The forward-looking statements herein are based on various assumptions and estimates and are inherently subject to various risks and uncertainties, including risks and uncertainties relating to the possible invalidity of the underlying assumptions and estimates and possible changes or developments in social, economic, business, industry, market, legal and regulatory circumstances and conditions and actions taken or omitted to be taken by third parties, including airlines, customers, suppliers and competitors, among others, and legislative, judicial and other governmental authorities and officials.  Assumptions related to the foregoing involve judgments with respect to, among other things, future economic, competitive and market conditions and future business decisions, all of which are difficult or impossible to predict accurately and many of which are beyond the control of the </w:t>
      </w:r>
      <w:r>
        <w:rPr>
          <w:szCs w:val="22"/>
        </w:rPr>
        <w:t>Bridge Enterprise</w:t>
      </w:r>
      <w:r w:rsidRPr="00D80EE6">
        <w:rPr>
          <w:szCs w:val="22"/>
        </w:rPr>
        <w:t>.  Any such assumptions could be inaccurate and, therefore, there can be no assurance that the forward-looking statements included in this Official Statement will prove to be accurate.</w:t>
      </w:r>
    </w:p>
    <w:p w:rsidR="00081EB2" w:rsidRPr="00081EB2" w:rsidRDefault="00081EB2" w:rsidP="00081EB2">
      <w:pPr>
        <w:pStyle w:val="Kutak1L2"/>
      </w:pPr>
      <w:bookmarkStart w:id="26" w:name="_Toc21694902"/>
      <w:r w:rsidRPr="00081EB2">
        <w:t>Miscellaneous</w:t>
      </w:r>
      <w:bookmarkEnd w:id="26"/>
    </w:p>
    <w:p w:rsidR="00081EB2" w:rsidRPr="00081EB2" w:rsidRDefault="00081EB2" w:rsidP="00081EB2">
      <w:pPr>
        <w:pStyle w:val="BodyText"/>
        <w:rPr>
          <w:szCs w:val="22"/>
        </w:rPr>
      </w:pPr>
      <w:r w:rsidRPr="00081EB2">
        <w:rPr>
          <w:szCs w:val="22"/>
        </w:rPr>
        <w:t>The cover page, inside front cover, prefatory information and the appendices to this Official Statement are integral parts hereof and must be read together with all other parts of this Official Statement.</w:t>
      </w:r>
    </w:p>
    <w:p w:rsidR="00081EB2" w:rsidRPr="00081EB2" w:rsidRDefault="00081EB2" w:rsidP="00081EB2">
      <w:pPr>
        <w:pStyle w:val="BodyText"/>
        <w:rPr>
          <w:szCs w:val="22"/>
        </w:rPr>
      </w:pPr>
      <w:r w:rsidRPr="00081EB2">
        <w:rPr>
          <w:szCs w:val="22"/>
        </w:rPr>
        <w:t xml:space="preserve">Information contained in this Official Statement has been obtained from sources believed to be reliable, but this Official Statement is not to be construed as the promise or guarantee of </w:t>
      </w:r>
      <w:r w:rsidR="00D80EE6">
        <w:rPr>
          <w:szCs w:val="22"/>
        </w:rPr>
        <w:t xml:space="preserve">the Bridge Enterprise </w:t>
      </w:r>
      <w:r w:rsidRPr="00081EB2">
        <w:rPr>
          <w:szCs w:val="22"/>
        </w:rPr>
        <w:t>or the Underwriter.  The information herein is subject to change without notice, and neither the delivery of this Official Statement nor any sale made hereunder shall, under any circumstances, create the implication that there has been no change in the matters described in this Official Statement since the date hereof.  So far as any statements made in this Official Statement involve matters of opinion, forecasts, projections or estimates, whether or not expressly stated, they are set forth as such and not as representations of fact.</w:t>
      </w:r>
    </w:p>
    <w:p w:rsidR="00081EB2" w:rsidRPr="00081EB2" w:rsidRDefault="00D80EE6" w:rsidP="00081EB2">
      <w:pPr>
        <w:pStyle w:val="BodyText"/>
        <w:rPr>
          <w:szCs w:val="22"/>
        </w:rPr>
      </w:pPr>
      <w:r>
        <w:rPr>
          <w:szCs w:val="22"/>
        </w:rPr>
        <w:t xml:space="preserve">The Bridge Enterprise, </w:t>
      </w:r>
      <w:r w:rsidR="00081EB2" w:rsidRPr="00081EB2">
        <w:rPr>
          <w:szCs w:val="22"/>
        </w:rPr>
        <w:t>CDOT and the State maintain certain websites, the information on which is not a part of this Official Statement and should not be relied upon in making an investment decision with respect to the Series 201</w:t>
      </w:r>
      <w:r>
        <w:rPr>
          <w:szCs w:val="22"/>
        </w:rPr>
        <w:t>9A Senior Bonds</w:t>
      </w:r>
      <w:r w:rsidR="00081EB2" w:rsidRPr="00081EB2">
        <w:rPr>
          <w:szCs w:val="22"/>
        </w:rPr>
        <w:t>.</w:t>
      </w:r>
    </w:p>
    <w:p w:rsidR="00081EB2" w:rsidRPr="00081EB2" w:rsidRDefault="00081EB2" w:rsidP="00081EB2">
      <w:pPr>
        <w:pStyle w:val="BodyText"/>
        <w:rPr>
          <w:szCs w:val="22"/>
        </w:rPr>
      </w:pPr>
      <w:r w:rsidRPr="00081EB2">
        <w:rPr>
          <w:szCs w:val="22"/>
        </w:rPr>
        <w:t>The Trustee, by acceptance of its duties as Trustee under the Indenture, has not reviewed this Official Statement and has made no representations as to the information contained herein.</w:t>
      </w:r>
    </w:p>
    <w:p w:rsidR="00081EB2" w:rsidRDefault="00081EB2" w:rsidP="00081EB2">
      <w:pPr>
        <w:pStyle w:val="BodyText"/>
        <w:rPr>
          <w:szCs w:val="22"/>
        </w:rPr>
      </w:pPr>
      <w:r w:rsidRPr="00081EB2">
        <w:rPr>
          <w:szCs w:val="22"/>
        </w:rPr>
        <w:t xml:space="preserve">This Official Statement shall not be construed as a contract or agreement between </w:t>
      </w:r>
      <w:r w:rsidR="00D80EE6">
        <w:rPr>
          <w:szCs w:val="22"/>
        </w:rPr>
        <w:t>the Bridge Enterprise</w:t>
      </w:r>
      <w:r w:rsidRPr="00081EB2">
        <w:rPr>
          <w:szCs w:val="22"/>
        </w:rPr>
        <w:t xml:space="preserve"> and the Owners or Beneficial Owners of the Series 201</w:t>
      </w:r>
      <w:r w:rsidR="00D80EE6">
        <w:rPr>
          <w:szCs w:val="22"/>
        </w:rPr>
        <w:t>9A Senior Bonds</w:t>
      </w:r>
      <w:r w:rsidRPr="00081EB2">
        <w:rPr>
          <w:szCs w:val="22"/>
        </w:rPr>
        <w:t>.</w:t>
      </w:r>
    </w:p>
    <w:p w:rsidR="004B471D" w:rsidRDefault="004B471D" w:rsidP="00EF1532">
      <w:pPr>
        <w:pStyle w:val="Kutak1L1"/>
      </w:pPr>
      <w:bookmarkStart w:id="27" w:name="_Toc21694903"/>
      <w:r>
        <w:t>PLAN OF REFUNDING</w:t>
      </w:r>
      <w:bookmarkEnd w:id="27"/>
    </w:p>
    <w:p w:rsidR="00F607D0" w:rsidRDefault="00F607D0" w:rsidP="00F607D0">
      <w:pPr>
        <w:pStyle w:val="Kutak1L2"/>
      </w:pPr>
      <w:bookmarkStart w:id="28" w:name="_Toc21694904"/>
      <w:r>
        <w:t>Plan of Refunding</w:t>
      </w:r>
      <w:bookmarkEnd w:id="28"/>
    </w:p>
    <w:p w:rsidR="00374A88" w:rsidRDefault="00374A88" w:rsidP="00374A88">
      <w:pPr>
        <w:pStyle w:val="BodyText"/>
      </w:pPr>
      <w:r>
        <w:t xml:space="preserve">A portion of the proceeds of the </w:t>
      </w:r>
      <w:r w:rsidR="006C3474">
        <w:t>Series 2019A Senior Bond</w:t>
      </w:r>
      <w:r>
        <w:t>s</w:t>
      </w:r>
      <w:r w:rsidR="002710F6">
        <w:t xml:space="preserve"> </w:t>
      </w:r>
      <w:r>
        <w:t xml:space="preserve">will be used </w:t>
      </w:r>
      <w:r w:rsidRPr="0067484B">
        <w:t xml:space="preserve">to </w:t>
      </w:r>
      <w:r w:rsidR="00CB27CE">
        <w:t>advance</w:t>
      </w:r>
      <w:r>
        <w:t xml:space="preserve"> </w:t>
      </w:r>
      <w:r w:rsidRPr="0067484B">
        <w:t xml:space="preserve">refund </w:t>
      </w:r>
      <w:r>
        <w:t xml:space="preserve">and </w:t>
      </w:r>
      <w:proofErr w:type="spellStart"/>
      <w:r>
        <w:t>defease</w:t>
      </w:r>
      <w:proofErr w:type="spellEnd"/>
      <w:r>
        <w:t xml:space="preserve"> </w:t>
      </w:r>
      <w:r w:rsidRPr="0067484B">
        <w:t xml:space="preserve">all </w:t>
      </w:r>
      <w:r>
        <w:t xml:space="preserve">or a portion </w:t>
      </w:r>
      <w:r w:rsidRPr="0067484B">
        <w:t xml:space="preserve">of the </w:t>
      </w:r>
      <w:r>
        <w:t xml:space="preserve">outstanding </w:t>
      </w:r>
      <w:r w:rsidRPr="0067484B">
        <w:t>Series 20</w:t>
      </w:r>
      <w:r w:rsidR="00F37776">
        <w:t>10A</w:t>
      </w:r>
      <w:r w:rsidRPr="0067484B">
        <w:t xml:space="preserve"> </w:t>
      </w:r>
      <w:r w:rsidR="00586A20">
        <w:t xml:space="preserve">Senior </w:t>
      </w:r>
      <w:r w:rsidRPr="0067484B">
        <w:t>Bonds</w:t>
      </w:r>
      <w:r w:rsidR="00F37776">
        <w:t xml:space="preserve"> maturing on December 1, 2027</w:t>
      </w:r>
      <w:r w:rsidR="00E50B11">
        <w:t xml:space="preserve"> (the “Series 2010A</w:t>
      </w:r>
      <w:r w:rsidR="00586A20">
        <w:t xml:space="preserve"> Senior</w:t>
      </w:r>
      <w:r w:rsidR="00E50B11">
        <w:t xml:space="preserve"> Bonds (2027)”)</w:t>
      </w:r>
      <w:r w:rsidRPr="0067484B">
        <w:t>, which are currently outstanding in the aggregate principal amount of $</w:t>
      </w:r>
      <w:r w:rsidR="00F37776">
        <w:t>42,820</w:t>
      </w:r>
      <w:r>
        <w:t>,000 (the outstanding Series 20</w:t>
      </w:r>
      <w:r w:rsidR="00B97D01">
        <w:t>10</w:t>
      </w:r>
      <w:r>
        <w:t>A</w:t>
      </w:r>
      <w:r w:rsidR="00586A20">
        <w:t xml:space="preserve"> Senior</w:t>
      </w:r>
      <w:r>
        <w:t xml:space="preserve"> Bonds</w:t>
      </w:r>
      <w:r w:rsidR="00E50B11">
        <w:t xml:space="preserve"> (2027)</w:t>
      </w:r>
      <w:r>
        <w:t xml:space="preserve"> are described in more detail in the </w:t>
      </w:r>
      <w:r w:rsidR="00E50B11">
        <w:t xml:space="preserve">following </w:t>
      </w:r>
      <w:r>
        <w:t>table</w:t>
      </w:r>
      <w:r w:rsidR="00E50B11">
        <w:t>).</w:t>
      </w:r>
    </w:p>
    <w:tbl>
      <w:tblPr>
        <w:tblW w:w="0" w:type="auto"/>
        <w:jc w:val="center"/>
        <w:tblLook w:val="0000" w:firstRow="0" w:lastRow="0" w:firstColumn="0" w:lastColumn="0" w:noHBand="0" w:noVBand="0"/>
      </w:tblPr>
      <w:tblGrid>
        <w:gridCol w:w="1513"/>
        <w:gridCol w:w="1594"/>
        <w:gridCol w:w="1483"/>
        <w:gridCol w:w="1924"/>
        <w:gridCol w:w="1368"/>
      </w:tblGrid>
      <w:tr w:rsidR="005D796E" w:rsidRPr="00973197" w:rsidTr="00197C63">
        <w:trPr>
          <w:jc w:val="center"/>
        </w:trPr>
        <w:tc>
          <w:tcPr>
            <w:tcW w:w="1513" w:type="dxa"/>
            <w:vAlign w:val="bottom"/>
          </w:tcPr>
          <w:p w:rsidR="005D796E" w:rsidRPr="00973197" w:rsidRDefault="005D796E" w:rsidP="005D796E">
            <w:pPr>
              <w:pStyle w:val="BodyText"/>
              <w:keepNext/>
              <w:keepLines/>
              <w:widowControl w:val="0"/>
              <w:pBdr>
                <w:bottom w:val="single" w:sz="4" w:space="1" w:color="auto"/>
              </w:pBdr>
              <w:spacing w:after="120"/>
              <w:ind w:firstLine="0"/>
              <w:jc w:val="center"/>
              <w:rPr>
                <w:b/>
                <w:bCs/>
              </w:rPr>
            </w:pPr>
            <w:r>
              <w:rPr>
                <w:b/>
                <w:bCs/>
              </w:rPr>
              <w:t>Maturity Date</w:t>
            </w:r>
            <w:r>
              <w:rPr>
                <w:b/>
                <w:bCs/>
              </w:rPr>
              <w:br/>
              <w:t xml:space="preserve">(December </w:t>
            </w:r>
            <w:r w:rsidRPr="00973197">
              <w:rPr>
                <w:b/>
                <w:bCs/>
              </w:rPr>
              <w:t>1)</w:t>
            </w:r>
          </w:p>
        </w:tc>
        <w:tc>
          <w:tcPr>
            <w:tcW w:w="1594" w:type="dxa"/>
            <w:vAlign w:val="bottom"/>
          </w:tcPr>
          <w:p w:rsidR="005D796E" w:rsidRPr="00973197" w:rsidRDefault="005D796E" w:rsidP="00B62454">
            <w:pPr>
              <w:pStyle w:val="BodyText"/>
              <w:keepNext/>
              <w:keepLines/>
              <w:widowControl w:val="0"/>
              <w:pBdr>
                <w:bottom w:val="single" w:sz="4" w:space="1" w:color="auto"/>
              </w:pBdr>
              <w:spacing w:after="120"/>
              <w:ind w:firstLine="0"/>
              <w:jc w:val="center"/>
              <w:rPr>
                <w:b/>
                <w:bCs/>
              </w:rPr>
            </w:pPr>
            <w:r w:rsidRPr="00973197">
              <w:rPr>
                <w:b/>
                <w:bCs/>
              </w:rPr>
              <w:t>Principa</w:t>
            </w:r>
            <w:r>
              <w:rPr>
                <w:b/>
                <w:bCs/>
              </w:rPr>
              <w:t>l</w:t>
            </w:r>
            <w:r>
              <w:rPr>
                <w:b/>
                <w:bCs/>
              </w:rPr>
              <w:br/>
              <w:t xml:space="preserve">Amount </w:t>
            </w:r>
          </w:p>
        </w:tc>
        <w:tc>
          <w:tcPr>
            <w:tcW w:w="1483" w:type="dxa"/>
            <w:vAlign w:val="bottom"/>
          </w:tcPr>
          <w:p w:rsidR="005D796E" w:rsidRPr="00973197" w:rsidRDefault="005D796E" w:rsidP="00B62454">
            <w:pPr>
              <w:pStyle w:val="BodyText"/>
              <w:keepNext/>
              <w:keepLines/>
              <w:widowControl w:val="0"/>
              <w:pBdr>
                <w:bottom w:val="single" w:sz="4" w:space="1" w:color="auto"/>
              </w:pBdr>
              <w:spacing w:after="120"/>
              <w:ind w:firstLine="0"/>
              <w:jc w:val="center"/>
              <w:rPr>
                <w:b/>
                <w:bCs/>
                <w:vertAlign w:val="superscript"/>
              </w:rPr>
            </w:pPr>
            <w:r w:rsidRPr="00973197">
              <w:rPr>
                <w:b/>
                <w:bCs/>
              </w:rPr>
              <w:t>CUSIP</w:t>
            </w:r>
            <w:r w:rsidRPr="00973197">
              <w:rPr>
                <w:b/>
                <w:bCs/>
              </w:rPr>
              <w:br/>
              <w:t>Number</w:t>
            </w:r>
            <w:r>
              <w:rPr>
                <w:b/>
                <w:bCs/>
                <w:vertAlign w:val="superscript"/>
              </w:rPr>
              <w:t>1</w:t>
            </w:r>
          </w:p>
        </w:tc>
        <w:tc>
          <w:tcPr>
            <w:tcW w:w="1924" w:type="dxa"/>
          </w:tcPr>
          <w:p w:rsidR="005D796E" w:rsidRPr="00973197" w:rsidRDefault="00197C63" w:rsidP="00B62454">
            <w:pPr>
              <w:pStyle w:val="BodyText"/>
              <w:keepNext/>
              <w:keepLines/>
              <w:widowControl w:val="0"/>
              <w:pBdr>
                <w:bottom w:val="single" w:sz="4" w:space="1" w:color="auto"/>
              </w:pBdr>
              <w:spacing w:after="120"/>
              <w:ind w:firstLine="0"/>
              <w:jc w:val="center"/>
              <w:rPr>
                <w:b/>
                <w:bCs/>
              </w:rPr>
            </w:pPr>
            <w:r>
              <w:rPr>
                <w:b/>
                <w:bCs/>
              </w:rPr>
              <w:br/>
            </w:r>
            <w:r w:rsidR="005D796E">
              <w:rPr>
                <w:b/>
                <w:bCs/>
              </w:rPr>
              <w:br/>
              <w:t>Redemption Date</w:t>
            </w:r>
          </w:p>
        </w:tc>
        <w:tc>
          <w:tcPr>
            <w:tcW w:w="1368" w:type="dxa"/>
          </w:tcPr>
          <w:p w:rsidR="005D796E" w:rsidRPr="00973197" w:rsidRDefault="005D796E" w:rsidP="00B62454">
            <w:pPr>
              <w:pStyle w:val="BodyText"/>
              <w:keepNext/>
              <w:keepLines/>
              <w:widowControl w:val="0"/>
              <w:pBdr>
                <w:bottom w:val="single" w:sz="4" w:space="1" w:color="auto"/>
              </w:pBdr>
              <w:spacing w:after="120"/>
              <w:ind w:firstLine="0"/>
              <w:jc w:val="center"/>
              <w:rPr>
                <w:b/>
                <w:bCs/>
              </w:rPr>
            </w:pPr>
            <w:r>
              <w:rPr>
                <w:b/>
                <w:bCs/>
              </w:rPr>
              <w:br/>
              <w:t>Redemption Price</w:t>
            </w:r>
          </w:p>
        </w:tc>
      </w:tr>
      <w:tr w:rsidR="005D796E" w:rsidRPr="00973197" w:rsidTr="00197C63">
        <w:trPr>
          <w:jc w:val="center"/>
        </w:trPr>
        <w:tc>
          <w:tcPr>
            <w:tcW w:w="1513" w:type="dxa"/>
          </w:tcPr>
          <w:p w:rsidR="005D796E" w:rsidRPr="00943540" w:rsidRDefault="005D796E" w:rsidP="00B62454">
            <w:pPr>
              <w:pStyle w:val="BodyText"/>
              <w:keepNext/>
              <w:keepLines/>
              <w:widowControl w:val="0"/>
              <w:spacing w:after="0"/>
              <w:ind w:firstLine="0"/>
              <w:jc w:val="center"/>
              <w:rPr>
                <w:szCs w:val="22"/>
              </w:rPr>
            </w:pPr>
            <w:r>
              <w:rPr>
                <w:szCs w:val="22"/>
              </w:rPr>
              <w:t>2027</w:t>
            </w:r>
          </w:p>
        </w:tc>
        <w:tc>
          <w:tcPr>
            <w:tcW w:w="1594" w:type="dxa"/>
          </w:tcPr>
          <w:p w:rsidR="005D796E" w:rsidRPr="00943540" w:rsidRDefault="005D796E" w:rsidP="005B0C1B">
            <w:pPr>
              <w:pStyle w:val="BodyText"/>
              <w:keepNext/>
              <w:keepLines/>
              <w:widowControl w:val="0"/>
              <w:spacing w:after="0"/>
              <w:ind w:firstLine="0"/>
              <w:jc w:val="center"/>
              <w:rPr>
                <w:bCs/>
                <w:szCs w:val="22"/>
              </w:rPr>
            </w:pPr>
            <w:r>
              <w:rPr>
                <w:bCs/>
                <w:szCs w:val="22"/>
              </w:rPr>
              <w:t>$42,820,000</w:t>
            </w:r>
          </w:p>
        </w:tc>
        <w:tc>
          <w:tcPr>
            <w:tcW w:w="1483" w:type="dxa"/>
            <w:vAlign w:val="bottom"/>
          </w:tcPr>
          <w:p w:rsidR="005D796E" w:rsidRPr="00943540" w:rsidRDefault="00197C63" w:rsidP="00197C63">
            <w:pPr>
              <w:pStyle w:val="BodyText"/>
              <w:keepNext/>
              <w:keepLines/>
              <w:widowControl w:val="0"/>
              <w:spacing w:after="0"/>
              <w:ind w:firstLine="0"/>
              <w:jc w:val="center"/>
              <w:rPr>
                <w:bCs/>
                <w:szCs w:val="22"/>
              </w:rPr>
            </w:pPr>
            <w:r>
              <w:rPr>
                <w:bCs/>
                <w:szCs w:val="22"/>
              </w:rPr>
              <w:t>19633SAA1</w:t>
            </w:r>
          </w:p>
        </w:tc>
        <w:tc>
          <w:tcPr>
            <w:tcW w:w="1924" w:type="dxa"/>
          </w:tcPr>
          <w:p w:rsidR="005D796E" w:rsidRPr="00943540" w:rsidRDefault="00197C63" w:rsidP="005D796E">
            <w:pPr>
              <w:pStyle w:val="BodyText"/>
              <w:keepNext/>
              <w:keepLines/>
              <w:widowControl w:val="0"/>
              <w:spacing w:after="0"/>
              <w:ind w:firstLine="0"/>
              <w:jc w:val="center"/>
              <w:rPr>
                <w:szCs w:val="22"/>
              </w:rPr>
            </w:pPr>
            <w:r>
              <w:rPr>
                <w:szCs w:val="22"/>
              </w:rPr>
              <w:t>December 1, 2020</w:t>
            </w:r>
          </w:p>
        </w:tc>
        <w:tc>
          <w:tcPr>
            <w:tcW w:w="1368" w:type="dxa"/>
          </w:tcPr>
          <w:p w:rsidR="005D796E" w:rsidRPr="00943540" w:rsidRDefault="005D796E" w:rsidP="005D796E">
            <w:pPr>
              <w:pStyle w:val="BodyText"/>
              <w:keepNext/>
              <w:keepLines/>
              <w:widowControl w:val="0"/>
              <w:spacing w:after="0"/>
              <w:ind w:firstLine="0"/>
              <w:jc w:val="center"/>
              <w:rPr>
                <w:szCs w:val="22"/>
              </w:rPr>
            </w:pPr>
            <w:r>
              <w:rPr>
                <w:szCs w:val="22"/>
              </w:rPr>
              <w:t>100%</w:t>
            </w:r>
          </w:p>
        </w:tc>
      </w:tr>
      <w:tr w:rsidR="005D796E" w:rsidRPr="00973197" w:rsidTr="00CB27CE">
        <w:trPr>
          <w:jc w:val="center"/>
        </w:trPr>
        <w:tc>
          <w:tcPr>
            <w:tcW w:w="7882" w:type="dxa"/>
            <w:gridSpan w:val="5"/>
          </w:tcPr>
          <w:p w:rsidR="005D796E" w:rsidRPr="00850D59" w:rsidRDefault="005D796E" w:rsidP="005D796E">
            <w:pPr>
              <w:keepNext/>
              <w:keepLines/>
              <w:widowControl w:val="0"/>
              <w:rPr>
                <w:sz w:val="18"/>
                <w:szCs w:val="18"/>
              </w:rPr>
            </w:pPr>
            <w:r w:rsidRPr="00850D59">
              <w:rPr>
                <w:sz w:val="18"/>
                <w:szCs w:val="18"/>
                <w:u w:val="single"/>
              </w:rPr>
              <w:tab/>
            </w:r>
            <w:r w:rsidRPr="00850D59">
              <w:rPr>
                <w:sz w:val="18"/>
                <w:szCs w:val="18"/>
                <w:u w:val="single"/>
              </w:rPr>
              <w:tab/>
            </w:r>
            <w:r w:rsidRPr="00850D59">
              <w:rPr>
                <w:sz w:val="18"/>
                <w:szCs w:val="18"/>
                <w:u w:val="single"/>
              </w:rPr>
              <w:tab/>
            </w:r>
          </w:p>
          <w:p w:rsidR="005D796E" w:rsidRDefault="005D796E" w:rsidP="00197C63">
            <w:pPr>
              <w:pStyle w:val="BodyText"/>
              <w:keepNext/>
              <w:keepLines/>
              <w:widowControl w:val="0"/>
              <w:spacing w:after="0"/>
              <w:ind w:left="162" w:hanging="162"/>
              <w:rPr>
                <w:szCs w:val="22"/>
              </w:rPr>
            </w:pPr>
            <w:r>
              <w:rPr>
                <w:sz w:val="18"/>
                <w:szCs w:val="18"/>
                <w:vertAlign w:val="superscript"/>
              </w:rPr>
              <w:t>1</w:t>
            </w:r>
            <w:r w:rsidRPr="00850D59">
              <w:rPr>
                <w:sz w:val="18"/>
                <w:szCs w:val="18"/>
                <w:vertAlign w:val="superscript"/>
              </w:rPr>
              <w:t xml:space="preserve"> </w:t>
            </w:r>
            <w:r w:rsidRPr="00850D59">
              <w:rPr>
                <w:sz w:val="18"/>
                <w:szCs w:val="18"/>
                <w:vertAlign w:val="superscript"/>
              </w:rPr>
              <w:tab/>
            </w:r>
            <w:r w:rsidRPr="00850D59">
              <w:rPr>
                <w:sz w:val="18"/>
                <w:szCs w:val="18"/>
              </w:rPr>
              <w:t>CUSIP number</w:t>
            </w:r>
            <w:r w:rsidR="00197C63">
              <w:rPr>
                <w:sz w:val="18"/>
                <w:szCs w:val="18"/>
              </w:rPr>
              <w:t xml:space="preserve"> is</w:t>
            </w:r>
            <w:r w:rsidRPr="00850D59">
              <w:rPr>
                <w:sz w:val="18"/>
                <w:szCs w:val="18"/>
              </w:rPr>
              <w:t xml:space="preserve"> provided only for the convenience of the reader.  Neither the </w:t>
            </w:r>
            <w:r w:rsidR="00197C63">
              <w:rPr>
                <w:sz w:val="18"/>
                <w:szCs w:val="18"/>
              </w:rPr>
              <w:t>Bridge Enterprise</w:t>
            </w:r>
            <w:r w:rsidRPr="00850D59">
              <w:rPr>
                <w:sz w:val="18"/>
                <w:szCs w:val="18"/>
              </w:rPr>
              <w:t xml:space="preserve"> nor the Underwriter undertake any responsibility for the accuracy of such CUSIP number or for any changes or errors in </w:t>
            </w:r>
            <w:r w:rsidR="00197C63">
              <w:rPr>
                <w:sz w:val="18"/>
                <w:szCs w:val="18"/>
              </w:rPr>
              <w:t xml:space="preserve">such </w:t>
            </w:r>
            <w:r w:rsidRPr="00850D59">
              <w:rPr>
                <w:sz w:val="18"/>
                <w:szCs w:val="18"/>
              </w:rPr>
              <w:t>CUSIP number.</w:t>
            </w:r>
          </w:p>
        </w:tc>
      </w:tr>
    </w:tbl>
    <w:p w:rsidR="00374A88" w:rsidRDefault="00374A88" w:rsidP="00374A88">
      <w:pPr>
        <w:pStyle w:val="BodyText"/>
        <w:spacing w:after="0"/>
      </w:pPr>
    </w:p>
    <w:p w:rsidR="00374A88" w:rsidRPr="002A5928" w:rsidRDefault="00374A88" w:rsidP="00374A88">
      <w:pPr>
        <w:pStyle w:val="BodyText"/>
      </w:pPr>
      <w:r w:rsidRPr="00374A48">
        <w:t xml:space="preserve">The specific principal amount </w:t>
      </w:r>
      <w:r w:rsidR="00D55C66">
        <w:t xml:space="preserve">of the </w:t>
      </w:r>
      <w:r>
        <w:t>Series 20</w:t>
      </w:r>
      <w:r w:rsidR="00E50B11">
        <w:t>10</w:t>
      </w:r>
      <w:r>
        <w:t xml:space="preserve">A </w:t>
      </w:r>
      <w:r w:rsidR="00586A20">
        <w:t xml:space="preserve">Senior </w:t>
      </w:r>
      <w:r>
        <w:t>Bonds</w:t>
      </w:r>
      <w:r w:rsidR="00E50B11">
        <w:t xml:space="preserve"> (2027)</w:t>
      </w:r>
      <w:r>
        <w:t xml:space="preserve"> to be</w:t>
      </w:r>
      <w:r w:rsidRPr="00374A48">
        <w:t xml:space="preserve"> refunded (the “Refunded Bonds”)</w:t>
      </w:r>
      <w:r w:rsidRPr="00E264F2">
        <w:t xml:space="preserve"> </w:t>
      </w:r>
      <w:r w:rsidRPr="00374A48">
        <w:t xml:space="preserve">will be determined by the </w:t>
      </w:r>
      <w:r w:rsidR="00E50B11">
        <w:t xml:space="preserve">Bridge Enterprise </w:t>
      </w:r>
      <w:r w:rsidRPr="00374A48">
        <w:t xml:space="preserve">at the time the </w:t>
      </w:r>
      <w:r w:rsidR="00E50B11">
        <w:t xml:space="preserve">Bridge Enterprise and the </w:t>
      </w:r>
      <w:r w:rsidRPr="00374A48">
        <w:t xml:space="preserve">Underwriter sign the Bond Purchase Agreement (as defined herein).  The issuance of the </w:t>
      </w:r>
      <w:r w:rsidR="006C3474">
        <w:t>Series 2019A Senior Bond</w:t>
      </w:r>
      <w:r>
        <w:t>s</w:t>
      </w:r>
      <w:r w:rsidR="00E50B11">
        <w:t xml:space="preserve"> and the refunding of the </w:t>
      </w:r>
      <w:r w:rsidRPr="00374A48">
        <w:t xml:space="preserve">Refunded </w:t>
      </w:r>
      <w:r>
        <w:t>B</w:t>
      </w:r>
      <w:r w:rsidRPr="002A5928">
        <w:t xml:space="preserve">onds are subject to market conditions, and the </w:t>
      </w:r>
      <w:r w:rsidR="00E50B11">
        <w:t xml:space="preserve">Bridge Enterprise </w:t>
      </w:r>
      <w:r w:rsidRPr="002A5928">
        <w:t xml:space="preserve">will only issue the </w:t>
      </w:r>
      <w:r w:rsidR="006C3474">
        <w:t>Series 2019A Senior Bond</w:t>
      </w:r>
      <w:r>
        <w:t>s</w:t>
      </w:r>
      <w:r w:rsidRPr="002A5928">
        <w:t xml:space="preserve"> to refund the Refunded Bonds if such issuance and refunding result in acceptable debt service savings to the </w:t>
      </w:r>
      <w:r w:rsidR="00E50B11">
        <w:t>Bridge Enterprise.</w:t>
      </w:r>
      <w:r w:rsidRPr="002A5928">
        <w:t xml:space="preserve">  </w:t>
      </w:r>
    </w:p>
    <w:p w:rsidR="00374A88" w:rsidRPr="002A5928" w:rsidRDefault="00374A88" w:rsidP="00374A88">
      <w:pPr>
        <w:pStyle w:val="BodyText"/>
      </w:pPr>
      <w:r w:rsidRPr="002A5928">
        <w:t xml:space="preserve">A portion of the proceeds of the </w:t>
      </w:r>
      <w:r w:rsidR="006C3474">
        <w:t>Series 2019A Senior Bond</w:t>
      </w:r>
      <w:r>
        <w:t>s</w:t>
      </w:r>
      <w:r w:rsidRPr="002A5928">
        <w:t xml:space="preserve"> will be deposited into </w:t>
      </w:r>
      <w:r w:rsidR="00197C63">
        <w:t xml:space="preserve">an </w:t>
      </w:r>
      <w:r w:rsidRPr="002A5928">
        <w:t xml:space="preserve">escrow fund (the “Escrow Fund”) to be established under the terms of </w:t>
      </w:r>
      <w:r w:rsidR="00197C63">
        <w:t>a</w:t>
      </w:r>
      <w:r w:rsidR="00E2638E">
        <w:t xml:space="preserve"> defeasance </w:t>
      </w:r>
      <w:r w:rsidR="00197C63">
        <w:t>e</w:t>
      </w:r>
      <w:r w:rsidRPr="002A5928">
        <w:t xml:space="preserve">scrow agreement </w:t>
      </w:r>
      <w:r>
        <w:t xml:space="preserve">to be entered into by the </w:t>
      </w:r>
      <w:r w:rsidR="00197C63">
        <w:t xml:space="preserve">Bridge Enterprise and </w:t>
      </w:r>
      <w:r w:rsidR="00E2638E" w:rsidRPr="00E2638E">
        <w:t>Zions Bancorporation, National Association</w:t>
      </w:r>
      <w:r w:rsidR="00E2638E">
        <w:t>, as escrow agent</w:t>
      </w:r>
      <w:r w:rsidRPr="002A5928">
        <w:t>.  Certain amounts deposited into the Escrow Fund</w:t>
      </w:r>
      <w:r>
        <w:t xml:space="preserve"> </w:t>
      </w:r>
      <w:r w:rsidRPr="002A5928">
        <w:t xml:space="preserve">will be invested in direct, noncallable obligations of the United States Treasury and all remaining amounts deposited into the Escrow Fund will be held uninvested in cash.  Amounts on deposit in the Escrow Fund will be used </w:t>
      </w:r>
      <w:r w:rsidR="00197C63">
        <w:t xml:space="preserve">(a) </w:t>
      </w:r>
      <w:r w:rsidRPr="002A5928">
        <w:t xml:space="preserve">on </w:t>
      </w:r>
      <w:r w:rsidR="00197C63">
        <w:t xml:space="preserve">June 1, 2020 to pay the interest on the Refunded </w:t>
      </w:r>
      <w:r w:rsidR="00EE0CF5">
        <w:t>B</w:t>
      </w:r>
      <w:r w:rsidR="00197C63">
        <w:t xml:space="preserve">onds, and (b) on December 1, 2020 to pay the </w:t>
      </w:r>
      <w:r w:rsidRPr="002A5928">
        <w:t xml:space="preserve">redemption price of and interest on the </w:t>
      </w:r>
      <w:r>
        <w:t xml:space="preserve">Refunded </w:t>
      </w:r>
      <w:r w:rsidR="00EE0CF5">
        <w:t>B</w:t>
      </w:r>
      <w:r>
        <w:t>onds</w:t>
      </w:r>
      <w:r w:rsidRPr="002A5928">
        <w:t>.</w:t>
      </w:r>
    </w:p>
    <w:p w:rsidR="00374A88" w:rsidRDefault="00374A88" w:rsidP="00374A88">
      <w:pPr>
        <w:pStyle w:val="BodyText"/>
      </w:pPr>
      <w:r w:rsidRPr="002A5928">
        <w:t xml:space="preserve">Upon delivery of the </w:t>
      </w:r>
      <w:r w:rsidR="006C3474">
        <w:t>Series 2019A Senior Bond</w:t>
      </w:r>
      <w:r w:rsidRPr="002A5928">
        <w:t xml:space="preserve">s, </w:t>
      </w:r>
      <w:r w:rsidR="00EE0CF5">
        <w:t xml:space="preserve">Causey </w:t>
      </w:r>
      <w:proofErr w:type="spellStart"/>
      <w:r w:rsidR="00EE0CF5">
        <w:t>Demgen</w:t>
      </w:r>
      <w:proofErr w:type="spellEnd"/>
      <w:r w:rsidR="00EE0CF5">
        <w:t xml:space="preserve"> &amp; Moore P.C., </w:t>
      </w:r>
      <w:r w:rsidRPr="002A5928">
        <w:t xml:space="preserve">certified public accountants (the “Verification Agent”), will deliver a report stating that it has verified the mathematical accuracy of the computations contained in the schedules </w:t>
      </w:r>
      <w:r>
        <w:t xml:space="preserve">provided by </w:t>
      </w:r>
      <w:r w:rsidR="00C25FC9" w:rsidRPr="00081EB2">
        <w:rPr>
          <w:szCs w:val="22"/>
        </w:rPr>
        <w:t>Stifel, Nicolaus &amp; Company, Incorporated</w:t>
      </w:r>
      <w:r w:rsidRPr="006D22A0">
        <w:t xml:space="preserve"> </w:t>
      </w:r>
      <w:r w:rsidRPr="002A5928">
        <w:t>to determine that the amounts to be h</w:t>
      </w:r>
      <w:r w:rsidRPr="0067484B">
        <w:t xml:space="preserve">eld in the </w:t>
      </w:r>
      <w:r>
        <w:t>Escrow Fund</w:t>
      </w:r>
      <w:r w:rsidRPr="0067484B">
        <w:t xml:space="preserve"> will be sufficient to pay </w:t>
      </w:r>
      <w:r w:rsidR="005B0C1B">
        <w:t>(a) the interest on the Refunded Bonds on June 1, 2020, and (b) the</w:t>
      </w:r>
      <w:r w:rsidRPr="0067484B">
        <w:t xml:space="preserve"> redemption price of and interest on </w:t>
      </w:r>
      <w:r>
        <w:t xml:space="preserve">the </w:t>
      </w:r>
      <w:r w:rsidRPr="0067484B">
        <w:t xml:space="preserve">Refunded Bonds on </w:t>
      </w:r>
      <w:r w:rsidR="005B0C1B">
        <w:t>December 1, 2020</w:t>
      </w:r>
      <w:r w:rsidRPr="0067484B">
        <w:t>.  See “VERIFICATION OF MATHEMATICAL COMPUTATIONS.”</w:t>
      </w:r>
    </w:p>
    <w:p w:rsidR="00F607D0" w:rsidRDefault="00F607D0" w:rsidP="00F607D0">
      <w:pPr>
        <w:pStyle w:val="Kutak1L2"/>
      </w:pPr>
      <w:bookmarkStart w:id="29" w:name="_Toc21694905"/>
      <w:r>
        <w:t>Estimated Sources and Uses of Funds</w:t>
      </w:r>
      <w:bookmarkEnd w:id="29"/>
    </w:p>
    <w:p w:rsidR="00F607D0" w:rsidRDefault="00F607D0" w:rsidP="00F607D0">
      <w:pPr>
        <w:pStyle w:val="BodyText"/>
      </w:pPr>
      <w:r>
        <w:t xml:space="preserve">The following table sets forth the estimated sources and uses of funds relating to the </w:t>
      </w:r>
      <w:r w:rsidR="006C3474">
        <w:t>Series 2019A Senior Bond</w:t>
      </w:r>
      <w:r>
        <w:t>s.</w:t>
      </w:r>
    </w:p>
    <w:tbl>
      <w:tblPr>
        <w:tblStyle w:val="TableGrid"/>
        <w:tblW w:w="71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890"/>
      </w:tblGrid>
      <w:tr w:rsidR="00F607D0" w:rsidRPr="00EE30EA" w:rsidTr="00EE0CF5">
        <w:trPr>
          <w:trHeight w:val="324"/>
          <w:jc w:val="center"/>
        </w:trPr>
        <w:tc>
          <w:tcPr>
            <w:tcW w:w="5220" w:type="dxa"/>
          </w:tcPr>
          <w:p w:rsidR="00F607D0" w:rsidRPr="0089539F" w:rsidRDefault="0089539F" w:rsidP="0089539F">
            <w:pPr>
              <w:rPr>
                <w:b/>
                <w:i/>
              </w:rPr>
            </w:pPr>
            <w:r w:rsidRPr="0089539F">
              <w:rPr>
                <w:b/>
                <w:i/>
              </w:rPr>
              <w:t xml:space="preserve">Sources </w:t>
            </w:r>
            <w:r>
              <w:rPr>
                <w:b/>
                <w:i/>
              </w:rPr>
              <w:t>o</w:t>
            </w:r>
            <w:r w:rsidRPr="0089539F">
              <w:rPr>
                <w:b/>
                <w:i/>
              </w:rPr>
              <w:t>f Funds:</w:t>
            </w:r>
          </w:p>
        </w:tc>
        <w:tc>
          <w:tcPr>
            <w:tcW w:w="1890" w:type="dxa"/>
          </w:tcPr>
          <w:p w:rsidR="00F607D0" w:rsidRPr="00EE30EA" w:rsidRDefault="00F607D0" w:rsidP="00F607D0"/>
        </w:tc>
      </w:tr>
      <w:tr w:rsidR="00EE0CF5" w:rsidRPr="00EE30EA" w:rsidTr="00EE0CF5">
        <w:trPr>
          <w:jc w:val="center"/>
        </w:trPr>
        <w:tc>
          <w:tcPr>
            <w:tcW w:w="5220" w:type="dxa"/>
          </w:tcPr>
          <w:p w:rsidR="00EE0CF5" w:rsidRPr="00EE30EA" w:rsidRDefault="00EE0CF5" w:rsidP="0089539F">
            <w:pPr>
              <w:ind w:left="158"/>
            </w:pPr>
            <w:r w:rsidRPr="00EE30EA">
              <w:t xml:space="preserve">Par Amount of </w:t>
            </w:r>
            <w:r w:rsidR="006C3474">
              <w:t>Series 2019A Senior Bond</w:t>
            </w:r>
            <w:r w:rsidRPr="00EE30EA">
              <w:t>s</w:t>
            </w:r>
          </w:p>
        </w:tc>
        <w:tc>
          <w:tcPr>
            <w:tcW w:w="1890" w:type="dxa"/>
          </w:tcPr>
          <w:p w:rsidR="00EE0CF5" w:rsidRPr="00D55C66" w:rsidRDefault="00D55C66" w:rsidP="00EE0CF5">
            <w:pPr>
              <w:jc w:val="right"/>
            </w:pPr>
            <w:r w:rsidRPr="00D55C66">
              <w:t>$</w:t>
            </w:r>
            <w:r w:rsidRPr="00D55C66">
              <w:tab/>
            </w:r>
            <w:r w:rsidRPr="00D55C66">
              <w:tab/>
            </w:r>
          </w:p>
        </w:tc>
      </w:tr>
      <w:tr w:rsidR="00F607D0" w:rsidRPr="00EE30EA" w:rsidTr="00EE0CF5">
        <w:trPr>
          <w:jc w:val="center"/>
        </w:trPr>
        <w:tc>
          <w:tcPr>
            <w:tcW w:w="5220" w:type="dxa"/>
          </w:tcPr>
          <w:p w:rsidR="00F607D0" w:rsidRPr="00EE30EA" w:rsidRDefault="009A0A1D" w:rsidP="0089539F">
            <w:pPr>
              <w:ind w:left="158"/>
            </w:pPr>
            <w:r>
              <w:t>Original Issue Premium/(Discount)</w:t>
            </w:r>
          </w:p>
        </w:tc>
        <w:tc>
          <w:tcPr>
            <w:tcW w:w="1890" w:type="dxa"/>
          </w:tcPr>
          <w:p w:rsidR="00F607D0" w:rsidRPr="00D55C66" w:rsidRDefault="00D55C66" w:rsidP="00F607D0">
            <w:pPr>
              <w:jc w:val="right"/>
              <w:rPr>
                <w:u w:val="single"/>
              </w:rPr>
            </w:pPr>
            <w:r>
              <w:rPr>
                <w:u w:val="single"/>
              </w:rPr>
              <w:tab/>
            </w:r>
            <w:r>
              <w:rPr>
                <w:u w:val="single"/>
              </w:rPr>
              <w:tab/>
            </w:r>
          </w:p>
        </w:tc>
      </w:tr>
      <w:tr w:rsidR="00F607D0" w:rsidRPr="00EE30EA" w:rsidTr="00EE0CF5">
        <w:trPr>
          <w:jc w:val="center"/>
        </w:trPr>
        <w:tc>
          <w:tcPr>
            <w:tcW w:w="5220" w:type="dxa"/>
          </w:tcPr>
          <w:p w:rsidR="00F607D0" w:rsidRPr="00EE30EA" w:rsidRDefault="00F607D0" w:rsidP="0089539F">
            <w:pPr>
              <w:ind w:left="346"/>
            </w:pPr>
            <w:r w:rsidRPr="0089539F">
              <w:rPr>
                <w:i/>
              </w:rPr>
              <w:t>Total Sources of Fund</w:t>
            </w:r>
            <w:r w:rsidRPr="00EE30EA">
              <w:t>s</w:t>
            </w:r>
          </w:p>
        </w:tc>
        <w:tc>
          <w:tcPr>
            <w:tcW w:w="1890" w:type="dxa"/>
          </w:tcPr>
          <w:p w:rsidR="00F607D0" w:rsidRPr="00D55C66" w:rsidRDefault="00D55C66" w:rsidP="00F607D0">
            <w:pPr>
              <w:jc w:val="right"/>
            </w:pPr>
            <w:r>
              <w:t>$</w:t>
            </w:r>
            <w:r w:rsidRPr="00D55C66">
              <w:rPr>
                <w:u w:val="double"/>
              </w:rPr>
              <w:tab/>
            </w:r>
            <w:r w:rsidRPr="00D55C66">
              <w:rPr>
                <w:u w:val="double"/>
              </w:rPr>
              <w:tab/>
            </w:r>
          </w:p>
        </w:tc>
      </w:tr>
      <w:tr w:rsidR="00F607D0" w:rsidRPr="00EE30EA" w:rsidTr="00EE0CF5">
        <w:trPr>
          <w:jc w:val="center"/>
        </w:trPr>
        <w:tc>
          <w:tcPr>
            <w:tcW w:w="5220" w:type="dxa"/>
          </w:tcPr>
          <w:p w:rsidR="00F607D0" w:rsidRPr="00EE30EA" w:rsidRDefault="00F607D0" w:rsidP="0089539F"/>
        </w:tc>
        <w:tc>
          <w:tcPr>
            <w:tcW w:w="1890" w:type="dxa"/>
          </w:tcPr>
          <w:p w:rsidR="00F607D0" w:rsidRPr="00D55C66" w:rsidRDefault="00F607D0" w:rsidP="00F607D0"/>
        </w:tc>
      </w:tr>
      <w:tr w:rsidR="00F607D0" w:rsidRPr="00EE30EA" w:rsidTr="00EE0CF5">
        <w:trPr>
          <w:jc w:val="center"/>
        </w:trPr>
        <w:tc>
          <w:tcPr>
            <w:tcW w:w="5220" w:type="dxa"/>
          </w:tcPr>
          <w:p w:rsidR="00F607D0" w:rsidRPr="0089539F" w:rsidRDefault="0089539F" w:rsidP="0089539F">
            <w:pPr>
              <w:rPr>
                <w:b/>
                <w:i/>
              </w:rPr>
            </w:pPr>
            <w:r w:rsidRPr="0089539F">
              <w:rPr>
                <w:b/>
                <w:i/>
              </w:rPr>
              <w:t xml:space="preserve">Uses </w:t>
            </w:r>
            <w:r>
              <w:rPr>
                <w:b/>
                <w:i/>
              </w:rPr>
              <w:t>o</w:t>
            </w:r>
            <w:r w:rsidRPr="0089539F">
              <w:rPr>
                <w:b/>
                <w:i/>
              </w:rPr>
              <w:t>f Funds:</w:t>
            </w:r>
          </w:p>
        </w:tc>
        <w:tc>
          <w:tcPr>
            <w:tcW w:w="1890" w:type="dxa"/>
          </w:tcPr>
          <w:p w:rsidR="00F607D0" w:rsidRPr="00D55C66" w:rsidRDefault="00D55C66" w:rsidP="00F607D0">
            <w:pPr>
              <w:jc w:val="right"/>
            </w:pPr>
            <w:r>
              <w:t>$</w:t>
            </w:r>
            <w:r>
              <w:tab/>
            </w:r>
            <w:r>
              <w:tab/>
            </w:r>
          </w:p>
        </w:tc>
      </w:tr>
      <w:tr w:rsidR="00F607D0" w:rsidRPr="00EE30EA" w:rsidTr="00EE0CF5">
        <w:trPr>
          <w:jc w:val="center"/>
        </w:trPr>
        <w:tc>
          <w:tcPr>
            <w:tcW w:w="5220" w:type="dxa"/>
          </w:tcPr>
          <w:p w:rsidR="00F607D0" w:rsidRPr="00EE30EA" w:rsidRDefault="00F607D0" w:rsidP="0089539F">
            <w:pPr>
              <w:ind w:left="158"/>
            </w:pPr>
            <w:r w:rsidRPr="00EE30EA">
              <w:t>Dep</w:t>
            </w:r>
            <w:r>
              <w:t xml:space="preserve">osit to </w:t>
            </w:r>
            <w:r w:rsidR="00F37776">
              <w:t>Escrow Fund</w:t>
            </w:r>
          </w:p>
        </w:tc>
        <w:tc>
          <w:tcPr>
            <w:tcW w:w="1890" w:type="dxa"/>
          </w:tcPr>
          <w:p w:rsidR="00F607D0" w:rsidRPr="00D55C66" w:rsidRDefault="00F607D0" w:rsidP="00F607D0">
            <w:pPr>
              <w:jc w:val="right"/>
            </w:pPr>
          </w:p>
        </w:tc>
      </w:tr>
      <w:tr w:rsidR="00F607D0" w:rsidRPr="00EE30EA" w:rsidTr="00EE0CF5">
        <w:trPr>
          <w:jc w:val="center"/>
        </w:trPr>
        <w:tc>
          <w:tcPr>
            <w:tcW w:w="5220" w:type="dxa"/>
          </w:tcPr>
          <w:p w:rsidR="00F607D0" w:rsidRPr="00EE30EA" w:rsidRDefault="00F607D0" w:rsidP="0089539F">
            <w:pPr>
              <w:ind w:left="158"/>
            </w:pPr>
            <w:r w:rsidRPr="00EE30EA">
              <w:t>Costs of Issuan</w:t>
            </w:r>
            <w:r>
              <w:t>ce</w:t>
            </w:r>
            <w:r w:rsidR="009A0A1D" w:rsidRPr="009A0A1D">
              <w:rPr>
                <w:vertAlign w:val="superscript"/>
              </w:rPr>
              <w:t>1</w:t>
            </w:r>
          </w:p>
        </w:tc>
        <w:tc>
          <w:tcPr>
            <w:tcW w:w="1890" w:type="dxa"/>
          </w:tcPr>
          <w:p w:rsidR="00F607D0" w:rsidRPr="00D55C66" w:rsidRDefault="00D55C66" w:rsidP="00F607D0">
            <w:pPr>
              <w:jc w:val="right"/>
              <w:rPr>
                <w:u w:val="single"/>
              </w:rPr>
            </w:pPr>
            <w:r>
              <w:rPr>
                <w:u w:val="single"/>
              </w:rPr>
              <w:tab/>
            </w:r>
            <w:r>
              <w:rPr>
                <w:u w:val="single"/>
              </w:rPr>
              <w:tab/>
            </w:r>
          </w:p>
        </w:tc>
      </w:tr>
      <w:tr w:rsidR="00F607D0" w:rsidRPr="00EE30EA" w:rsidTr="00EE0CF5">
        <w:trPr>
          <w:jc w:val="center"/>
        </w:trPr>
        <w:tc>
          <w:tcPr>
            <w:tcW w:w="5220" w:type="dxa"/>
          </w:tcPr>
          <w:p w:rsidR="00F607D0" w:rsidRPr="0089539F" w:rsidRDefault="00F607D0" w:rsidP="0089539F">
            <w:pPr>
              <w:ind w:left="346"/>
              <w:rPr>
                <w:i/>
              </w:rPr>
            </w:pPr>
            <w:r w:rsidRPr="0089539F">
              <w:rPr>
                <w:i/>
              </w:rPr>
              <w:t>Total Uses of Funds</w:t>
            </w:r>
            <w:r w:rsidRPr="0089539F">
              <w:rPr>
                <w:i/>
              </w:rPr>
              <w:tab/>
            </w:r>
          </w:p>
        </w:tc>
        <w:tc>
          <w:tcPr>
            <w:tcW w:w="1890" w:type="dxa"/>
          </w:tcPr>
          <w:p w:rsidR="00F607D0" w:rsidRPr="00D55C66" w:rsidRDefault="00D55C66" w:rsidP="00F607D0">
            <w:pPr>
              <w:jc w:val="right"/>
            </w:pPr>
            <w:r>
              <w:t>$</w:t>
            </w:r>
            <w:r w:rsidRPr="00D55C66">
              <w:rPr>
                <w:u w:val="double"/>
              </w:rPr>
              <w:tab/>
            </w:r>
            <w:r w:rsidRPr="00D55C66">
              <w:rPr>
                <w:u w:val="double"/>
              </w:rPr>
              <w:tab/>
            </w:r>
          </w:p>
        </w:tc>
      </w:tr>
      <w:tr w:rsidR="00F607D0" w:rsidRPr="00E43810" w:rsidTr="00EE0CF5">
        <w:trPr>
          <w:jc w:val="center"/>
        </w:trPr>
        <w:tc>
          <w:tcPr>
            <w:tcW w:w="7110" w:type="dxa"/>
            <w:gridSpan w:val="2"/>
          </w:tcPr>
          <w:p w:rsidR="00F607D0" w:rsidRPr="00CB45BB" w:rsidRDefault="00F607D0" w:rsidP="00F607D0">
            <w:pPr>
              <w:rPr>
                <w:sz w:val="18"/>
                <w:szCs w:val="18"/>
              </w:rPr>
            </w:pPr>
            <w:r w:rsidRPr="00CB45BB">
              <w:rPr>
                <w:sz w:val="18"/>
                <w:szCs w:val="18"/>
              </w:rPr>
              <w:t>____________________</w:t>
            </w:r>
          </w:p>
          <w:p w:rsidR="00F607D0" w:rsidRPr="00E43810" w:rsidRDefault="009A0A1D" w:rsidP="00DB673A">
            <w:r w:rsidRPr="009A0A1D">
              <w:rPr>
                <w:sz w:val="18"/>
                <w:szCs w:val="18"/>
                <w:vertAlign w:val="superscript"/>
              </w:rPr>
              <w:t>1</w:t>
            </w:r>
            <w:r w:rsidR="00F607D0" w:rsidRPr="00CB45BB">
              <w:rPr>
                <w:sz w:val="18"/>
                <w:szCs w:val="18"/>
              </w:rPr>
              <w:t xml:space="preserve"> </w:t>
            </w:r>
            <w:r w:rsidR="00E2638E">
              <w:rPr>
                <w:sz w:val="18"/>
                <w:szCs w:val="18"/>
              </w:rPr>
              <w:t>Includes Underwriter</w:t>
            </w:r>
            <w:r w:rsidR="00A50D7A">
              <w:rPr>
                <w:sz w:val="18"/>
                <w:szCs w:val="18"/>
              </w:rPr>
              <w:t>’</w:t>
            </w:r>
            <w:r w:rsidR="00E2638E">
              <w:rPr>
                <w:sz w:val="18"/>
                <w:szCs w:val="18"/>
              </w:rPr>
              <w:t xml:space="preserve">s discount, </w:t>
            </w:r>
            <w:r w:rsidR="00F607D0" w:rsidRPr="00CB45BB">
              <w:rPr>
                <w:sz w:val="18"/>
                <w:szCs w:val="18"/>
              </w:rPr>
              <w:t xml:space="preserve">fees </w:t>
            </w:r>
            <w:r w:rsidR="00E2638E">
              <w:rPr>
                <w:sz w:val="18"/>
                <w:szCs w:val="18"/>
              </w:rPr>
              <w:t xml:space="preserve">of </w:t>
            </w:r>
            <w:r w:rsidR="00F607D0" w:rsidRPr="00CB45BB">
              <w:rPr>
                <w:sz w:val="18"/>
                <w:szCs w:val="18"/>
              </w:rPr>
              <w:t xml:space="preserve">legal counsel, </w:t>
            </w:r>
            <w:r w:rsidR="00E2638E">
              <w:rPr>
                <w:sz w:val="18"/>
                <w:szCs w:val="18"/>
              </w:rPr>
              <w:t xml:space="preserve">Municipal Advisor, Verification Agent, </w:t>
            </w:r>
            <w:r w:rsidR="00F607D0" w:rsidRPr="00CB45BB">
              <w:rPr>
                <w:sz w:val="18"/>
                <w:szCs w:val="18"/>
              </w:rPr>
              <w:t>rating agencies</w:t>
            </w:r>
            <w:r w:rsidR="00E2638E">
              <w:rPr>
                <w:sz w:val="18"/>
                <w:szCs w:val="18"/>
              </w:rPr>
              <w:t xml:space="preserve"> and others </w:t>
            </w:r>
            <w:r w:rsidR="00F607D0" w:rsidRPr="00CB45BB">
              <w:rPr>
                <w:sz w:val="18"/>
                <w:szCs w:val="18"/>
              </w:rPr>
              <w:t xml:space="preserve">and other expenses associated with the issuance of the </w:t>
            </w:r>
            <w:r w:rsidR="006C3474">
              <w:rPr>
                <w:sz w:val="18"/>
                <w:szCs w:val="18"/>
              </w:rPr>
              <w:t>Series 2019A Senior Bond</w:t>
            </w:r>
            <w:r w:rsidR="00F607D0" w:rsidRPr="00CB45BB">
              <w:rPr>
                <w:sz w:val="18"/>
                <w:szCs w:val="18"/>
              </w:rPr>
              <w:t xml:space="preserve">s.  For information regarding the underwriting arrangement relating to the </w:t>
            </w:r>
            <w:r w:rsidR="006C3474">
              <w:rPr>
                <w:sz w:val="18"/>
                <w:szCs w:val="18"/>
              </w:rPr>
              <w:t>Series 2019A Senior Bond</w:t>
            </w:r>
            <w:r w:rsidR="00F607D0" w:rsidRPr="00CB45BB">
              <w:rPr>
                <w:sz w:val="18"/>
                <w:szCs w:val="18"/>
              </w:rPr>
              <w:t>s, see “UNDERWRITING.”</w:t>
            </w:r>
          </w:p>
        </w:tc>
      </w:tr>
    </w:tbl>
    <w:p w:rsidR="00F607D0" w:rsidRPr="00E43810" w:rsidRDefault="00F607D0" w:rsidP="00F607D0"/>
    <w:p w:rsidR="002E4A0D" w:rsidRDefault="002E4A0D" w:rsidP="00EF1532">
      <w:pPr>
        <w:pStyle w:val="Kutak1L1"/>
      </w:pPr>
      <w:bookmarkStart w:id="30" w:name="_Toc21694906"/>
      <w:r>
        <w:t xml:space="preserve">THE </w:t>
      </w:r>
      <w:r w:rsidR="006C3474">
        <w:t>SERIES 2019A SENIOR BOND</w:t>
      </w:r>
      <w:r>
        <w:t>S</w:t>
      </w:r>
      <w:bookmarkEnd w:id="30"/>
    </w:p>
    <w:p w:rsidR="00D04DCD" w:rsidRPr="00D04DCD" w:rsidRDefault="00D04DCD" w:rsidP="00D04DCD">
      <w:pPr>
        <w:pStyle w:val="BodyText"/>
      </w:pPr>
      <w:r w:rsidRPr="00D04DCD">
        <w:t>The following is a summary of certain provisions of the Series 201</w:t>
      </w:r>
      <w:r>
        <w:t xml:space="preserve">9A Senior Bonds </w:t>
      </w:r>
      <w:r w:rsidRPr="00D04DCD">
        <w:t>during such time as the Series 201</w:t>
      </w:r>
      <w:r>
        <w:t xml:space="preserve">9A Senior Bonds </w:t>
      </w:r>
      <w:r w:rsidRPr="00D04DCD">
        <w:t xml:space="preserve">are subject to the DTC book-entry system.  </w:t>
      </w:r>
      <w:r w:rsidR="000B3B31">
        <w:t xml:space="preserve">See “APPENDIX D—SUMMARY OF CERTAIN PROVISIONS OF THE INDENTURE.”  </w:t>
      </w:r>
      <w:r w:rsidRPr="00D04DCD">
        <w:t>Reference is hereby made to the Indenture</w:t>
      </w:r>
      <w:r w:rsidR="000B3B31">
        <w:t xml:space="preserve"> in its entirety for the detailed provisions pertaining to the Series 2019A Senior Bonds</w:t>
      </w:r>
      <w:r w:rsidRPr="00D04DCD">
        <w:t>.</w:t>
      </w:r>
    </w:p>
    <w:p w:rsidR="002E4A0D" w:rsidRDefault="002E4A0D" w:rsidP="00E03221">
      <w:pPr>
        <w:pStyle w:val="Kutak1L2"/>
      </w:pPr>
      <w:bookmarkStart w:id="31" w:name="_Toc21694907"/>
      <w:r>
        <w:t>General</w:t>
      </w:r>
      <w:bookmarkEnd w:id="31"/>
    </w:p>
    <w:p w:rsidR="002E4A0D" w:rsidRDefault="002E4A0D" w:rsidP="002E4A0D">
      <w:pPr>
        <w:pStyle w:val="BodyText"/>
      </w:pPr>
      <w:r>
        <w:t xml:space="preserve">The </w:t>
      </w:r>
      <w:r w:rsidR="006C3474">
        <w:t>Series 2019A Senior Bond</w:t>
      </w:r>
      <w:r>
        <w:t>s are being issued by the Bridge Enterprise pursuant to FASTER, t</w:t>
      </w:r>
      <w:r w:rsidR="00C4527A">
        <w:t xml:space="preserve">he Supplemental Securities Act, the Refunding Act </w:t>
      </w:r>
      <w:r>
        <w:t xml:space="preserve">and the Indenture in the aggregate principal amount of </w:t>
      </w:r>
      <w:r w:rsidR="0092331F">
        <w:t>$[PAR]</w:t>
      </w:r>
      <w:r w:rsidR="002855E3">
        <w:rPr>
          <w:rStyle w:val="FootnoteReference"/>
        </w:rPr>
        <w:footnoteReference w:customMarkFollows="1" w:id="5"/>
        <w:t>*</w:t>
      </w:r>
      <w:r w:rsidR="009F27D6">
        <w:t xml:space="preserve">.  </w:t>
      </w:r>
      <w:r>
        <w:t xml:space="preserve">The </w:t>
      </w:r>
      <w:r w:rsidR="006C3474">
        <w:t>Series 2019A Senior Bond</w:t>
      </w:r>
      <w:r>
        <w:t xml:space="preserve">s </w:t>
      </w:r>
      <w:r w:rsidR="0018332E">
        <w:t>will be</w:t>
      </w:r>
      <w:r>
        <w:t xml:space="preserve"> dated and bear interest from their date of delivery</w:t>
      </w:r>
      <w:r w:rsidR="009F27D6">
        <w:t xml:space="preserve">.  </w:t>
      </w:r>
      <w:r>
        <w:t xml:space="preserve">Interest on the </w:t>
      </w:r>
      <w:r w:rsidR="006C3474">
        <w:t>Series 2019A Senior Bond</w:t>
      </w:r>
      <w:r>
        <w:t xml:space="preserve">s </w:t>
      </w:r>
      <w:r w:rsidR="0018332E">
        <w:t xml:space="preserve">will be </w:t>
      </w:r>
      <w:r>
        <w:t>payable on June 1 and December 1 of each year (each an “Interest Payment Date”), commencing June 1, 20</w:t>
      </w:r>
      <w:r w:rsidR="002855E3">
        <w:t>20.</w:t>
      </w:r>
      <w:r w:rsidR="009F27D6">
        <w:t xml:space="preserve">  </w:t>
      </w:r>
      <w:r>
        <w:t xml:space="preserve">Interest on the </w:t>
      </w:r>
      <w:r w:rsidR="006C3474">
        <w:t>Series 2019A Senior Bond</w:t>
      </w:r>
      <w:r>
        <w:t>s will be computed on the basis of a 360-day year consisting of twelve 30-day months</w:t>
      </w:r>
      <w:r w:rsidR="009F27D6">
        <w:t xml:space="preserve">.  </w:t>
      </w:r>
      <w:r>
        <w:t xml:space="preserve">The </w:t>
      </w:r>
      <w:r w:rsidR="006C3474">
        <w:t>Series 2019A Senior Bond</w:t>
      </w:r>
      <w:r>
        <w:t>s mature in the amounts and on the dates and bear interest at the rates set forth on the inside front cover page of this Official Statement.</w:t>
      </w:r>
    </w:p>
    <w:p w:rsidR="0018332E" w:rsidRDefault="0018332E" w:rsidP="0018332E">
      <w:pPr>
        <w:pStyle w:val="Kutak1L2"/>
      </w:pPr>
      <w:bookmarkStart w:id="32" w:name="_Toc21694908"/>
      <w:r>
        <w:t>DTC Book-Entry System</w:t>
      </w:r>
      <w:bookmarkEnd w:id="32"/>
    </w:p>
    <w:p w:rsidR="0018332E" w:rsidRDefault="0018332E" w:rsidP="0018332E">
      <w:pPr>
        <w:pStyle w:val="BodyText"/>
      </w:pPr>
      <w:r>
        <w:t>The Series 2019A Senior Bonds will be issued in fully registered form (i.e., registered as to payment of both principal and interest) and will be registered initially in the name of Cede &amp; Co., as nominee of DTC, which will serve as securities depository for the Series 2019A Senior Bonds.  Beneficial Ownership Interests in the Series 2019A Senior Bonds, in non-certificated book-entry only form, may be purchased in Authorized Denominations of $5,000 or any integral multiple thereof by or through DTC Participants.  Beneficial Ownership Interests will be recorded in the name of the Beneficial Owners on the books of the DTC Participants from whom they are acquired, and transfers of such Beneficial Ownership Interests will be accomplished by entries made on the books of the DTC Participants acting on behalf of the Beneficial Owners.  References herein to the Owners of the Series 2019A Senior Bonds mean Cede &amp; Co. or such other nominee as may be designated by DTC, and not the Beneficial Owners.  For a more detailed description of the DTC book-entry system, see “APPENDIX G—DTC BOOK-ENTRY SYSTEM.”</w:t>
      </w:r>
    </w:p>
    <w:p w:rsidR="0018332E" w:rsidRDefault="0018332E" w:rsidP="0018332E">
      <w:pPr>
        <w:pStyle w:val="BodyText"/>
      </w:pPr>
      <w:r>
        <w:t>Principal and interest payments with respect to the Series 2019A Senior Bonds are payable by the Trustee, as paying agent for the Series 2019A Senior Bonds, to Cede &amp; Co., as the Owner of the Series 2019A Senior Bonds, for subsequent credit to the accounts of the Beneficial Owners as discussed in “APPENDIX G—DTC BOOK-ENTRY SYSTEM.”</w:t>
      </w:r>
    </w:p>
    <w:p w:rsidR="0018332E" w:rsidRPr="0018332E" w:rsidRDefault="0018332E" w:rsidP="0018332E">
      <w:pPr>
        <w:pStyle w:val="BodyText"/>
        <w:rPr>
          <w:i/>
        </w:rPr>
      </w:pPr>
      <w:r w:rsidRPr="0018332E">
        <w:rPr>
          <w:i/>
        </w:rPr>
        <w:t xml:space="preserve">None of the Trustee, </w:t>
      </w:r>
      <w:r>
        <w:rPr>
          <w:i/>
        </w:rPr>
        <w:t xml:space="preserve">the Bridge Enterprise </w:t>
      </w:r>
      <w:r w:rsidRPr="0018332E">
        <w:rPr>
          <w:i/>
        </w:rPr>
        <w:t xml:space="preserve">or the Underwriter has any responsibility or obligation to any Beneficial Owner with respect to (a) the accuracy of any records maintained by DTC or any DTC Participant, (b) the distribution by DTC or any DTC Participant of any notice that is permitted or required to be given to the Beneficial Owners of the Series </w:t>
      </w:r>
      <w:r>
        <w:rPr>
          <w:i/>
        </w:rPr>
        <w:t>2019A Senior Bond</w:t>
      </w:r>
      <w:r w:rsidRPr="0018332E">
        <w:rPr>
          <w:i/>
        </w:rPr>
        <w:t xml:space="preserve">s under the Indenture, (c) the payment by DTC or any DTC Participant of any amount received under the Indenture with respect to the Series </w:t>
      </w:r>
      <w:r>
        <w:rPr>
          <w:i/>
        </w:rPr>
        <w:t>2019A Senior Bond</w:t>
      </w:r>
      <w:r w:rsidRPr="0018332E">
        <w:rPr>
          <w:i/>
        </w:rPr>
        <w:t xml:space="preserve">s, (d) any consent given or other action taken by DTC or its nominee as the Owner of the Series </w:t>
      </w:r>
      <w:r>
        <w:rPr>
          <w:i/>
        </w:rPr>
        <w:t>2019A Senior Bond</w:t>
      </w:r>
      <w:r w:rsidRPr="0018332E">
        <w:rPr>
          <w:i/>
        </w:rPr>
        <w:t>s or (e) any other related matter.</w:t>
      </w:r>
    </w:p>
    <w:p w:rsidR="002E4A0D" w:rsidRDefault="003136BE" w:rsidP="00E03221">
      <w:pPr>
        <w:pStyle w:val="Kutak1L2"/>
        <w:jc w:val="left"/>
      </w:pPr>
      <w:bookmarkStart w:id="33" w:name="_Toc21694909"/>
      <w:r>
        <w:t xml:space="preserve">Optional </w:t>
      </w:r>
      <w:r w:rsidR="002E4A0D">
        <w:t xml:space="preserve">Redemption of </w:t>
      </w:r>
      <w:r w:rsidR="00D74A11">
        <w:t>Series </w:t>
      </w:r>
      <w:r w:rsidR="0092331F">
        <w:t>2019A</w:t>
      </w:r>
      <w:r w:rsidR="00EC1EC9">
        <w:t xml:space="preserve"> </w:t>
      </w:r>
      <w:r w:rsidR="002E4A0D">
        <w:t>Bonds Prior to Maturity</w:t>
      </w:r>
      <w:bookmarkEnd w:id="33"/>
    </w:p>
    <w:p w:rsidR="002E4A0D" w:rsidRDefault="002E4A0D" w:rsidP="0039495E">
      <w:pPr>
        <w:pStyle w:val="Kutak1L3"/>
      </w:pPr>
      <w:r w:rsidRPr="00E03221">
        <w:rPr>
          <w:b/>
          <w:i/>
        </w:rPr>
        <w:t>Optional Redemption</w:t>
      </w:r>
      <w:r w:rsidR="00E03221">
        <w:t xml:space="preserve">.  </w:t>
      </w:r>
      <w:r w:rsidR="0039495E" w:rsidRPr="0039495E">
        <w:t xml:space="preserve">The Series 2019A </w:t>
      </w:r>
      <w:r w:rsidR="0039495E">
        <w:t xml:space="preserve">Senior Bonds maturing on or after </w:t>
      </w:r>
      <w:r w:rsidR="0039495E" w:rsidRPr="0039495E">
        <w:t>December 1, 20__</w:t>
      </w:r>
      <w:r w:rsidR="0039495E">
        <w:t>_</w:t>
      </w:r>
      <w:r w:rsidR="0039495E" w:rsidRPr="0039495E">
        <w:t xml:space="preserve"> are subject to redemption at the option of the Bridge Enterprise, in whole or in part, in integral multiples of $5,000, and if in part in such order of maturity as the Bridge Enterprise determine</w:t>
      </w:r>
      <w:r w:rsidR="0039495E">
        <w:t>s</w:t>
      </w:r>
      <w:r w:rsidR="0039495E" w:rsidRPr="0039495E">
        <w:t xml:space="preserve"> and by lot within any maturity, on </w:t>
      </w:r>
      <w:r w:rsidR="0039495E">
        <w:t>____________ 1, 20___</w:t>
      </w:r>
      <w:r w:rsidR="0039495E" w:rsidRPr="0039495E">
        <w:t xml:space="preserve">, and on any date thereafter, at a redemption price equal to the principal amount of the Series 2019A </w:t>
      </w:r>
      <w:r w:rsidR="0039495E">
        <w:t xml:space="preserve">Senior </w:t>
      </w:r>
      <w:r w:rsidR="0039495E" w:rsidRPr="0039495E">
        <w:t>Bonds to be redeemed (with no premium), plus accrued interest to the redemption date</w:t>
      </w:r>
      <w:r>
        <w:t>.</w:t>
      </w:r>
    </w:p>
    <w:p w:rsidR="002E4A0D" w:rsidRDefault="002E4A0D" w:rsidP="002E4A0D">
      <w:pPr>
        <w:pStyle w:val="Kutak1L3"/>
      </w:pPr>
      <w:r w:rsidRPr="00766FD1">
        <w:rPr>
          <w:b/>
          <w:i/>
        </w:rPr>
        <w:t>Notice of Redemption</w:t>
      </w:r>
      <w:r w:rsidR="00766FD1">
        <w:t xml:space="preserve">.  </w:t>
      </w:r>
      <w:r>
        <w:t xml:space="preserve">The Trustee is to give notice of any redemption of </w:t>
      </w:r>
      <w:r w:rsidR="006C3474">
        <w:t>Series 2019A Senior Bond</w:t>
      </w:r>
      <w:r>
        <w:t xml:space="preserve">s by mailing a copy of such notice, identifying the </w:t>
      </w:r>
      <w:r w:rsidR="006C3474">
        <w:t>Series 2019A Senior Bond</w:t>
      </w:r>
      <w:r>
        <w:t xml:space="preserve">s or portions thereof to be redeemed and specifying the terms of the redemption, by United States certified or registered first-class mail to the Owner of each </w:t>
      </w:r>
      <w:r w:rsidR="006C3474">
        <w:t>Series 2019A Senior Bond</w:t>
      </w:r>
      <w:r>
        <w:t xml:space="preserve"> to be redeemed at least 30 days prior to the redemption date</w:t>
      </w:r>
      <w:r w:rsidR="009F27D6">
        <w:t xml:space="preserve">.  </w:t>
      </w:r>
      <w:r>
        <w:t xml:space="preserve">Notice will be mailed to the Owners of each such </w:t>
      </w:r>
      <w:r w:rsidR="006C3474">
        <w:t>Series 2019A Senior Bond</w:t>
      </w:r>
      <w:r>
        <w:t xml:space="preserve"> to be redeemed, at the addresses appearing upon the registration books of the Trustee</w:t>
      </w:r>
      <w:r w:rsidR="009F27D6">
        <w:t xml:space="preserve">.  </w:t>
      </w:r>
      <w:r>
        <w:t xml:space="preserve">Failure to give such notice by mailing, or any defect therein, shall not affect the validity of any proceedings for redemption of any </w:t>
      </w:r>
      <w:r w:rsidR="006C3474">
        <w:t>Series 2019A Senior Bond</w:t>
      </w:r>
      <w:r>
        <w:t>s as to which no such failure or defect has occurred</w:t>
      </w:r>
      <w:r w:rsidR="009F27D6">
        <w:t xml:space="preserve">.  </w:t>
      </w:r>
      <w:r>
        <w:t>Any notice mailed as provided in the Indenture shall be conclusively presumed to have been duly given, whether or not the Owner receives the notice.</w:t>
      </w:r>
    </w:p>
    <w:p w:rsidR="002E4A0D" w:rsidRDefault="002E4A0D" w:rsidP="002E4A0D">
      <w:pPr>
        <w:pStyle w:val="BodyText"/>
      </w:pPr>
      <w:r>
        <w:t xml:space="preserve">If at the time of mailing of notice of any optional redemption of </w:t>
      </w:r>
      <w:r w:rsidR="006C3474">
        <w:t>Series 2019A Senior Bond</w:t>
      </w:r>
      <w:r>
        <w:t xml:space="preserve">s, there has not been deposited with the Trustee moneys sufficient to redeem all the </w:t>
      </w:r>
      <w:r w:rsidR="006C3474">
        <w:t>Series 2019A Senior Bond</w:t>
      </w:r>
      <w:r>
        <w:t xml:space="preserve">s called for redemption, which moneys are or will be available for redemption of </w:t>
      </w:r>
      <w:r w:rsidR="006C3474">
        <w:t>Series 2019A Senior Bond</w:t>
      </w:r>
      <w:r>
        <w:t xml:space="preserve">s, such notice will state that it is conditional upon the deposit of the redemption moneys </w:t>
      </w:r>
      <w:r w:rsidR="00766FD1">
        <w:t xml:space="preserve">with the Trustee not later than </w:t>
      </w:r>
      <w:r>
        <w:t>the opening of business on the redemption date, and such notice shall be of no effect unless such moneys are so deposited.</w:t>
      </w:r>
    </w:p>
    <w:p w:rsidR="002E4A0D" w:rsidRDefault="002E4A0D" w:rsidP="00766FD1">
      <w:pPr>
        <w:pStyle w:val="Kutak1L2"/>
      </w:pPr>
      <w:bookmarkStart w:id="34" w:name="_Toc21694910"/>
      <w:r>
        <w:t>Transfer and Exchange</w:t>
      </w:r>
      <w:bookmarkEnd w:id="34"/>
    </w:p>
    <w:p w:rsidR="002E4A0D" w:rsidRDefault="002E4A0D" w:rsidP="002E4A0D">
      <w:pPr>
        <w:pStyle w:val="BodyText"/>
      </w:pPr>
      <w:r>
        <w:t xml:space="preserve">Upon surrender for transfer of any </w:t>
      </w:r>
      <w:r w:rsidR="006C3474">
        <w:t>Series 2019A Senior Bond</w:t>
      </w:r>
      <w:r>
        <w:t xml:space="preserve"> at the operations center of the Trustee, duly endorsed for transfer or accompanied by an assignment duly executed by the Owner or his attorney duly authorized in writing, the Trustee is to enter such transfer on the registration records and is to execute and deliver in the name of the transferee or transferees a new fully registered </w:t>
      </w:r>
      <w:r w:rsidR="006C3474">
        <w:t>Series 2019A Senior Bond</w:t>
      </w:r>
      <w:r>
        <w:t xml:space="preserve"> or Bonds of the same series and like aggregate principal amount, maturity, and interest rate, bearing a number or numbers not previously assigned</w:t>
      </w:r>
      <w:r w:rsidR="009F27D6">
        <w:t xml:space="preserve">.  </w:t>
      </w:r>
      <w:r>
        <w:t xml:space="preserve">For every exchange or transfer of </w:t>
      </w:r>
      <w:r w:rsidR="006C3474">
        <w:t>Series 2019A Senior Bond</w:t>
      </w:r>
      <w:r>
        <w:t>s, the Trustee may require the payment of any reasonable charges as well as any taxes, transfer fees, or other governmental charges required to be paid with respect to such exchange or transfer</w:t>
      </w:r>
      <w:r w:rsidR="009F27D6">
        <w:t xml:space="preserve">.  </w:t>
      </w:r>
      <w:r>
        <w:t>The Trustee will not be required to transfer or exchange (</w:t>
      </w:r>
      <w:r w:rsidR="00766FD1">
        <w:t>a</w:t>
      </w:r>
      <w:r>
        <w:t xml:space="preserve">) all or any portion of any </w:t>
      </w:r>
      <w:r w:rsidR="006C3474">
        <w:t>Series 2019A Senior Bond</w:t>
      </w:r>
      <w:r>
        <w:t xml:space="preserve"> during the period beginning at the opening of business 15 days before the day of the mailing by the Trustee of notice calling any </w:t>
      </w:r>
      <w:r w:rsidR="006C3474">
        <w:t>Series 2019A Senior Bond</w:t>
      </w:r>
      <w:r>
        <w:t>s for prior redemption and ending at the close of business on the day of such mailing, or (</w:t>
      </w:r>
      <w:r w:rsidR="00766FD1">
        <w:t>b</w:t>
      </w:r>
      <w:r>
        <w:t xml:space="preserve">) all or any portion of a </w:t>
      </w:r>
      <w:r w:rsidR="006C3474">
        <w:t>Series 2019A Senior Bond</w:t>
      </w:r>
      <w:r>
        <w:t xml:space="preserve"> after the mailing of notice calling such </w:t>
      </w:r>
      <w:r w:rsidR="006C3474">
        <w:t>Series 2019A Senior Bond</w:t>
      </w:r>
      <w:r>
        <w:t xml:space="preserve"> or any portion thereof for prior redemption.</w:t>
      </w:r>
    </w:p>
    <w:p w:rsidR="002E4A0D" w:rsidRDefault="002E4A0D" w:rsidP="002E4A0D">
      <w:pPr>
        <w:pStyle w:val="Kutak1L1"/>
      </w:pPr>
      <w:bookmarkStart w:id="35" w:name="_Toc21694911"/>
      <w:r>
        <w:t>SECURITY AND SOURCES OF PAYMENT</w:t>
      </w:r>
      <w:r w:rsidR="00F607D0">
        <w:t xml:space="preserve"> </w:t>
      </w:r>
      <w:r>
        <w:t xml:space="preserve">FOR THE </w:t>
      </w:r>
      <w:r w:rsidR="006C3474">
        <w:t>SERIES 2019A SENIOR BOND</w:t>
      </w:r>
      <w:r>
        <w:t>S</w:t>
      </w:r>
      <w:bookmarkEnd w:id="35"/>
    </w:p>
    <w:p w:rsidR="002E4A0D" w:rsidRDefault="002E4A0D" w:rsidP="00DE791A">
      <w:pPr>
        <w:pStyle w:val="Kutak1L2"/>
      </w:pPr>
      <w:bookmarkStart w:id="36" w:name="_Toc21694912"/>
      <w:r>
        <w:t>Authorization</w:t>
      </w:r>
      <w:bookmarkEnd w:id="36"/>
    </w:p>
    <w:p w:rsidR="002E4A0D" w:rsidRDefault="002E4A0D" w:rsidP="002E4A0D">
      <w:pPr>
        <w:pStyle w:val="BodyText"/>
      </w:pPr>
      <w:r>
        <w:t xml:space="preserve">The </w:t>
      </w:r>
      <w:r w:rsidR="006C3474">
        <w:t>Series 2019A Senior Bond</w:t>
      </w:r>
      <w:r>
        <w:t>s are special, limited obligations of the Bridge Enterprise and are being issued pursuant to FASTER, the Supplemental Securities Act</w:t>
      </w:r>
      <w:r w:rsidR="00C4527A">
        <w:t>, the Refunding Act</w:t>
      </w:r>
      <w:r>
        <w:t xml:space="preserve"> and the Indenture</w:t>
      </w:r>
      <w:r w:rsidR="009F27D6">
        <w:t xml:space="preserve">.  </w:t>
      </w:r>
      <w:r>
        <w:t xml:space="preserve">Under the terms and provisions of FASTER, the Bridge Enterprise is authorized to issue revenue bonds, payable solely from the </w:t>
      </w:r>
      <w:r w:rsidR="00072B2D">
        <w:t>Trust Estate</w:t>
      </w:r>
      <w:r>
        <w:t>, for the purpose of financing or refinancing the cost of repairing, reconstructing, replacing, operating and maintaining, or any combination thereof, Designated Bridges.</w:t>
      </w:r>
    </w:p>
    <w:p w:rsidR="002E4A0D" w:rsidRDefault="002E4A0D" w:rsidP="002E4A0D">
      <w:pPr>
        <w:pStyle w:val="BodyText"/>
      </w:pPr>
      <w:r>
        <w:t xml:space="preserve">The Bridge Enterprise may, subject to the limitations set forth in the Indenture, issue additional </w:t>
      </w:r>
      <w:r w:rsidR="00771BB5">
        <w:t>Senior B</w:t>
      </w:r>
      <w:r>
        <w:t xml:space="preserve">onds under the Master Indenture on a parity with the </w:t>
      </w:r>
      <w:r w:rsidR="006C3474">
        <w:t>Series 2019A Senior Bond</w:t>
      </w:r>
      <w:r>
        <w:t>s to assist in financing</w:t>
      </w:r>
      <w:r w:rsidR="00072B2D">
        <w:t xml:space="preserve"> or refinancing</w:t>
      </w:r>
      <w:r>
        <w:t xml:space="preserve"> additional Designated Bridge Projects</w:t>
      </w:r>
      <w:r w:rsidR="00771BB5">
        <w:t xml:space="preserve"> (as defined herein)</w:t>
      </w:r>
      <w:r w:rsidR="009F27D6">
        <w:t xml:space="preserve">.  </w:t>
      </w:r>
      <w:r>
        <w:t>See “</w:t>
      </w:r>
      <w:r w:rsidR="00DE791A">
        <w:t>—</w:t>
      </w:r>
      <w:r>
        <w:t>Issuance of Additional Bonds” under this caption.</w:t>
      </w:r>
    </w:p>
    <w:p w:rsidR="002E4A0D" w:rsidRDefault="002E4A0D" w:rsidP="00DE791A">
      <w:pPr>
        <w:pStyle w:val="Kutak1L2"/>
      </w:pPr>
      <w:bookmarkStart w:id="37" w:name="_Toc21694913"/>
      <w:r>
        <w:t>Trust Estate</w:t>
      </w:r>
      <w:bookmarkEnd w:id="37"/>
    </w:p>
    <w:p w:rsidR="002E4A0D" w:rsidRDefault="00072B2D" w:rsidP="002E4A0D">
      <w:pPr>
        <w:pStyle w:val="BodyText"/>
      </w:pPr>
      <w:r>
        <w:t xml:space="preserve">The Series 2019A Senior Bonds are special, limited obligations of the Bridge Enterprise payable solely from and secured by a pledge and lien on the Trust Estate </w:t>
      </w:r>
      <w:r w:rsidR="002E4A0D">
        <w:t>established under the Indenture</w:t>
      </w:r>
      <w:r>
        <w:t>.  T</w:t>
      </w:r>
      <w:r w:rsidR="002E4A0D">
        <w:t xml:space="preserve">he Trust Estate is held by the Trustee for the equal and proportionate benefit of the Owners of the </w:t>
      </w:r>
      <w:r w:rsidR="006C3474">
        <w:t xml:space="preserve">Series </w:t>
      </w:r>
      <w:r>
        <w:t xml:space="preserve">Bonds (including the Series </w:t>
      </w:r>
      <w:r w:rsidR="006C3474">
        <w:t>2019A Senior Bond</w:t>
      </w:r>
      <w:r w:rsidR="002E4A0D">
        <w:t>s</w:t>
      </w:r>
      <w:r>
        <w:t xml:space="preserve">) </w:t>
      </w:r>
      <w:r w:rsidR="002E4A0D">
        <w:t>and any of them without preference, priority, or distinction as to lien or otherwise, except as expressly set forth in the Indenture or any subsequent supplemental indenture</w:t>
      </w:r>
      <w:r w:rsidR="009F27D6">
        <w:t xml:space="preserve">.  </w:t>
      </w:r>
      <w:r w:rsidR="002E4A0D">
        <w:t>The</w:t>
      </w:r>
      <w:r w:rsidR="00EF0B08">
        <w:t xml:space="preserve"> Master</w:t>
      </w:r>
      <w:r w:rsidR="002E4A0D">
        <w:t xml:space="preserve"> Indenture defines the Trust Estate to include the following:</w:t>
      </w:r>
    </w:p>
    <w:p w:rsidR="002E4A0D" w:rsidRDefault="002E4A0D" w:rsidP="00DE791A">
      <w:pPr>
        <w:pStyle w:val="Kutak1L4"/>
      </w:pPr>
      <w:r>
        <w:t>the Revenues;</w:t>
      </w:r>
    </w:p>
    <w:p w:rsidR="009B564B" w:rsidRDefault="009B564B" w:rsidP="009B564B">
      <w:pPr>
        <w:pStyle w:val="Kutak1L4"/>
      </w:pPr>
      <w:r>
        <w:t>Federal Direct Payments;</w:t>
      </w:r>
    </w:p>
    <w:p w:rsidR="009B564B" w:rsidRDefault="009B564B" w:rsidP="009B564B">
      <w:pPr>
        <w:pStyle w:val="Kutak1L4"/>
      </w:pPr>
      <w:r>
        <w:t>the Bridge Special Fund and any Account thereof (including but not limited to the General Account, the Senior Bonds Capitalized Interest Account, the Senior Bonds Debt Service Account, the First Tier Subordinate Bonds Capitalized Interest Account, the First Tier Subordinate Bonds Debt Service Account, the Second Tier Subordinate Bonds Capitalized Interest Account, the Second Tier Subordinate Bonds Debt Service Account and the Bond Proceeds Account) and all moneys from time-to-time held by the State Treasurer or the Trustee in the Bridge Special Fund or any Account thereof, but not (i) the Rebate Account, (ii) any Defeasance Escrow Account or (iii) any Fund or Account created by a Supplemental Indenture that is expressly excluded from the Trust Estate;</w:t>
      </w:r>
    </w:p>
    <w:p w:rsidR="009B564B" w:rsidRDefault="009B564B" w:rsidP="009B564B">
      <w:pPr>
        <w:pStyle w:val="Kutak1L4"/>
      </w:pPr>
      <w:r>
        <w:t>amounts payable to the Bridge Enterprise or the Trustee pursuant to a Hedge Agreement or a Credit Facility; and</w:t>
      </w:r>
    </w:p>
    <w:p w:rsidR="009B564B" w:rsidRDefault="009B564B" w:rsidP="009B564B">
      <w:pPr>
        <w:pStyle w:val="Kutak1L4"/>
      </w:pPr>
      <w:r>
        <w:t xml:space="preserve">any and all other property, revenues, Funds or Accounts from time to time hereafter by delivery or by writing of any kind specially granted, assigned or pledged as and for additional security </w:t>
      </w:r>
      <w:r w:rsidR="00A64DC0">
        <w:t>under the Indenture</w:t>
      </w:r>
      <w:r>
        <w:t>, by the Bridge Enterprise or anyone else, in favor of the Trustee for the benefit of the Owners, which is hereby authorized to receive any and all such property at any and all times and to hold and apply the same subject to the terms hereof.</w:t>
      </w:r>
    </w:p>
    <w:p w:rsidR="009B564B" w:rsidRDefault="00B304CF" w:rsidP="009B564B">
      <w:pPr>
        <w:pStyle w:val="Kutak1L4"/>
        <w:numPr>
          <w:ilvl w:val="0"/>
          <w:numId w:val="0"/>
        </w:numPr>
        <w:ind w:left="1440"/>
      </w:pPr>
      <w:r>
        <w:t>provided, however, that</w:t>
      </w:r>
      <w:r w:rsidR="009B564B">
        <w:t>:</w:t>
      </w:r>
    </w:p>
    <w:p w:rsidR="009B564B" w:rsidRDefault="009B564B" w:rsidP="009B564B">
      <w:pPr>
        <w:pStyle w:val="Kutak1L4"/>
        <w:numPr>
          <w:ilvl w:val="0"/>
          <w:numId w:val="0"/>
        </w:numPr>
        <w:ind w:left="720" w:firstLine="720"/>
      </w:pPr>
      <w:r>
        <w:t>(i)</w:t>
      </w:r>
      <w:r>
        <w:tab/>
        <w:t xml:space="preserve">Federal Direct Payments will only be a part of and included in the Trust Estate for, and granted, assigned and pledged to, the Bonds of the same Tier designation as the Bonds to which such Federal Direct Payments relate (after the issuance of the Series 2019A Senior Bonds and the refunding and defeasance of the Refunded Bonds, only the Series 2010A Senior Bonds </w:t>
      </w:r>
      <w:r w:rsidR="00A052B7">
        <w:t xml:space="preserve">not otherwise refunded with proceeds of the Series 2019A Senior Bonds </w:t>
      </w:r>
      <w:r>
        <w:t>w</w:t>
      </w:r>
      <w:r w:rsidR="00A052B7">
        <w:t>ill be payable and secured by Federal Direct Payments)</w:t>
      </w:r>
      <w:r>
        <w:t>;</w:t>
      </w:r>
    </w:p>
    <w:p w:rsidR="009B564B" w:rsidRDefault="00A052B7" w:rsidP="00A052B7">
      <w:pPr>
        <w:pStyle w:val="Kutak1L4"/>
        <w:numPr>
          <w:ilvl w:val="0"/>
          <w:numId w:val="0"/>
        </w:numPr>
        <w:ind w:left="720" w:firstLine="720"/>
      </w:pPr>
      <w:r>
        <w:t>(ii)</w:t>
      </w:r>
      <w:r>
        <w:tab/>
      </w:r>
      <w:r w:rsidR="009B564B">
        <w:t xml:space="preserve">the Senior Bonds Capitalized Interest Account and the Senior Bonds Debt Service Account and any amounts on deposit therein </w:t>
      </w:r>
      <w:r>
        <w:t xml:space="preserve">will </w:t>
      </w:r>
      <w:r w:rsidR="009B564B">
        <w:t>only be part of and included in the Trust Estate for, and granted, assigned and pledged to, the Senior Bonds;</w:t>
      </w:r>
    </w:p>
    <w:p w:rsidR="009B564B" w:rsidRDefault="00A052B7" w:rsidP="00A052B7">
      <w:pPr>
        <w:pStyle w:val="Kutak1L4"/>
        <w:numPr>
          <w:ilvl w:val="0"/>
          <w:numId w:val="0"/>
        </w:numPr>
        <w:ind w:left="720" w:firstLine="720"/>
      </w:pPr>
      <w:r>
        <w:t>(iii)</w:t>
      </w:r>
      <w:r>
        <w:tab/>
      </w:r>
      <w:r w:rsidR="009B564B">
        <w:t xml:space="preserve">the First Tier Subordinate Bonds Capitalized Interest Account and the First Tier Subordinate Bonds Debt Service Account and any amounts on deposit therein </w:t>
      </w:r>
      <w:r>
        <w:t xml:space="preserve">will </w:t>
      </w:r>
      <w:r w:rsidR="009B564B">
        <w:t>only be part of and included in the Trust Estate for, and granted, assigned and pledged to, the First Tier Subordinate Bonds;</w:t>
      </w:r>
    </w:p>
    <w:p w:rsidR="009B564B" w:rsidRDefault="00A052B7" w:rsidP="00A052B7">
      <w:pPr>
        <w:pStyle w:val="Kutak1L4"/>
        <w:numPr>
          <w:ilvl w:val="0"/>
          <w:numId w:val="0"/>
        </w:numPr>
        <w:ind w:left="720" w:firstLine="720"/>
      </w:pPr>
      <w:r>
        <w:t>(iv)</w:t>
      </w:r>
      <w:r>
        <w:tab/>
      </w:r>
      <w:r w:rsidR="009B564B">
        <w:t xml:space="preserve">the Second Tier Subordinate Bonds Capitalized Interest Account and the Second Tier Subordinate Bonds Debt Service Account and any amounts on deposit therein </w:t>
      </w:r>
      <w:r>
        <w:t>wil</w:t>
      </w:r>
      <w:r w:rsidR="009B564B">
        <w:t>l only be part of and included in the Trust Estate for, and granted, assigned and pledged to, the Second Tier Subordinate Bonds; and</w:t>
      </w:r>
    </w:p>
    <w:p w:rsidR="009B564B" w:rsidRDefault="00A052B7" w:rsidP="00A052B7">
      <w:pPr>
        <w:pStyle w:val="Kutak1L4"/>
        <w:numPr>
          <w:ilvl w:val="0"/>
          <w:numId w:val="0"/>
        </w:numPr>
        <w:ind w:left="720" w:firstLine="720"/>
      </w:pPr>
      <w:r>
        <w:t>(v)</w:t>
      </w:r>
      <w:r>
        <w:tab/>
      </w:r>
      <w:r w:rsidR="009B564B">
        <w:t xml:space="preserve">any amounts payable to the Bridge Enterprise or the Trustee pursuant to a Hedge Agreement or Credit Facility </w:t>
      </w:r>
      <w:r>
        <w:t xml:space="preserve">will </w:t>
      </w:r>
      <w:r w:rsidR="009B564B">
        <w:t>only be a part of and included in the Trust Estate for, and granted, assigned and pledged to, the Bonds of the same Tier designation as the Bonds to which such amounts relate.</w:t>
      </w:r>
    </w:p>
    <w:p w:rsidR="002E4A0D" w:rsidRDefault="002E4A0D" w:rsidP="002E4A0D">
      <w:pPr>
        <w:pStyle w:val="BodyText"/>
      </w:pPr>
      <w:r>
        <w:t xml:space="preserve">The primary source of payment of </w:t>
      </w:r>
      <w:r w:rsidR="00A052B7">
        <w:t xml:space="preserve">the </w:t>
      </w:r>
      <w:r>
        <w:t xml:space="preserve">principal of and interest on the </w:t>
      </w:r>
      <w:r w:rsidR="006C3474">
        <w:t>Series 2019A Senior Bond</w:t>
      </w:r>
      <w:r>
        <w:t>s is the Revenues</w:t>
      </w:r>
      <w:r w:rsidR="009F27D6">
        <w:t xml:space="preserve">.  </w:t>
      </w:r>
      <w:r>
        <w:t>See “</w:t>
      </w:r>
      <w:r w:rsidR="00DE791A">
        <w:t>—</w:t>
      </w:r>
      <w:r>
        <w:t>Revenues</w:t>
      </w:r>
      <w:r w:rsidR="00947CF4">
        <w:t>,</w:t>
      </w:r>
      <w:r>
        <w:t>” “</w:t>
      </w:r>
      <w:r w:rsidR="00DE791A">
        <w:t>—</w:t>
      </w:r>
      <w:r>
        <w:t>Bridge Surcharges”</w:t>
      </w:r>
      <w:r w:rsidR="00947CF4">
        <w:t xml:space="preserve"> and “—Bridge Special Fund”</w:t>
      </w:r>
      <w:r>
        <w:t xml:space="preserve"> under this caption.</w:t>
      </w:r>
    </w:p>
    <w:p w:rsidR="002E4A0D" w:rsidRDefault="002E4A0D" w:rsidP="00DE791A">
      <w:pPr>
        <w:pStyle w:val="Kutak1L2"/>
      </w:pPr>
      <w:bookmarkStart w:id="38" w:name="_Toc21694914"/>
      <w:r>
        <w:t>Revenues</w:t>
      </w:r>
      <w:bookmarkEnd w:id="38"/>
    </w:p>
    <w:p w:rsidR="002E4A0D" w:rsidRDefault="002E4A0D" w:rsidP="002E4A0D">
      <w:pPr>
        <w:pStyle w:val="BodyText"/>
      </w:pPr>
      <w:r>
        <w:t xml:space="preserve">The primary source of payment of principal and interest on the </w:t>
      </w:r>
      <w:r w:rsidR="006C3474">
        <w:t>Series 2019A Senior Bond</w:t>
      </w:r>
      <w:r>
        <w:t xml:space="preserve">s </w:t>
      </w:r>
      <w:r w:rsidR="001B0023">
        <w:t xml:space="preserve">will be </w:t>
      </w:r>
      <w:r>
        <w:t>the Revenues</w:t>
      </w:r>
      <w:r w:rsidR="009F27D6">
        <w:t xml:space="preserve">.  </w:t>
      </w:r>
      <w:r>
        <w:t xml:space="preserve">All Revenues are required by the </w:t>
      </w:r>
      <w:r w:rsidR="00EF0B08">
        <w:t xml:space="preserve">Master </w:t>
      </w:r>
      <w:r>
        <w:t>Indenture to be deposited into the General Account</w:t>
      </w:r>
      <w:r w:rsidR="009F27D6">
        <w:t xml:space="preserve">.  </w:t>
      </w:r>
      <w:r>
        <w:t>Revenues are defined generally in the</w:t>
      </w:r>
      <w:r w:rsidR="006F2E37">
        <w:t xml:space="preserve"> Master</w:t>
      </w:r>
      <w:r>
        <w:t xml:space="preserve"> Indenture to consist of: </w:t>
      </w:r>
      <w:r w:rsidR="001B0023" w:rsidRPr="001B0023">
        <w:t>(</w:t>
      </w:r>
      <w:r w:rsidR="001B0023">
        <w:t>a) </w:t>
      </w:r>
      <w:r w:rsidR="001B0023" w:rsidRPr="001B147B">
        <w:t>the Bridge Surcharges</w:t>
      </w:r>
      <w:r w:rsidR="001B0023">
        <w:t xml:space="preserve">; </w:t>
      </w:r>
      <w:r w:rsidR="001B0023" w:rsidRPr="001B147B">
        <w:t>(b) all money deposited into the General Account by CDOT from (i) moneys paid to CDOT by the United States Department of Transportation or (ii) moneys paid to a political subdivision of the State by the United States Department of Transportation that are subsequently paid to CDOT by such political subdivision; (c) all money deposited into the General Account</w:t>
      </w:r>
      <w:r w:rsidR="001B0023">
        <w:t xml:space="preserve"> </w:t>
      </w:r>
      <w:r w:rsidR="001B0023" w:rsidRPr="001B147B">
        <w:t>by CDOT from any source other than a source described in clause (b)</w:t>
      </w:r>
      <w:r w:rsidR="001B0023">
        <w:t>;</w:t>
      </w:r>
      <w:r w:rsidR="001B0023" w:rsidRPr="001B147B">
        <w:t xml:space="preserve"> (d) all earnings from the investment of moneys held in </w:t>
      </w:r>
      <w:r w:rsidR="001B0023">
        <w:t>certain funds and accounts created within the Bridge Special Fund</w:t>
      </w:r>
      <w:r w:rsidR="001B0023" w:rsidRPr="001B147B">
        <w:t>; (e) the proceeds of any loan provided by CDOT to the Bridge Enterprise; (f) the proceeds from the sale or other disposition of any Designated Bridge; and (g)</w:t>
      </w:r>
      <w:r w:rsidR="001B0023">
        <w:t> </w:t>
      </w:r>
      <w:r w:rsidR="001B0023" w:rsidRPr="001B147B">
        <w:t xml:space="preserve">all amounts paid to the Bridge Enterprise from grants and other sources not included in clauses (a) through (f), excluding, however, any such amounts that the Bridge Enterprise determines are, pursuant to the arrangement under which such amounts are paid to the Bridge Enterprise, required to be used for a purpose that is inconsistent with the deposit of such amounts into the General Account.  Federal Direct Payments and amounts payable to the Bridge Enterprise or the Trustee pursuant to a Hedge Agreement or Credit Facility with respect to </w:t>
      </w:r>
      <w:r w:rsidR="001B0023">
        <w:t xml:space="preserve">Senior Bonds, First Tier Subordinate Bonds or Second Tier Subordinate </w:t>
      </w:r>
      <w:r w:rsidR="001B0023" w:rsidRPr="001B147B">
        <w:t>Bonds are not Revenues but are included in the Trust Estate.</w:t>
      </w:r>
    </w:p>
    <w:p w:rsidR="002E4A0D" w:rsidRDefault="002E4A0D" w:rsidP="002E4A0D">
      <w:pPr>
        <w:pStyle w:val="BodyText"/>
      </w:pPr>
      <w:r>
        <w:t>The Bridge Surcharges constitute a substantial majority of the Revenues deposited in the General Account of the Bridge Special Fund</w:t>
      </w:r>
      <w:r w:rsidR="009F27D6">
        <w:t xml:space="preserve">.  </w:t>
      </w:r>
      <w:r w:rsidR="001B0023">
        <w:t xml:space="preserve">See “—Bridge </w:t>
      </w:r>
      <w:r w:rsidR="00827F27">
        <w:t>S</w:t>
      </w:r>
      <w:r w:rsidR="001B0023">
        <w:t xml:space="preserve">urcharges” below.  </w:t>
      </w:r>
      <w:r w:rsidR="00E442B5">
        <w:t>R</w:t>
      </w:r>
      <w:r>
        <w:t>evenues and any other amounts deposited in the General Account are required to be applied as described in “</w:t>
      </w:r>
      <w:r w:rsidR="00E2489A">
        <w:t>—</w:t>
      </w:r>
      <w:r>
        <w:t>Flow of Funds” under this caption.</w:t>
      </w:r>
    </w:p>
    <w:p w:rsidR="002E4A0D" w:rsidRDefault="002E4A0D" w:rsidP="00354430">
      <w:pPr>
        <w:pStyle w:val="Kutak1L2"/>
      </w:pPr>
      <w:bookmarkStart w:id="39" w:name="_Toc21694915"/>
      <w:r>
        <w:t>Bridge Surcharges</w:t>
      </w:r>
      <w:bookmarkEnd w:id="39"/>
    </w:p>
    <w:p w:rsidR="001B0023" w:rsidRDefault="001B0023" w:rsidP="002E4A0D">
      <w:pPr>
        <w:pStyle w:val="BodyText"/>
      </w:pPr>
      <w:r>
        <w:t xml:space="preserve">The Bridge Surcharges </w:t>
      </w:r>
      <w:r w:rsidR="0066777A">
        <w:t>c</w:t>
      </w:r>
      <w:r w:rsidR="00EE4840">
        <w:t xml:space="preserve">onstitute a </w:t>
      </w:r>
      <w:r>
        <w:t>substantial part of the Revenues deposited to the General Account.  The Bridge Enterprise has covenanted in the</w:t>
      </w:r>
      <w:r w:rsidR="002711AC">
        <w:t xml:space="preserve"> Master</w:t>
      </w:r>
      <w:r>
        <w:t xml:space="preserve"> Indenture not to reduce any Bridge Surcharges below the maximum rates authorized by FASTER effective July 1, 2011, as long as any obligations payable from Revenues are outstanding, includ</w:t>
      </w:r>
      <w:r w:rsidR="00EE4840">
        <w:t>ing</w:t>
      </w:r>
      <w:r>
        <w:t xml:space="preserve"> the Series 2019A Senior Bonds.  The Bridge Surcharges accounted for </w:t>
      </w:r>
      <w:r w:rsidR="00BF0CC0">
        <w:t>81</w:t>
      </w:r>
      <w:r w:rsidR="00EE4840">
        <w:t xml:space="preserve">% and </w:t>
      </w:r>
      <w:r w:rsidR="00BF0CC0">
        <w:t>71</w:t>
      </w:r>
      <w:r>
        <w:t>% of all funds deposited to the General Account in Fiscal Year</w:t>
      </w:r>
      <w:r w:rsidR="00EE4840">
        <w:t>s</w:t>
      </w:r>
      <w:r>
        <w:t xml:space="preserve"> 2019</w:t>
      </w:r>
      <w:r w:rsidR="00EE4840">
        <w:t xml:space="preserve"> and 2018, respectively</w:t>
      </w:r>
      <w:r>
        <w:t>.</w:t>
      </w:r>
    </w:p>
    <w:p w:rsidR="00E442B5" w:rsidRDefault="00E442B5" w:rsidP="00E442B5">
      <w:pPr>
        <w:pStyle w:val="BodyText"/>
      </w:pPr>
      <w:r>
        <w:t xml:space="preserve">FASTER authorizes the </w:t>
      </w:r>
      <w:r w:rsidR="00787DAF">
        <w:t>Bridge Enterprise Board</w:t>
      </w:r>
      <w:r>
        <w:t>, as necessary for the achievement of its business purpose, to impose the Bridge Surcharges, effective on and after July 1, 2009, for any registration period commencing on or after July 1, 2009, upon the registration of any vehicle for which a registration fee must be paid pursuant to the provisions of Part 3 of Article 3 of Title 42, Colorado Revised Statutes as amended, subject to certain exceptions and limitations set forth by FASTER.  The Bridge Surcharges are required to be listed separately on each vehicle registration fee invoice.  FASTER provides that for any annual registration period the Bridge Surcharges may not exceed:</w:t>
      </w:r>
    </w:p>
    <w:p w:rsidR="00E442B5" w:rsidRDefault="00E442B5" w:rsidP="00787DAF">
      <w:pPr>
        <w:pStyle w:val="BodyText"/>
        <w:ind w:left="720"/>
      </w:pPr>
      <w:r>
        <w:t>(i)</w:t>
      </w:r>
      <w:r>
        <w:tab/>
        <w:t xml:space="preserve">$13.00 for any vehicle that is a motorcycle, </w:t>
      </w:r>
      <w:proofErr w:type="spellStart"/>
      <w:r>
        <w:t>motorscooter</w:t>
      </w:r>
      <w:proofErr w:type="spellEnd"/>
      <w:r>
        <w:t xml:space="preserve"> or </w:t>
      </w:r>
      <w:proofErr w:type="spellStart"/>
      <w:r>
        <w:t>motorbicycle</w:t>
      </w:r>
      <w:proofErr w:type="spellEnd"/>
      <w:r>
        <w:t>, as defined by Colorado law, or that weighs 2,000 pounds or less;</w:t>
      </w:r>
    </w:p>
    <w:p w:rsidR="00E442B5" w:rsidRDefault="00E442B5" w:rsidP="00787DAF">
      <w:pPr>
        <w:pStyle w:val="BodyText"/>
        <w:ind w:left="720"/>
      </w:pPr>
      <w:r>
        <w:t>(ii)</w:t>
      </w:r>
      <w:r>
        <w:tab/>
        <w:t>$18.00 for any vehicle that weighs more than 2,000 pounds but not more than 5,000 pounds;</w:t>
      </w:r>
    </w:p>
    <w:p w:rsidR="00E442B5" w:rsidRDefault="00E442B5" w:rsidP="00787DAF">
      <w:pPr>
        <w:pStyle w:val="BodyText"/>
        <w:ind w:left="720"/>
      </w:pPr>
      <w:r>
        <w:t>(iii)</w:t>
      </w:r>
      <w:r>
        <w:tab/>
        <w:t>$23.00 for any vehicle that weighs more than 5,000 pounds but not more than 10,000 pounds;</w:t>
      </w:r>
    </w:p>
    <w:p w:rsidR="00E442B5" w:rsidRDefault="00E442B5" w:rsidP="00787DAF">
      <w:pPr>
        <w:pStyle w:val="BodyText"/>
        <w:ind w:left="720"/>
      </w:pPr>
      <w:r>
        <w:t>(iv)</w:t>
      </w:r>
      <w:r>
        <w:tab/>
        <w:t>$29.00 for any vehicle that is a passenger bus or that weighs more than 10,000 pounds but not more than 16,000 pounds; and</w:t>
      </w:r>
    </w:p>
    <w:p w:rsidR="00E442B5" w:rsidRDefault="00E442B5" w:rsidP="00787DAF">
      <w:pPr>
        <w:pStyle w:val="BodyText"/>
        <w:ind w:left="720"/>
      </w:pPr>
      <w:r>
        <w:t>(v)</w:t>
      </w:r>
      <w:r>
        <w:tab/>
        <w:t>$32.00 for any vehicle that weighs more than 16,000 pounds.</w:t>
      </w:r>
    </w:p>
    <w:p w:rsidR="00E442B5" w:rsidRDefault="00E442B5" w:rsidP="00E442B5">
      <w:pPr>
        <w:pStyle w:val="BodyText"/>
      </w:pPr>
      <w:r>
        <w:t xml:space="preserve">The </w:t>
      </w:r>
      <w:r w:rsidR="00787DAF">
        <w:t>Bridge Enterprise B</w:t>
      </w:r>
      <w:r>
        <w:t xml:space="preserve">oard has imposed the maximum rates described above and such rates are in effect as of the date of this Official Statement.  </w:t>
      </w:r>
      <w:r w:rsidR="00787DAF">
        <w:t xml:space="preserve">The Bridge Enterprise </w:t>
      </w:r>
      <w:r>
        <w:t xml:space="preserve">has covenanted in the Indenture </w:t>
      </w:r>
      <w:r w:rsidR="00787DAF">
        <w:t>[</w:t>
      </w:r>
      <w:r>
        <w:t xml:space="preserve">and the </w:t>
      </w:r>
      <w:r w:rsidR="00787DAF">
        <w:t xml:space="preserve">Central 70 </w:t>
      </w:r>
      <w:r>
        <w:t>Project Agreement</w:t>
      </w:r>
      <w:r w:rsidR="00787DAF">
        <w:t>]</w:t>
      </w:r>
      <w:r>
        <w:t xml:space="preserve"> not to reduce any Bridge Surcharges below the maximum rates authorized by FASTER effective July 1, 2011, as long as any obligations payable from Revenues are outstanding, including </w:t>
      </w:r>
      <w:r w:rsidR="00787DAF">
        <w:t>the Series 2019A Senior Bonds</w:t>
      </w:r>
      <w:r>
        <w:t>.</w:t>
      </w:r>
    </w:p>
    <w:p w:rsidR="00E442B5" w:rsidRDefault="00E442B5" w:rsidP="00E442B5">
      <w:pPr>
        <w:pStyle w:val="BodyText"/>
      </w:pPr>
      <w:r>
        <w:t>FASTER establishes the following exceptions with respect to the imposition of the Bridge Surcharges:</w:t>
      </w:r>
    </w:p>
    <w:p w:rsidR="00E442B5" w:rsidRDefault="00E442B5" w:rsidP="00787DAF">
      <w:pPr>
        <w:pStyle w:val="BodyText"/>
        <w:ind w:left="720"/>
      </w:pPr>
      <w:r>
        <w:t>(1)</w:t>
      </w:r>
      <w:r>
        <w:tab/>
        <w:t>The Bridge Surcharges may not be imposed on any rental vehicle on which a daily vehicle rental fee is imposed pursuant to State law or on any vehicle for which the State Department of Revenue has issued a horseless carriage special license plate pursuant to State law;</w:t>
      </w:r>
    </w:p>
    <w:p w:rsidR="00E442B5" w:rsidRDefault="00E442B5" w:rsidP="00787DAF">
      <w:pPr>
        <w:pStyle w:val="BodyText"/>
        <w:ind w:left="720"/>
      </w:pPr>
      <w:r>
        <w:t>(2)</w:t>
      </w:r>
      <w:r>
        <w:tab/>
        <w:t>The amount of the Bridge Surcharges on interstate commercial carriers are computed based on the vehicle weight and the percentage of the total apportioned registration apportioned to the State; and</w:t>
      </w:r>
    </w:p>
    <w:p w:rsidR="00E442B5" w:rsidRDefault="00E442B5" w:rsidP="00787DAF">
      <w:pPr>
        <w:pStyle w:val="BodyText"/>
        <w:ind w:left="720"/>
      </w:pPr>
      <w:r>
        <w:t>(3)</w:t>
      </w:r>
      <w:r>
        <w:tab/>
        <w:t>The amount of the Bridge Surcharges otherwise imposed are reduced by one—half in the case of trucks or truck trailers owned by a farmer or rancher and used commercially only to transport agricultural products or livestock in certain specified circumstances.</w:t>
      </w:r>
    </w:p>
    <w:p w:rsidR="00E442B5" w:rsidRDefault="00E442B5" w:rsidP="00E442B5">
      <w:pPr>
        <w:pStyle w:val="BodyText"/>
      </w:pPr>
      <w:r>
        <w:t xml:space="preserve">FASTER provides that the officer of a county or city and county designated by law to issue annual registrations of vehicles and to collect registration fees is required to remit to the State Department of Revenue no less frequently than once a month all Bridge Surcharges collected by such officer. </w:t>
      </w:r>
      <w:r w:rsidR="00C72AB0">
        <w:t xml:space="preserve"> </w:t>
      </w:r>
      <w:r>
        <w:t xml:space="preserve">The executive director of the State Department of Revenue is required to forward to the State Treasurer, for credit to the Bridge Special Fund, all amounts remitted to the Department and any Bridge Surcharges collected directly by the Department. </w:t>
      </w:r>
      <w:r w:rsidR="00C72AB0">
        <w:t xml:space="preserve"> </w:t>
      </w:r>
      <w:r>
        <w:t>The collection of the Bridge Surcharges at the county and city and county level and the remittance of amounts to the State Department of Revenue will be accomplished in the same manner as that applicable to all other vehicle registration fees.  See “LEGAL MATTERS—Prior Legal Challenge to Bridge Surcharge.”</w:t>
      </w:r>
    </w:p>
    <w:p w:rsidR="00DA08D9" w:rsidRDefault="00DA08D9">
      <w:pPr>
        <w:spacing w:after="200" w:line="276" w:lineRule="auto"/>
        <w:jc w:val="left"/>
      </w:pPr>
      <w:r>
        <w:br w:type="page"/>
      </w:r>
    </w:p>
    <w:p w:rsidR="001B6B01" w:rsidRDefault="001B6B01" w:rsidP="002E4A0D">
      <w:pPr>
        <w:pStyle w:val="BodyText"/>
      </w:pPr>
      <w:r>
        <w:t>The following table sets forth the annual Bridge Surcharge collections for Fiscal Years 20</w:t>
      </w:r>
      <w:r w:rsidR="00CD14D8">
        <w:t>10</w:t>
      </w:r>
      <w:r>
        <w:t xml:space="preserve"> through 2019.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430"/>
      </w:tblGrid>
      <w:tr w:rsidR="00CD14D8" w:rsidTr="00E53157">
        <w:trPr>
          <w:jc w:val="center"/>
        </w:trPr>
        <w:tc>
          <w:tcPr>
            <w:tcW w:w="4320" w:type="dxa"/>
            <w:gridSpan w:val="2"/>
          </w:tcPr>
          <w:p w:rsidR="00CD14D8" w:rsidRDefault="00CD14D8" w:rsidP="00CD14D8">
            <w:pPr>
              <w:pStyle w:val="BodyText"/>
              <w:keepNext/>
              <w:keepLines/>
              <w:widowControl w:val="0"/>
              <w:spacing w:after="0"/>
              <w:ind w:firstLine="0"/>
              <w:jc w:val="center"/>
              <w:rPr>
                <w:b/>
              </w:rPr>
            </w:pPr>
            <w:r>
              <w:rPr>
                <w:b/>
              </w:rPr>
              <w:t>Colorado Bridge Enterprise</w:t>
            </w:r>
            <w:r>
              <w:rPr>
                <w:b/>
              </w:rPr>
              <w:br/>
            </w:r>
            <w:r w:rsidRPr="00FC6914">
              <w:rPr>
                <w:b/>
              </w:rPr>
              <w:t xml:space="preserve">Bridge Surcharge </w:t>
            </w:r>
            <w:r>
              <w:rPr>
                <w:b/>
              </w:rPr>
              <w:t xml:space="preserve">Annual </w:t>
            </w:r>
            <w:r w:rsidRPr="00FC6914">
              <w:rPr>
                <w:b/>
              </w:rPr>
              <w:t>Collections</w:t>
            </w:r>
            <w:r>
              <w:rPr>
                <w:b/>
              </w:rPr>
              <w:br/>
              <w:t>Fiscal Years 2010-2019</w:t>
            </w:r>
          </w:p>
          <w:p w:rsidR="00CD14D8" w:rsidRPr="00CD14D8" w:rsidRDefault="00CD14D8" w:rsidP="00CD14D8">
            <w:pPr>
              <w:pStyle w:val="BodyText"/>
              <w:keepNext/>
              <w:keepLines/>
              <w:widowControl w:val="0"/>
              <w:spacing w:after="0"/>
              <w:ind w:firstLine="0"/>
              <w:jc w:val="center"/>
              <w:rPr>
                <w:b/>
              </w:rPr>
            </w:pPr>
          </w:p>
        </w:tc>
      </w:tr>
      <w:tr w:rsidR="00CD14D8" w:rsidTr="00CD14D8">
        <w:trPr>
          <w:jc w:val="center"/>
        </w:trPr>
        <w:tc>
          <w:tcPr>
            <w:tcW w:w="1890" w:type="dxa"/>
          </w:tcPr>
          <w:p w:rsidR="00CD14D8" w:rsidRPr="00CD14D8" w:rsidRDefault="00D72B88" w:rsidP="00CD14D8">
            <w:pPr>
              <w:pStyle w:val="BodyText"/>
              <w:keepNext/>
              <w:keepLines/>
              <w:widowControl w:val="0"/>
              <w:pBdr>
                <w:bottom w:val="single" w:sz="4" w:space="1" w:color="auto"/>
              </w:pBdr>
              <w:spacing w:after="120"/>
              <w:ind w:firstLine="0"/>
              <w:jc w:val="center"/>
              <w:rPr>
                <w:b/>
              </w:rPr>
            </w:pPr>
            <w:r>
              <w:rPr>
                <w:b/>
              </w:rPr>
              <w:br/>
            </w:r>
            <w:r w:rsidR="00CD14D8">
              <w:rPr>
                <w:b/>
              </w:rPr>
              <w:t>Fiscal Year</w:t>
            </w:r>
          </w:p>
        </w:tc>
        <w:tc>
          <w:tcPr>
            <w:tcW w:w="2430" w:type="dxa"/>
          </w:tcPr>
          <w:p w:rsidR="00CD14D8" w:rsidRPr="00CD14D8" w:rsidRDefault="00D72B88" w:rsidP="00CD14D8">
            <w:pPr>
              <w:pStyle w:val="BodyText"/>
              <w:keepNext/>
              <w:keepLines/>
              <w:widowControl w:val="0"/>
              <w:pBdr>
                <w:bottom w:val="single" w:sz="4" w:space="1" w:color="auto"/>
              </w:pBdr>
              <w:spacing w:after="120"/>
              <w:ind w:firstLine="0"/>
              <w:jc w:val="center"/>
              <w:rPr>
                <w:b/>
              </w:rPr>
            </w:pPr>
            <w:r>
              <w:rPr>
                <w:b/>
              </w:rPr>
              <w:t>Bridge Surcharge</w:t>
            </w:r>
            <w:r>
              <w:rPr>
                <w:b/>
              </w:rPr>
              <w:br/>
              <w:t>Collections</w:t>
            </w:r>
          </w:p>
        </w:tc>
      </w:tr>
      <w:tr w:rsidR="00D72B88" w:rsidTr="00CD14D8">
        <w:trPr>
          <w:jc w:val="center"/>
        </w:trPr>
        <w:tc>
          <w:tcPr>
            <w:tcW w:w="1890" w:type="dxa"/>
          </w:tcPr>
          <w:p w:rsidR="00D72B88" w:rsidRDefault="00D72B88" w:rsidP="00D72B88">
            <w:pPr>
              <w:pStyle w:val="BodyText"/>
              <w:keepNext/>
              <w:keepLines/>
              <w:widowControl w:val="0"/>
              <w:spacing w:after="0"/>
              <w:ind w:firstLine="0"/>
              <w:jc w:val="center"/>
            </w:pPr>
            <w:r>
              <w:t>2010</w:t>
            </w:r>
          </w:p>
        </w:tc>
        <w:tc>
          <w:tcPr>
            <w:tcW w:w="2430" w:type="dxa"/>
          </w:tcPr>
          <w:p w:rsidR="00D72B88" w:rsidRDefault="00D72B88" w:rsidP="00D72B88">
            <w:pPr>
              <w:pStyle w:val="BodyText"/>
              <w:keepNext/>
              <w:keepLines/>
              <w:widowControl w:val="0"/>
              <w:tabs>
                <w:tab w:val="decimal" w:pos="1677"/>
              </w:tabs>
              <w:spacing w:after="0"/>
              <w:ind w:firstLine="0"/>
            </w:pPr>
            <w:r>
              <w:t>$   43,180,388</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2011</w:t>
            </w:r>
          </w:p>
        </w:tc>
        <w:tc>
          <w:tcPr>
            <w:tcW w:w="2430" w:type="dxa"/>
          </w:tcPr>
          <w:p w:rsidR="00D72B88" w:rsidRDefault="00D72B88" w:rsidP="00D72B88">
            <w:pPr>
              <w:pStyle w:val="BodyText"/>
              <w:keepNext/>
              <w:keepLines/>
              <w:widowControl w:val="0"/>
              <w:tabs>
                <w:tab w:val="decimal" w:pos="1677"/>
              </w:tabs>
              <w:spacing w:after="0"/>
              <w:ind w:firstLine="0"/>
            </w:pPr>
            <w:r>
              <w:t>68,754,922</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2012</w:t>
            </w:r>
          </w:p>
        </w:tc>
        <w:tc>
          <w:tcPr>
            <w:tcW w:w="2430" w:type="dxa"/>
          </w:tcPr>
          <w:p w:rsidR="00D72B88" w:rsidRDefault="00D72B88" w:rsidP="00D72B88">
            <w:pPr>
              <w:pStyle w:val="BodyText"/>
              <w:keepNext/>
              <w:keepLines/>
              <w:widowControl w:val="0"/>
              <w:tabs>
                <w:tab w:val="decimal" w:pos="1677"/>
              </w:tabs>
              <w:spacing w:after="0"/>
              <w:ind w:firstLine="0"/>
            </w:pPr>
            <w:r>
              <w:t>90,394,791</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2013</w:t>
            </w:r>
          </w:p>
        </w:tc>
        <w:tc>
          <w:tcPr>
            <w:tcW w:w="2430" w:type="dxa"/>
          </w:tcPr>
          <w:p w:rsidR="00D72B88" w:rsidRDefault="00D72B88" w:rsidP="00D72B88">
            <w:pPr>
              <w:pStyle w:val="BodyText"/>
              <w:keepNext/>
              <w:keepLines/>
              <w:widowControl w:val="0"/>
              <w:tabs>
                <w:tab w:val="decimal" w:pos="1677"/>
              </w:tabs>
              <w:spacing w:after="0"/>
              <w:ind w:firstLine="0"/>
            </w:pPr>
            <w:r>
              <w:t>92,730,158</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2014</w:t>
            </w:r>
          </w:p>
        </w:tc>
        <w:tc>
          <w:tcPr>
            <w:tcW w:w="2430" w:type="dxa"/>
          </w:tcPr>
          <w:p w:rsidR="00D72B88" w:rsidRDefault="00D72B88" w:rsidP="00D72B88">
            <w:pPr>
              <w:pStyle w:val="BodyText"/>
              <w:keepNext/>
              <w:keepLines/>
              <w:widowControl w:val="0"/>
              <w:tabs>
                <w:tab w:val="decimal" w:pos="1677"/>
              </w:tabs>
              <w:spacing w:after="0"/>
              <w:ind w:firstLine="0"/>
            </w:pPr>
            <w:r>
              <w:t>95,550,947</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2015</w:t>
            </w:r>
          </w:p>
        </w:tc>
        <w:tc>
          <w:tcPr>
            <w:tcW w:w="2430" w:type="dxa"/>
          </w:tcPr>
          <w:p w:rsidR="00D72B88" w:rsidRDefault="00D72B88" w:rsidP="00D72B88">
            <w:pPr>
              <w:pStyle w:val="BodyText"/>
              <w:keepNext/>
              <w:keepLines/>
              <w:widowControl w:val="0"/>
              <w:tabs>
                <w:tab w:val="decimal" w:pos="1677"/>
              </w:tabs>
              <w:spacing w:after="0"/>
              <w:ind w:firstLine="0"/>
            </w:pPr>
            <w:r>
              <w:t>98,026,565</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2016</w:t>
            </w:r>
          </w:p>
        </w:tc>
        <w:tc>
          <w:tcPr>
            <w:tcW w:w="2430" w:type="dxa"/>
          </w:tcPr>
          <w:p w:rsidR="00D72B88" w:rsidRDefault="00D72B88" w:rsidP="00D72B88">
            <w:pPr>
              <w:pStyle w:val="BodyText"/>
              <w:keepNext/>
              <w:keepLines/>
              <w:widowControl w:val="0"/>
              <w:tabs>
                <w:tab w:val="decimal" w:pos="1677"/>
              </w:tabs>
              <w:spacing w:after="0"/>
              <w:ind w:firstLine="0"/>
            </w:pPr>
            <w:r>
              <w:t>100,891,411</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2017</w:t>
            </w:r>
          </w:p>
        </w:tc>
        <w:tc>
          <w:tcPr>
            <w:tcW w:w="2430" w:type="dxa"/>
          </w:tcPr>
          <w:p w:rsidR="00D72B88" w:rsidRDefault="00D72B88" w:rsidP="00D72B88">
            <w:pPr>
              <w:pStyle w:val="BodyText"/>
              <w:keepNext/>
              <w:keepLines/>
              <w:widowControl w:val="0"/>
              <w:tabs>
                <w:tab w:val="decimal" w:pos="1677"/>
              </w:tabs>
              <w:spacing w:after="0"/>
              <w:ind w:firstLine="0"/>
            </w:pPr>
            <w:r>
              <w:t>103,985,121</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2018</w:t>
            </w:r>
          </w:p>
        </w:tc>
        <w:tc>
          <w:tcPr>
            <w:tcW w:w="2430" w:type="dxa"/>
          </w:tcPr>
          <w:p w:rsidR="00D72B88" w:rsidRDefault="00726B00" w:rsidP="00D72B88">
            <w:pPr>
              <w:pStyle w:val="BodyText"/>
              <w:keepNext/>
              <w:keepLines/>
              <w:widowControl w:val="0"/>
              <w:tabs>
                <w:tab w:val="decimal" w:pos="1677"/>
              </w:tabs>
              <w:spacing w:after="0"/>
              <w:ind w:firstLine="0"/>
            </w:pPr>
            <w:r>
              <w:t>106,023,648</w:t>
            </w:r>
          </w:p>
        </w:tc>
      </w:tr>
      <w:tr w:rsidR="00D72B88" w:rsidTr="00CD14D8">
        <w:trPr>
          <w:jc w:val="center"/>
        </w:trPr>
        <w:tc>
          <w:tcPr>
            <w:tcW w:w="1890" w:type="dxa"/>
          </w:tcPr>
          <w:p w:rsidR="00D72B88" w:rsidRDefault="00D72B88" w:rsidP="00D72B88">
            <w:pPr>
              <w:pStyle w:val="BodyText"/>
              <w:keepNext/>
              <w:keepLines/>
              <w:widowControl w:val="0"/>
              <w:tabs>
                <w:tab w:val="decimal" w:pos="1064"/>
              </w:tabs>
              <w:spacing w:after="0"/>
              <w:ind w:firstLine="0"/>
            </w:pPr>
            <w:r>
              <w:t xml:space="preserve">2019 </w:t>
            </w:r>
            <w:r w:rsidRPr="00D72B88">
              <w:rPr>
                <w:vertAlign w:val="superscript"/>
              </w:rPr>
              <w:t>1</w:t>
            </w:r>
          </w:p>
        </w:tc>
        <w:tc>
          <w:tcPr>
            <w:tcW w:w="2430" w:type="dxa"/>
          </w:tcPr>
          <w:p w:rsidR="00D72B88" w:rsidRDefault="00726B00" w:rsidP="00D72B88">
            <w:pPr>
              <w:pStyle w:val="BodyText"/>
              <w:keepNext/>
              <w:keepLines/>
              <w:widowControl w:val="0"/>
              <w:tabs>
                <w:tab w:val="decimal" w:pos="1677"/>
              </w:tabs>
              <w:spacing w:after="0"/>
              <w:ind w:firstLine="0"/>
            </w:pPr>
            <w:r>
              <w:t>105,700,925</w:t>
            </w:r>
          </w:p>
        </w:tc>
      </w:tr>
      <w:tr w:rsidR="00CD14D8" w:rsidTr="00E53157">
        <w:trPr>
          <w:jc w:val="center"/>
        </w:trPr>
        <w:tc>
          <w:tcPr>
            <w:tcW w:w="4320" w:type="dxa"/>
            <w:gridSpan w:val="2"/>
          </w:tcPr>
          <w:p w:rsidR="00726B00" w:rsidRPr="007E1325" w:rsidRDefault="00726B00" w:rsidP="00726B00">
            <w:pPr>
              <w:pStyle w:val="BodyText"/>
              <w:keepNext/>
              <w:keepLines/>
              <w:widowControl w:val="0"/>
              <w:spacing w:after="0"/>
              <w:ind w:firstLine="0"/>
              <w:rPr>
                <w:sz w:val="20"/>
              </w:rPr>
            </w:pPr>
            <w:r w:rsidRPr="007E1325">
              <w:rPr>
                <w:sz w:val="20"/>
                <w:u w:val="single"/>
              </w:rPr>
              <w:tab/>
            </w:r>
            <w:r w:rsidRPr="007E1325">
              <w:rPr>
                <w:sz w:val="20"/>
                <w:u w:val="single"/>
              </w:rPr>
              <w:tab/>
            </w:r>
            <w:r w:rsidRPr="007E1325">
              <w:rPr>
                <w:sz w:val="20"/>
                <w:u w:val="single"/>
              </w:rPr>
              <w:tab/>
            </w:r>
          </w:p>
          <w:p w:rsidR="00726B00" w:rsidRDefault="00726B00" w:rsidP="00726B00">
            <w:pPr>
              <w:pStyle w:val="BodyText"/>
              <w:keepNext/>
              <w:keepLines/>
              <w:widowControl w:val="0"/>
              <w:spacing w:after="0"/>
              <w:ind w:firstLine="0"/>
              <w:rPr>
                <w:sz w:val="20"/>
              </w:rPr>
            </w:pPr>
            <w:r w:rsidRPr="00726B00">
              <w:rPr>
                <w:sz w:val="20"/>
                <w:vertAlign w:val="superscript"/>
              </w:rPr>
              <w:t>1</w:t>
            </w:r>
            <w:r>
              <w:rPr>
                <w:sz w:val="20"/>
              </w:rPr>
              <w:t xml:space="preserve"> Unaudited; numbers subject to change.</w:t>
            </w:r>
          </w:p>
          <w:p w:rsidR="00CD14D8" w:rsidRDefault="00726B00" w:rsidP="00726B00">
            <w:pPr>
              <w:pStyle w:val="BodyText"/>
              <w:keepNext/>
              <w:keepLines/>
              <w:widowControl w:val="0"/>
              <w:spacing w:after="0"/>
              <w:ind w:firstLine="0"/>
            </w:pPr>
            <w:r w:rsidRPr="007E1325">
              <w:rPr>
                <w:sz w:val="20"/>
              </w:rPr>
              <w:t>Source: Bridge Enterprise</w:t>
            </w:r>
          </w:p>
        </w:tc>
      </w:tr>
    </w:tbl>
    <w:p w:rsidR="00CD14D8" w:rsidRDefault="00CD14D8" w:rsidP="005F7BE7">
      <w:pPr>
        <w:pStyle w:val="BodyText"/>
        <w:spacing w:after="0"/>
      </w:pPr>
    </w:p>
    <w:p w:rsidR="002E4A0D" w:rsidRDefault="001B6B01" w:rsidP="00DA08D9">
      <w:pPr>
        <w:pStyle w:val="BodyText"/>
        <w:spacing w:after="0"/>
      </w:pPr>
      <w:r>
        <w:t>The following table sets forth the monthly Bridge Surcharge collections for Fiscal Years 2015 through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FC6914" w:rsidTr="00B62454">
        <w:tc>
          <w:tcPr>
            <w:tcW w:w="9350" w:type="dxa"/>
            <w:gridSpan w:val="6"/>
          </w:tcPr>
          <w:p w:rsidR="00FC6914" w:rsidRPr="00FC6914" w:rsidRDefault="004C28FB" w:rsidP="00885210">
            <w:pPr>
              <w:pStyle w:val="BodyText"/>
              <w:keepNext/>
              <w:keepLines/>
              <w:widowControl w:val="0"/>
              <w:spacing w:after="0"/>
              <w:ind w:firstLine="0"/>
              <w:jc w:val="center"/>
              <w:rPr>
                <w:b/>
              </w:rPr>
            </w:pPr>
            <w:r>
              <w:rPr>
                <w:b/>
              </w:rPr>
              <w:t>Colorado Bridge Enterprise</w:t>
            </w:r>
            <w:r>
              <w:rPr>
                <w:b/>
              </w:rPr>
              <w:br/>
            </w:r>
            <w:r w:rsidR="00FC6914" w:rsidRPr="00FC6914">
              <w:rPr>
                <w:b/>
              </w:rPr>
              <w:t xml:space="preserve">Bridge Surcharge </w:t>
            </w:r>
            <w:r w:rsidR="00CD14D8">
              <w:rPr>
                <w:b/>
              </w:rPr>
              <w:t xml:space="preserve">Monthly </w:t>
            </w:r>
            <w:r w:rsidR="00FC6914" w:rsidRPr="00FC6914">
              <w:rPr>
                <w:b/>
              </w:rPr>
              <w:t>Collections</w:t>
            </w:r>
            <w:r w:rsidR="00FC6914">
              <w:rPr>
                <w:b/>
              </w:rPr>
              <w:br/>
            </w:r>
            <w:r w:rsidR="00C72AB0">
              <w:rPr>
                <w:b/>
              </w:rPr>
              <w:t xml:space="preserve">Fiscal </w:t>
            </w:r>
            <w:r w:rsidR="00CD14D8">
              <w:rPr>
                <w:b/>
              </w:rPr>
              <w:t>Y</w:t>
            </w:r>
            <w:r w:rsidR="00C72AB0">
              <w:rPr>
                <w:b/>
              </w:rPr>
              <w:t>ear</w:t>
            </w:r>
            <w:r w:rsidR="00CD14D8">
              <w:rPr>
                <w:b/>
              </w:rPr>
              <w:t>s</w:t>
            </w:r>
            <w:r w:rsidR="00C72AB0">
              <w:rPr>
                <w:b/>
              </w:rPr>
              <w:t xml:space="preserve"> 2015-2019</w:t>
            </w:r>
            <w:r w:rsidR="00DA08D9">
              <w:rPr>
                <w:b/>
              </w:rPr>
              <w:br/>
            </w:r>
          </w:p>
        </w:tc>
      </w:tr>
      <w:tr w:rsidR="00FC6914" w:rsidTr="00FC6914">
        <w:tc>
          <w:tcPr>
            <w:tcW w:w="1558" w:type="dxa"/>
          </w:tcPr>
          <w:p w:rsidR="00FC6914" w:rsidRPr="00FC6914" w:rsidRDefault="00FC6914" w:rsidP="00885210">
            <w:pPr>
              <w:pStyle w:val="BodyText"/>
              <w:keepNext/>
              <w:keepLines/>
              <w:widowControl w:val="0"/>
              <w:pBdr>
                <w:bottom w:val="single" w:sz="4" w:space="1" w:color="auto"/>
              </w:pBdr>
              <w:spacing w:after="120"/>
              <w:ind w:firstLine="0"/>
              <w:jc w:val="center"/>
              <w:rPr>
                <w:b/>
              </w:rPr>
            </w:pPr>
            <w:r>
              <w:rPr>
                <w:b/>
              </w:rPr>
              <w:br/>
            </w:r>
            <w:r w:rsidRPr="00FC6914">
              <w:rPr>
                <w:b/>
              </w:rPr>
              <w:t>Month</w:t>
            </w:r>
          </w:p>
        </w:tc>
        <w:tc>
          <w:tcPr>
            <w:tcW w:w="1558" w:type="dxa"/>
          </w:tcPr>
          <w:p w:rsidR="00FC6914" w:rsidRPr="00FC6914" w:rsidRDefault="00FC6914" w:rsidP="00885210">
            <w:pPr>
              <w:pStyle w:val="BodyText"/>
              <w:keepNext/>
              <w:keepLines/>
              <w:widowControl w:val="0"/>
              <w:pBdr>
                <w:bottom w:val="single" w:sz="4" w:space="1" w:color="auto"/>
              </w:pBdr>
              <w:spacing w:after="120"/>
              <w:ind w:firstLine="0"/>
              <w:jc w:val="center"/>
              <w:rPr>
                <w:b/>
              </w:rPr>
            </w:pPr>
            <w:r w:rsidRPr="00FC6914">
              <w:rPr>
                <w:b/>
              </w:rPr>
              <w:t>Fiscal Y</w:t>
            </w:r>
            <w:r>
              <w:rPr>
                <w:b/>
              </w:rPr>
              <w:t>ear 2015</w:t>
            </w:r>
          </w:p>
        </w:tc>
        <w:tc>
          <w:tcPr>
            <w:tcW w:w="1558" w:type="dxa"/>
          </w:tcPr>
          <w:p w:rsidR="00FC6914" w:rsidRPr="00FC6914" w:rsidRDefault="00FC6914" w:rsidP="00885210">
            <w:pPr>
              <w:pStyle w:val="BodyText"/>
              <w:keepNext/>
              <w:keepLines/>
              <w:widowControl w:val="0"/>
              <w:pBdr>
                <w:bottom w:val="single" w:sz="4" w:space="1" w:color="auto"/>
              </w:pBdr>
              <w:spacing w:after="120"/>
              <w:ind w:firstLine="0"/>
              <w:jc w:val="center"/>
              <w:rPr>
                <w:b/>
              </w:rPr>
            </w:pPr>
            <w:r w:rsidRPr="00FC6914">
              <w:rPr>
                <w:b/>
              </w:rPr>
              <w:t>Fiscal Y</w:t>
            </w:r>
            <w:r>
              <w:rPr>
                <w:b/>
              </w:rPr>
              <w:t>ear 2016</w:t>
            </w:r>
          </w:p>
        </w:tc>
        <w:tc>
          <w:tcPr>
            <w:tcW w:w="1558" w:type="dxa"/>
          </w:tcPr>
          <w:p w:rsidR="00FC6914" w:rsidRPr="00FC6914" w:rsidRDefault="00FC6914" w:rsidP="00885210">
            <w:pPr>
              <w:pStyle w:val="BodyText"/>
              <w:keepNext/>
              <w:keepLines/>
              <w:widowControl w:val="0"/>
              <w:pBdr>
                <w:bottom w:val="single" w:sz="4" w:space="1" w:color="auto"/>
              </w:pBdr>
              <w:spacing w:after="120"/>
              <w:ind w:firstLine="0"/>
              <w:jc w:val="center"/>
              <w:rPr>
                <w:b/>
              </w:rPr>
            </w:pPr>
            <w:r w:rsidRPr="00FC6914">
              <w:rPr>
                <w:b/>
              </w:rPr>
              <w:t>Fiscal Y</w:t>
            </w:r>
            <w:r>
              <w:rPr>
                <w:b/>
              </w:rPr>
              <w:t>ear 2017</w:t>
            </w:r>
          </w:p>
        </w:tc>
        <w:tc>
          <w:tcPr>
            <w:tcW w:w="1559" w:type="dxa"/>
          </w:tcPr>
          <w:p w:rsidR="00FC6914" w:rsidRPr="00FC6914" w:rsidRDefault="00FC6914" w:rsidP="00885210">
            <w:pPr>
              <w:pStyle w:val="BodyText"/>
              <w:keepNext/>
              <w:keepLines/>
              <w:widowControl w:val="0"/>
              <w:pBdr>
                <w:bottom w:val="single" w:sz="4" w:space="1" w:color="auto"/>
              </w:pBdr>
              <w:spacing w:after="120"/>
              <w:ind w:firstLine="0"/>
              <w:jc w:val="center"/>
              <w:rPr>
                <w:b/>
              </w:rPr>
            </w:pPr>
            <w:r w:rsidRPr="00FC6914">
              <w:rPr>
                <w:b/>
              </w:rPr>
              <w:t>Fiscal Y</w:t>
            </w:r>
            <w:r>
              <w:rPr>
                <w:b/>
              </w:rPr>
              <w:t>ear 2018</w:t>
            </w:r>
          </w:p>
        </w:tc>
        <w:tc>
          <w:tcPr>
            <w:tcW w:w="1559" w:type="dxa"/>
          </w:tcPr>
          <w:p w:rsidR="00FC6914" w:rsidRPr="00FC6914" w:rsidRDefault="00FC6914" w:rsidP="00885210">
            <w:pPr>
              <w:pStyle w:val="BodyText"/>
              <w:keepNext/>
              <w:keepLines/>
              <w:widowControl w:val="0"/>
              <w:pBdr>
                <w:bottom w:val="single" w:sz="4" w:space="1" w:color="auto"/>
              </w:pBdr>
              <w:spacing w:after="120"/>
              <w:ind w:firstLine="0"/>
              <w:jc w:val="center"/>
              <w:rPr>
                <w:b/>
              </w:rPr>
            </w:pPr>
            <w:r w:rsidRPr="00FC6914">
              <w:rPr>
                <w:b/>
              </w:rPr>
              <w:t>Fiscal Y</w:t>
            </w:r>
            <w:r>
              <w:rPr>
                <w:b/>
              </w:rPr>
              <w:t>ear 2019</w:t>
            </w:r>
            <w:r w:rsidR="00EF0B08" w:rsidRPr="00EF0B08">
              <w:rPr>
                <w:b/>
                <w:vertAlign w:val="superscript"/>
              </w:rPr>
              <w:t>1</w:t>
            </w:r>
          </w:p>
        </w:tc>
      </w:tr>
      <w:tr w:rsidR="00EE4840" w:rsidTr="00FC6914">
        <w:tc>
          <w:tcPr>
            <w:tcW w:w="1558" w:type="dxa"/>
          </w:tcPr>
          <w:p w:rsidR="00EE4840" w:rsidRDefault="00EE4840" w:rsidP="00EE4840">
            <w:pPr>
              <w:pStyle w:val="BodyText"/>
              <w:keepNext/>
              <w:keepLines/>
              <w:widowControl w:val="0"/>
              <w:spacing w:after="0"/>
              <w:ind w:firstLine="0"/>
              <w:jc w:val="center"/>
            </w:pPr>
            <w:r>
              <w:t>July</w:t>
            </w:r>
          </w:p>
        </w:tc>
        <w:tc>
          <w:tcPr>
            <w:tcW w:w="1558" w:type="dxa"/>
          </w:tcPr>
          <w:p w:rsidR="00EE4840" w:rsidRDefault="00EE4840" w:rsidP="00EE4840">
            <w:pPr>
              <w:pStyle w:val="BodyText"/>
              <w:keepNext/>
              <w:keepLines/>
              <w:widowControl w:val="0"/>
              <w:tabs>
                <w:tab w:val="decimal" w:pos="1191"/>
              </w:tabs>
              <w:spacing w:after="0"/>
              <w:ind w:firstLine="0"/>
            </w:pPr>
            <w:r>
              <w:t>$   8,760,088</w:t>
            </w:r>
          </w:p>
        </w:tc>
        <w:tc>
          <w:tcPr>
            <w:tcW w:w="1558" w:type="dxa"/>
          </w:tcPr>
          <w:p w:rsidR="00EE4840" w:rsidRDefault="00EE4840" w:rsidP="00EE4840">
            <w:pPr>
              <w:pStyle w:val="BodyText"/>
              <w:keepNext/>
              <w:keepLines/>
              <w:widowControl w:val="0"/>
              <w:tabs>
                <w:tab w:val="decimal" w:pos="1234"/>
              </w:tabs>
              <w:spacing w:after="0"/>
              <w:ind w:firstLine="0"/>
            </w:pPr>
            <w:r>
              <w:t>$    9,134,632</w:t>
            </w:r>
          </w:p>
        </w:tc>
        <w:tc>
          <w:tcPr>
            <w:tcW w:w="1558" w:type="dxa"/>
          </w:tcPr>
          <w:p w:rsidR="00EE4840" w:rsidRDefault="00EE4840" w:rsidP="00EE4840">
            <w:pPr>
              <w:pStyle w:val="BodyText"/>
              <w:keepNext/>
              <w:keepLines/>
              <w:widowControl w:val="0"/>
              <w:tabs>
                <w:tab w:val="decimal" w:pos="1220"/>
              </w:tabs>
              <w:spacing w:after="0"/>
              <w:ind w:firstLine="0"/>
            </w:pPr>
            <w:r>
              <w:t>$    8,847,433</w:t>
            </w:r>
          </w:p>
        </w:tc>
        <w:tc>
          <w:tcPr>
            <w:tcW w:w="1559" w:type="dxa"/>
          </w:tcPr>
          <w:p w:rsidR="00EE4840" w:rsidRDefault="00EE4840" w:rsidP="00EE4840">
            <w:pPr>
              <w:pStyle w:val="BodyText"/>
              <w:keepNext/>
              <w:keepLines/>
              <w:widowControl w:val="0"/>
              <w:tabs>
                <w:tab w:val="decimal" w:pos="1217"/>
              </w:tabs>
              <w:spacing w:after="0"/>
              <w:ind w:firstLine="0"/>
            </w:pPr>
            <w:r>
              <w:t>$    9,549,986</w:t>
            </w:r>
          </w:p>
        </w:tc>
        <w:tc>
          <w:tcPr>
            <w:tcW w:w="1559" w:type="dxa"/>
          </w:tcPr>
          <w:p w:rsidR="00EE4840" w:rsidRPr="00054FE5" w:rsidRDefault="00EE4840" w:rsidP="00537D93">
            <w:pPr>
              <w:tabs>
                <w:tab w:val="decimal" w:pos="1214"/>
              </w:tabs>
            </w:pPr>
            <w:r w:rsidRPr="00054FE5">
              <w:t>$</w:t>
            </w:r>
            <w:r w:rsidR="00537D93">
              <w:t xml:space="preserve">  </w:t>
            </w:r>
            <w:r w:rsidRPr="00054FE5">
              <w:t>9,160,072</w:t>
            </w:r>
          </w:p>
        </w:tc>
      </w:tr>
      <w:tr w:rsidR="00EE4840" w:rsidTr="00FC6914">
        <w:tc>
          <w:tcPr>
            <w:tcW w:w="1558" w:type="dxa"/>
          </w:tcPr>
          <w:p w:rsidR="00EE4840" w:rsidRDefault="00EE4840" w:rsidP="00EE4840">
            <w:pPr>
              <w:pStyle w:val="BodyText"/>
              <w:keepNext/>
              <w:keepLines/>
              <w:widowControl w:val="0"/>
              <w:spacing w:after="0"/>
              <w:ind w:firstLine="0"/>
              <w:jc w:val="center"/>
            </w:pPr>
            <w:r>
              <w:t>August</w:t>
            </w:r>
          </w:p>
        </w:tc>
        <w:tc>
          <w:tcPr>
            <w:tcW w:w="1558" w:type="dxa"/>
          </w:tcPr>
          <w:p w:rsidR="00EE4840" w:rsidRDefault="00EE4840" w:rsidP="00EE4840">
            <w:pPr>
              <w:pStyle w:val="BodyText"/>
              <w:keepNext/>
              <w:keepLines/>
              <w:widowControl w:val="0"/>
              <w:tabs>
                <w:tab w:val="decimal" w:pos="1191"/>
              </w:tabs>
              <w:spacing w:after="0"/>
              <w:ind w:firstLine="0"/>
            </w:pPr>
            <w:r>
              <w:t>7,929,172</w:t>
            </w:r>
          </w:p>
        </w:tc>
        <w:tc>
          <w:tcPr>
            <w:tcW w:w="1558" w:type="dxa"/>
          </w:tcPr>
          <w:p w:rsidR="00EE4840" w:rsidRDefault="00EE4840" w:rsidP="00EE4840">
            <w:pPr>
              <w:pStyle w:val="BodyText"/>
              <w:keepNext/>
              <w:keepLines/>
              <w:widowControl w:val="0"/>
              <w:tabs>
                <w:tab w:val="decimal" w:pos="1234"/>
              </w:tabs>
              <w:spacing w:after="0"/>
              <w:ind w:firstLine="0"/>
            </w:pPr>
            <w:r>
              <w:t>9,481,823</w:t>
            </w:r>
          </w:p>
        </w:tc>
        <w:tc>
          <w:tcPr>
            <w:tcW w:w="1558" w:type="dxa"/>
          </w:tcPr>
          <w:p w:rsidR="00EE4840" w:rsidRDefault="00EE4840" w:rsidP="00EE4840">
            <w:pPr>
              <w:pStyle w:val="BodyText"/>
              <w:keepNext/>
              <w:keepLines/>
              <w:widowControl w:val="0"/>
              <w:tabs>
                <w:tab w:val="decimal" w:pos="1220"/>
              </w:tabs>
              <w:spacing w:after="0"/>
              <w:ind w:firstLine="0"/>
            </w:pPr>
            <w:r>
              <w:t>9,033,462</w:t>
            </w:r>
          </w:p>
        </w:tc>
        <w:tc>
          <w:tcPr>
            <w:tcW w:w="1559" w:type="dxa"/>
          </w:tcPr>
          <w:p w:rsidR="00EE4840" w:rsidRDefault="00EE4840" w:rsidP="00EE4840">
            <w:pPr>
              <w:pStyle w:val="BodyText"/>
              <w:keepNext/>
              <w:keepLines/>
              <w:widowControl w:val="0"/>
              <w:tabs>
                <w:tab w:val="decimal" w:pos="1217"/>
              </w:tabs>
              <w:spacing w:after="0"/>
              <w:ind w:firstLine="0"/>
            </w:pPr>
            <w:r>
              <w:t>9,101,562</w:t>
            </w:r>
          </w:p>
        </w:tc>
        <w:tc>
          <w:tcPr>
            <w:tcW w:w="1559" w:type="dxa"/>
          </w:tcPr>
          <w:p w:rsidR="00EE4840" w:rsidRPr="00054FE5" w:rsidRDefault="00EE4840" w:rsidP="00537D93">
            <w:pPr>
              <w:tabs>
                <w:tab w:val="decimal" w:pos="1214"/>
              </w:tabs>
            </w:pPr>
            <w:r w:rsidRPr="00054FE5">
              <w:t>9,868,030</w:t>
            </w:r>
          </w:p>
        </w:tc>
      </w:tr>
      <w:tr w:rsidR="00EE4840" w:rsidTr="00FC6914">
        <w:tc>
          <w:tcPr>
            <w:tcW w:w="1558" w:type="dxa"/>
          </w:tcPr>
          <w:p w:rsidR="00EE4840" w:rsidRDefault="00EE4840" w:rsidP="00EE4840">
            <w:pPr>
              <w:pStyle w:val="BodyText"/>
              <w:keepNext/>
              <w:keepLines/>
              <w:widowControl w:val="0"/>
              <w:spacing w:after="0"/>
              <w:ind w:firstLine="0"/>
              <w:jc w:val="center"/>
            </w:pPr>
            <w:r>
              <w:t>September</w:t>
            </w:r>
          </w:p>
        </w:tc>
        <w:tc>
          <w:tcPr>
            <w:tcW w:w="1558" w:type="dxa"/>
          </w:tcPr>
          <w:p w:rsidR="00EE4840" w:rsidRDefault="00EE4840" w:rsidP="00EE4840">
            <w:pPr>
              <w:pStyle w:val="BodyText"/>
              <w:keepNext/>
              <w:keepLines/>
              <w:widowControl w:val="0"/>
              <w:tabs>
                <w:tab w:val="decimal" w:pos="1191"/>
              </w:tabs>
              <w:spacing w:after="0"/>
              <w:ind w:firstLine="0"/>
            </w:pPr>
            <w:r>
              <w:t>9,589,526</w:t>
            </w:r>
          </w:p>
        </w:tc>
        <w:tc>
          <w:tcPr>
            <w:tcW w:w="1558" w:type="dxa"/>
          </w:tcPr>
          <w:p w:rsidR="00EE4840" w:rsidRDefault="00EE4840" w:rsidP="00EE4840">
            <w:pPr>
              <w:pStyle w:val="BodyText"/>
              <w:keepNext/>
              <w:keepLines/>
              <w:widowControl w:val="0"/>
              <w:tabs>
                <w:tab w:val="decimal" w:pos="1234"/>
              </w:tabs>
              <w:spacing w:after="0"/>
              <w:ind w:firstLine="0"/>
            </w:pPr>
            <w:r>
              <w:t>8,611,353</w:t>
            </w:r>
          </w:p>
        </w:tc>
        <w:tc>
          <w:tcPr>
            <w:tcW w:w="1558" w:type="dxa"/>
          </w:tcPr>
          <w:p w:rsidR="00EE4840" w:rsidRDefault="00EE4840" w:rsidP="00EE4840">
            <w:pPr>
              <w:pStyle w:val="BodyText"/>
              <w:keepNext/>
              <w:keepLines/>
              <w:widowControl w:val="0"/>
              <w:tabs>
                <w:tab w:val="decimal" w:pos="1220"/>
              </w:tabs>
              <w:spacing w:after="0"/>
              <w:ind w:firstLine="0"/>
            </w:pPr>
            <w:r>
              <w:t>9,646,627</w:t>
            </w:r>
          </w:p>
        </w:tc>
        <w:tc>
          <w:tcPr>
            <w:tcW w:w="1559" w:type="dxa"/>
          </w:tcPr>
          <w:p w:rsidR="00EE4840" w:rsidRDefault="00EE4840" w:rsidP="00EE4840">
            <w:pPr>
              <w:pStyle w:val="BodyText"/>
              <w:keepNext/>
              <w:keepLines/>
              <w:widowControl w:val="0"/>
              <w:tabs>
                <w:tab w:val="decimal" w:pos="1217"/>
              </w:tabs>
              <w:spacing w:after="0"/>
              <w:ind w:firstLine="0"/>
            </w:pPr>
            <w:r>
              <w:t>9,802,804</w:t>
            </w:r>
          </w:p>
        </w:tc>
        <w:tc>
          <w:tcPr>
            <w:tcW w:w="1559" w:type="dxa"/>
          </w:tcPr>
          <w:p w:rsidR="00EE4840" w:rsidRPr="00054FE5" w:rsidRDefault="00EE4840" w:rsidP="00537D93">
            <w:pPr>
              <w:tabs>
                <w:tab w:val="decimal" w:pos="1214"/>
              </w:tabs>
            </w:pPr>
            <w:r w:rsidRPr="00054FE5">
              <w:t>445,350</w:t>
            </w:r>
          </w:p>
        </w:tc>
      </w:tr>
      <w:tr w:rsidR="00EE4840" w:rsidTr="00FC6914">
        <w:tc>
          <w:tcPr>
            <w:tcW w:w="1558" w:type="dxa"/>
          </w:tcPr>
          <w:p w:rsidR="00EE4840" w:rsidRDefault="00EE4840" w:rsidP="00EE4840">
            <w:pPr>
              <w:pStyle w:val="BodyText"/>
              <w:keepNext/>
              <w:keepLines/>
              <w:widowControl w:val="0"/>
              <w:spacing w:after="0"/>
              <w:ind w:firstLine="0"/>
              <w:jc w:val="center"/>
            </w:pPr>
            <w:r>
              <w:t>October</w:t>
            </w:r>
          </w:p>
        </w:tc>
        <w:tc>
          <w:tcPr>
            <w:tcW w:w="1558" w:type="dxa"/>
          </w:tcPr>
          <w:p w:rsidR="00EE4840" w:rsidRDefault="00EE4840" w:rsidP="00EE4840">
            <w:pPr>
              <w:pStyle w:val="BodyText"/>
              <w:keepNext/>
              <w:keepLines/>
              <w:widowControl w:val="0"/>
              <w:tabs>
                <w:tab w:val="decimal" w:pos="1191"/>
              </w:tabs>
              <w:spacing w:after="0"/>
              <w:ind w:firstLine="0"/>
            </w:pPr>
            <w:r>
              <w:t>8,419,368</w:t>
            </w:r>
          </w:p>
        </w:tc>
        <w:tc>
          <w:tcPr>
            <w:tcW w:w="1558" w:type="dxa"/>
          </w:tcPr>
          <w:p w:rsidR="00EE4840" w:rsidRDefault="00EE4840" w:rsidP="00EE4840">
            <w:pPr>
              <w:pStyle w:val="BodyText"/>
              <w:keepNext/>
              <w:keepLines/>
              <w:widowControl w:val="0"/>
              <w:tabs>
                <w:tab w:val="decimal" w:pos="1234"/>
              </w:tabs>
              <w:spacing w:after="0"/>
              <w:ind w:firstLine="0"/>
            </w:pPr>
            <w:r>
              <w:t>8,567,256</w:t>
            </w:r>
          </w:p>
        </w:tc>
        <w:tc>
          <w:tcPr>
            <w:tcW w:w="1558" w:type="dxa"/>
          </w:tcPr>
          <w:p w:rsidR="00EE4840" w:rsidRDefault="00EE4840" w:rsidP="00EE4840">
            <w:pPr>
              <w:pStyle w:val="BodyText"/>
              <w:keepNext/>
              <w:keepLines/>
              <w:widowControl w:val="0"/>
              <w:tabs>
                <w:tab w:val="decimal" w:pos="1220"/>
              </w:tabs>
              <w:spacing w:after="0"/>
              <w:ind w:firstLine="0"/>
            </w:pPr>
            <w:r>
              <w:t>8,791,208</w:t>
            </w:r>
          </w:p>
        </w:tc>
        <w:tc>
          <w:tcPr>
            <w:tcW w:w="1559" w:type="dxa"/>
          </w:tcPr>
          <w:p w:rsidR="00EE4840" w:rsidRDefault="00EE4840" w:rsidP="00EE4840">
            <w:pPr>
              <w:pStyle w:val="BodyText"/>
              <w:keepNext/>
              <w:keepLines/>
              <w:widowControl w:val="0"/>
              <w:tabs>
                <w:tab w:val="decimal" w:pos="1217"/>
              </w:tabs>
              <w:spacing w:after="0"/>
              <w:ind w:firstLine="0"/>
            </w:pPr>
            <w:r>
              <w:t>8,273,741</w:t>
            </w:r>
          </w:p>
        </w:tc>
        <w:tc>
          <w:tcPr>
            <w:tcW w:w="1559" w:type="dxa"/>
          </w:tcPr>
          <w:p w:rsidR="00EE4840" w:rsidRPr="00054FE5" w:rsidRDefault="00EE4840" w:rsidP="00537D93">
            <w:pPr>
              <w:tabs>
                <w:tab w:val="decimal" w:pos="1214"/>
              </w:tabs>
            </w:pPr>
            <w:r w:rsidRPr="00054FE5">
              <w:t>8,738,383</w:t>
            </w:r>
          </w:p>
        </w:tc>
      </w:tr>
      <w:tr w:rsidR="00EE4840" w:rsidTr="00FC6914">
        <w:tc>
          <w:tcPr>
            <w:tcW w:w="1558" w:type="dxa"/>
          </w:tcPr>
          <w:p w:rsidR="00EE4840" w:rsidRDefault="00EE4840" w:rsidP="00EE4840">
            <w:pPr>
              <w:pStyle w:val="BodyText"/>
              <w:keepNext/>
              <w:keepLines/>
              <w:widowControl w:val="0"/>
              <w:spacing w:after="0"/>
              <w:ind w:firstLine="0"/>
              <w:jc w:val="center"/>
            </w:pPr>
            <w:r>
              <w:t>November</w:t>
            </w:r>
          </w:p>
        </w:tc>
        <w:tc>
          <w:tcPr>
            <w:tcW w:w="1558" w:type="dxa"/>
          </w:tcPr>
          <w:p w:rsidR="00EE4840" w:rsidRDefault="00EE4840" w:rsidP="00EE4840">
            <w:pPr>
              <w:pStyle w:val="BodyText"/>
              <w:keepNext/>
              <w:keepLines/>
              <w:widowControl w:val="0"/>
              <w:tabs>
                <w:tab w:val="decimal" w:pos="1191"/>
              </w:tabs>
              <w:spacing w:after="0"/>
              <w:ind w:firstLine="0"/>
            </w:pPr>
            <w:r>
              <w:t>8,213,478</w:t>
            </w:r>
          </w:p>
        </w:tc>
        <w:tc>
          <w:tcPr>
            <w:tcW w:w="1558" w:type="dxa"/>
          </w:tcPr>
          <w:p w:rsidR="00EE4840" w:rsidRDefault="00EE4840" w:rsidP="00EE4840">
            <w:pPr>
              <w:pStyle w:val="BodyText"/>
              <w:keepNext/>
              <w:keepLines/>
              <w:widowControl w:val="0"/>
              <w:tabs>
                <w:tab w:val="decimal" w:pos="1234"/>
              </w:tabs>
              <w:spacing w:after="0"/>
              <w:ind w:firstLine="0"/>
            </w:pPr>
            <w:r>
              <w:t>9,130,437</w:t>
            </w:r>
          </w:p>
        </w:tc>
        <w:tc>
          <w:tcPr>
            <w:tcW w:w="1558" w:type="dxa"/>
          </w:tcPr>
          <w:p w:rsidR="00EE4840" w:rsidRDefault="00EE4840" w:rsidP="00EE4840">
            <w:pPr>
              <w:pStyle w:val="BodyText"/>
              <w:keepNext/>
              <w:keepLines/>
              <w:widowControl w:val="0"/>
              <w:tabs>
                <w:tab w:val="decimal" w:pos="1220"/>
              </w:tabs>
              <w:spacing w:after="0"/>
              <w:ind w:firstLine="0"/>
            </w:pPr>
            <w:r>
              <w:t>8,392,822</w:t>
            </w:r>
          </w:p>
        </w:tc>
        <w:tc>
          <w:tcPr>
            <w:tcW w:w="1559" w:type="dxa"/>
          </w:tcPr>
          <w:p w:rsidR="00EE4840" w:rsidRDefault="00EE4840" w:rsidP="00EE4840">
            <w:pPr>
              <w:pStyle w:val="BodyText"/>
              <w:keepNext/>
              <w:keepLines/>
              <w:widowControl w:val="0"/>
              <w:tabs>
                <w:tab w:val="decimal" w:pos="1217"/>
              </w:tabs>
              <w:spacing w:after="0"/>
              <w:ind w:firstLine="0"/>
            </w:pPr>
            <w:r>
              <w:t>9,037,232</w:t>
            </w:r>
          </w:p>
        </w:tc>
        <w:tc>
          <w:tcPr>
            <w:tcW w:w="1559" w:type="dxa"/>
          </w:tcPr>
          <w:p w:rsidR="00EE4840" w:rsidRPr="00054FE5" w:rsidRDefault="00EE4840" w:rsidP="00537D93">
            <w:pPr>
              <w:tabs>
                <w:tab w:val="decimal" w:pos="1214"/>
              </w:tabs>
            </w:pPr>
            <w:r w:rsidRPr="00054FE5">
              <w:t>10,635,068</w:t>
            </w:r>
          </w:p>
        </w:tc>
      </w:tr>
      <w:tr w:rsidR="00EE4840" w:rsidTr="00FC6914">
        <w:tc>
          <w:tcPr>
            <w:tcW w:w="1558" w:type="dxa"/>
          </w:tcPr>
          <w:p w:rsidR="00EE4840" w:rsidRDefault="00EE4840" w:rsidP="00EE4840">
            <w:pPr>
              <w:pStyle w:val="BodyText"/>
              <w:keepNext/>
              <w:keepLines/>
              <w:widowControl w:val="0"/>
              <w:spacing w:after="0"/>
              <w:ind w:firstLine="0"/>
              <w:jc w:val="center"/>
            </w:pPr>
            <w:r>
              <w:t>December</w:t>
            </w:r>
          </w:p>
        </w:tc>
        <w:tc>
          <w:tcPr>
            <w:tcW w:w="1558" w:type="dxa"/>
          </w:tcPr>
          <w:p w:rsidR="00EE4840" w:rsidRDefault="00EE4840" w:rsidP="00EE4840">
            <w:pPr>
              <w:pStyle w:val="BodyText"/>
              <w:keepNext/>
              <w:keepLines/>
              <w:widowControl w:val="0"/>
              <w:tabs>
                <w:tab w:val="decimal" w:pos="1191"/>
              </w:tabs>
              <w:spacing w:after="0"/>
              <w:ind w:firstLine="0"/>
            </w:pPr>
            <w:r>
              <w:t>6,598,035</w:t>
            </w:r>
          </w:p>
        </w:tc>
        <w:tc>
          <w:tcPr>
            <w:tcW w:w="1558" w:type="dxa"/>
          </w:tcPr>
          <w:p w:rsidR="00EE4840" w:rsidRDefault="00EE4840" w:rsidP="00EE4840">
            <w:pPr>
              <w:pStyle w:val="BodyText"/>
              <w:keepNext/>
              <w:keepLines/>
              <w:widowControl w:val="0"/>
              <w:tabs>
                <w:tab w:val="decimal" w:pos="1234"/>
              </w:tabs>
              <w:spacing w:after="0"/>
              <w:ind w:firstLine="0"/>
            </w:pPr>
            <w:r>
              <w:t>7,177,009</w:t>
            </w:r>
          </w:p>
        </w:tc>
        <w:tc>
          <w:tcPr>
            <w:tcW w:w="1558" w:type="dxa"/>
          </w:tcPr>
          <w:p w:rsidR="00EE4840" w:rsidRDefault="00EE4840" w:rsidP="00EE4840">
            <w:pPr>
              <w:pStyle w:val="BodyText"/>
              <w:keepNext/>
              <w:keepLines/>
              <w:widowControl w:val="0"/>
              <w:tabs>
                <w:tab w:val="decimal" w:pos="1220"/>
              </w:tabs>
              <w:spacing w:after="0"/>
              <w:ind w:firstLine="0"/>
            </w:pPr>
            <w:r>
              <w:t>8,716,224</w:t>
            </w:r>
          </w:p>
        </w:tc>
        <w:tc>
          <w:tcPr>
            <w:tcW w:w="1559" w:type="dxa"/>
          </w:tcPr>
          <w:p w:rsidR="00EE4840" w:rsidRDefault="00EE4840" w:rsidP="00EE4840">
            <w:pPr>
              <w:pStyle w:val="BodyText"/>
              <w:keepNext/>
              <w:keepLines/>
              <w:widowControl w:val="0"/>
              <w:tabs>
                <w:tab w:val="decimal" w:pos="1217"/>
              </w:tabs>
              <w:spacing w:after="0"/>
              <w:ind w:firstLine="0"/>
            </w:pPr>
            <w:r>
              <w:t>8,403,570</w:t>
            </w:r>
          </w:p>
        </w:tc>
        <w:tc>
          <w:tcPr>
            <w:tcW w:w="1559" w:type="dxa"/>
          </w:tcPr>
          <w:p w:rsidR="00EE4840" w:rsidRPr="00054FE5" w:rsidRDefault="00EE4840" w:rsidP="00537D93">
            <w:pPr>
              <w:tabs>
                <w:tab w:val="decimal" w:pos="1214"/>
              </w:tabs>
            </w:pPr>
            <w:r w:rsidRPr="00054FE5">
              <w:t>4,098,157</w:t>
            </w:r>
          </w:p>
        </w:tc>
      </w:tr>
      <w:tr w:rsidR="00EE4840" w:rsidTr="00FC6914">
        <w:tc>
          <w:tcPr>
            <w:tcW w:w="1558" w:type="dxa"/>
          </w:tcPr>
          <w:p w:rsidR="00EE4840" w:rsidRDefault="00EE4840" w:rsidP="00EE4840">
            <w:pPr>
              <w:pStyle w:val="BodyText"/>
              <w:keepNext/>
              <w:keepLines/>
              <w:widowControl w:val="0"/>
              <w:spacing w:after="0"/>
              <w:ind w:firstLine="0"/>
              <w:jc w:val="center"/>
            </w:pPr>
            <w:r>
              <w:t>January</w:t>
            </w:r>
          </w:p>
        </w:tc>
        <w:tc>
          <w:tcPr>
            <w:tcW w:w="1558" w:type="dxa"/>
          </w:tcPr>
          <w:p w:rsidR="00EE4840" w:rsidRDefault="00EE4840" w:rsidP="00EE4840">
            <w:pPr>
              <w:pStyle w:val="BodyText"/>
              <w:keepNext/>
              <w:keepLines/>
              <w:widowControl w:val="0"/>
              <w:tabs>
                <w:tab w:val="decimal" w:pos="1191"/>
              </w:tabs>
              <w:spacing w:after="0"/>
              <w:ind w:firstLine="0"/>
            </w:pPr>
            <w:r>
              <w:t>8,325,379</w:t>
            </w:r>
          </w:p>
        </w:tc>
        <w:tc>
          <w:tcPr>
            <w:tcW w:w="1558" w:type="dxa"/>
          </w:tcPr>
          <w:p w:rsidR="00EE4840" w:rsidRDefault="00EE4840" w:rsidP="00EE4840">
            <w:pPr>
              <w:pStyle w:val="BodyText"/>
              <w:keepNext/>
              <w:keepLines/>
              <w:widowControl w:val="0"/>
              <w:tabs>
                <w:tab w:val="decimal" w:pos="1234"/>
              </w:tabs>
              <w:spacing w:after="0"/>
              <w:ind w:firstLine="0"/>
            </w:pPr>
            <w:r>
              <w:t>7,324,213</w:t>
            </w:r>
          </w:p>
        </w:tc>
        <w:tc>
          <w:tcPr>
            <w:tcW w:w="1558" w:type="dxa"/>
          </w:tcPr>
          <w:p w:rsidR="00EE4840" w:rsidRDefault="00EE4840" w:rsidP="00EE4840">
            <w:pPr>
              <w:pStyle w:val="BodyText"/>
              <w:keepNext/>
              <w:keepLines/>
              <w:widowControl w:val="0"/>
              <w:tabs>
                <w:tab w:val="decimal" w:pos="1220"/>
              </w:tabs>
              <w:spacing w:after="0"/>
              <w:ind w:firstLine="0"/>
            </w:pPr>
            <w:r>
              <w:t>7,926,804</w:t>
            </w:r>
          </w:p>
        </w:tc>
        <w:tc>
          <w:tcPr>
            <w:tcW w:w="1559" w:type="dxa"/>
          </w:tcPr>
          <w:p w:rsidR="00EE4840" w:rsidRDefault="00EE4840" w:rsidP="00EE4840">
            <w:pPr>
              <w:pStyle w:val="BodyText"/>
              <w:keepNext/>
              <w:keepLines/>
              <w:widowControl w:val="0"/>
              <w:tabs>
                <w:tab w:val="decimal" w:pos="1217"/>
              </w:tabs>
              <w:spacing w:after="0"/>
              <w:ind w:firstLine="0"/>
            </w:pPr>
            <w:r>
              <w:t>7,643,397</w:t>
            </w:r>
          </w:p>
        </w:tc>
        <w:tc>
          <w:tcPr>
            <w:tcW w:w="1559" w:type="dxa"/>
          </w:tcPr>
          <w:p w:rsidR="00EE4840" w:rsidRPr="00054FE5" w:rsidRDefault="00EE4840" w:rsidP="00537D93">
            <w:pPr>
              <w:tabs>
                <w:tab w:val="decimal" w:pos="1214"/>
              </w:tabs>
            </w:pPr>
            <w:r w:rsidRPr="00054FE5">
              <w:t>14,391,251</w:t>
            </w:r>
          </w:p>
        </w:tc>
      </w:tr>
      <w:tr w:rsidR="00EE4840" w:rsidTr="00FC6914">
        <w:tc>
          <w:tcPr>
            <w:tcW w:w="1558" w:type="dxa"/>
          </w:tcPr>
          <w:p w:rsidR="00EE4840" w:rsidRDefault="00EE4840" w:rsidP="00EE4840">
            <w:pPr>
              <w:pStyle w:val="BodyText"/>
              <w:keepNext/>
              <w:keepLines/>
              <w:widowControl w:val="0"/>
              <w:spacing w:after="0"/>
              <w:ind w:firstLine="0"/>
              <w:jc w:val="center"/>
            </w:pPr>
            <w:r>
              <w:t>February</w:t>
            </w:r>
          </w:p>
        </w:tc>
        <w:tc>
          <w:tcPr>
            <w:tcW w:w="1558" w:type="dxa"/>
          </w:tcPr>
          <w:p w:rsidR="00EE4840" w:rsidRDefault="00EE4840" w:rsidP="00EE4840">
            <w:pPr>
              <w:pStyle w:val="BodyText"/>
              <w:keepNext/>
              <w:keepLines/>
              <w:widowControl w:val="0"/>
              <w:tabs>
                <w:tab w:val="decimal" w:pos="1191"/>
              </w:tabs>
              <w:spacing w:after="0"/>
              <w:ind w:firstLine="0"/>
            </w:pPr>
            <w:r>
              <w:t>7,485,572</w:t>
            </w:r>
          </w:p>
        </w:tc>
        <w:tc>
          <w:tcPr>
            <w:tcW w:w="1558" w:type="dxa"/>
          </w:tcPr>
          <w:p w:rsidR="00EE4840" w:rsidRDefault="00EE4840" w:rsidP="00EE4840">
            <w:pPr>
              <w:pStyle w:val="BodyText"/>
              <w:keepNext/>
              <w:keepLines/>
              <w:widowControl w:val="0"/>
              <w:tabs>
                <w:tab w:val="decimal" w:pos="1234"/>
              </w:tabs>
              <w:spacing w:after="0"/>
              <w:ind w:firstLine="0"/>
            </w:pPr>
            <w:r>
              <w:t>7,293,265</w:t>
            </w:r>
          </w:p>
        </w:tc>
        <w:tc>
          <w:tcPr>
            <w:tcW w:w="1558" w:type="dxa"/>
          </w:tcPr>
          <w:p w:rsidR="00EE4840" w:rsidRDefault="00EE4840" w:rsidP="00EE4840">
            <w:pPr>
              <w:pStyle w:val="BodyText"/>
              <w:keepNext/>
              <w:keepLines/>
              <w:widowControl w:val="0"/>
              <w:tabs>
                <w:tab w:val="decimal" w:pos="1220"/>
              </w:tabs>
              <w:spacing w:after="0"/>
              <w:ind w:firstLine="0"/>
            </w:pPr>
            <w:r>
              <w:t>7,779,830</w:t>
            </w:r>
          </w:p>
        </w:tc>
        <w:tc>
          <w:tcPr>
            <w:tcW w:w="1559" w:type="dxa"/>
          </w:tcPr>
          <w:p w:rsidR="00EE4840" w:rsidRDefault="00EE4840" w:rsidP="00EE4840">
            <w:pPr>
              <w:pStyle w:val="BodyText"/>
              <w:keepNext/>
              <w:keepLines/>
              <w:widowControl w:val="0"/>
              <w:tabs>
                <w:tab w:val="decimal" w:pos="1217"/>
              </w:tabs>
              <w:spacing w:after="0"/>
              <w:ind w:firstLine="0"/>
            </w:pPr>
            <w:r>
              <w:t>8,902,488</w:t>
            </w:r>
          </w:p>
        </w:tc>
        <w:tc>
          <w:tcPr>
            <w:tcW w:w="1559" w:type="dxa"/>
          </w:tcPr>
          <w:p w:rsidR="00EE4840" w:rsidRPr="00054FE5" w:rsidRDefault="00EE4840" w:rsidP="00537D93">
            <w:pPr>
              <w:tabs>
                <w:tab w:val="decimal" w:pos="1214"/>
              </w:tabs>
            </w:pPr>
            <w:r w:rsidRPr="00054FE5">
              <w:t>11,567,322</w:t>
            </w:r>
          </w:p>
        </w:tc>
      </w:tr>
      <w:tr w:rsidR="00EE4840" w:rsidTr="00FC6914">
        <w:tc>
          <w:tcPr>
            <w:tcW w:w="1558" w:type="dxa"/>
          </w:tcPr>
          <w:p w:rsidR="00EE4840" w:rsidRDefault="00EE4840" w:rsidP="00EE4840">
            <w:pPr>
              <w:pStyle w:val="BodyText"/>
              <w:keepNext/>
              <w:keepLines/>
              <w:widowControl w:val="0"/>
              <w:spacing w:after="0"/>
              <w:ind w:firstLine="0"/>
              <w:jc w:val="center"/>
            </w:pPr>
            <w:r>
              <w:t>March</w:t>
            </w:r>
          </w:p>
        </w:tc>
        <w:tc>
          <w:tcPr>
            <w:tcW w:w="1558" w:type="dxa"/>
          </w:tcPr>
          <w:p w:rsidR="00EE4840" w:rsidRDefault="00EE4840" w:rsidP="00EE4840">
            <w:pPr>
              <w:pStyle w:val="BodyText"/>
              <w:keepNext/>
              <w:keepLines/>
              <w:widowControl w:val="0"/>
              <w:tabs>
                <w:tab w:val="decimal" w:pos="1191"/>
              </w:tabs>
              <w:spacing w:after="0"/>
              <w:ind w:firstLine="0"/>
            </w:pPr>
            <w:r>
              <w:t>6,875,355</w:t>
            </w:r>
          </w:p>
        </w:tc>
        <w:tc>
          <w:tcPr>
            <w:tcW w:w="1558" w:type="dxa"/>
          </w:tcPr>
          <w:p w:rsidR="00EE4840" w:rsidRDefault="00EE4840" w:rsidP="00EE4840">
            <w:pPr>
              <w:pStyle w:val="BodyText"/>
              <w:keepNext/>
              <w:keepLines/>
              <w:widowControl w:val="0"/>
              <w:tabs>
                <w:tab w:val="decimal" w:pos="1234"/>
              </w:tabs>
              <w:spacing w:after="0"/>
              <w:ind w:firstLine="0"/>
            </w:pPr>
            <w:r>
              <w:t>8,057,043</w:t>
            </w:r>
          </w:p>
        </w:tc>
        <w:tc>
          <w:tcPr>
            <w:tcW w:w="1558" w:type="dxa"/>
          </w:tcPr>
          <w:p w:rsidR="00EE4840" w:rsidRDefault="00EE4840" w:rsidP="00EE4840">
            <w:pPr>
              <w:pStyle w:val="BodyText"/>
              <w:keepNext/>
              <w:keepLines/>
              <w:widowControl w:val="0"/>
              <w:tabs>
                <w:tab w:val="decimal" w:pos="1220"/>
              </w:tabs>
              <w:spacing w:after="0"/>
              <w:ind w:firstLine="0"/>
            </w:pPr>
            <w:r>
              <w:t>8,244,629</w:t>
            </w:r>
          </w:p>
        </w:tc>
        <w:tc>
          <w:tcPr>
            <w:tcW w:w="1559" w:type="dxa"/>
          </w:tcPr>
          <w:p w:rsidR="00EE4840" w:rsidRDefault="00EE4840" w:rsidP="00EE4840">
            <w:pPr>
              <w:pStyle w:val="BodyText"/>
              <w:keepNext/>
              <w:keepLines/>
              <w:widowControl w:val="0"/>
              <w:tabs>
                <w:tab w:val="decimal" w:pos="1217"/>
              </w:tabs>
              <w:spacing w:after="0"/>
              <w:ind w:firstLine="0"/>
            </w:pPr>
            <w:r>
              <w:t>7,515,856</w:t>
            </w:r>
          </w:p>
        </w:tc>
        <w:tc>
          <w:tcPr>
            <w:tcW w:w="1559" w:type="dxa"/>
          </w:tcPr>
          <w:p w:rsidR="00EE4840" w:rsidRPr="00054FE5" w:rsidRDefault="00EE4840" w:rsidP="00537D93">
            <w:pPr>
              <w:tabs>
                <w:tab w:val="decimal" w:pos="1214"/>
              </w:tabs>
            </w:pPr>
            <w:r w:rsidRPr="00054FE5">
              <w:t>8,987,702</w:t>
            </w:r>
          </w:p>
        </w:tc>
      </w:tr>
      <w:tr w:rsidR="00EE4840" w:rsidTr="00FC6914">
        <w:tc>
          <w:tcPr>
            <w:tcW w:w="1558" w:type="dxa"/>
          </w:tcPr>
          <w:p w:rsidR="00EE4840" w:rsidRDefault="00EE4840" w:rsidP="00EE4840">
            <w:pPr>
              <w:pStyle w:val="BodyText"/>
              <w:keepNext/>
              <w:keepLines/>
              <w:widowControl w:val="0"/>
              <w:spacing w:after="0"/>
              <w:ind w:firstLine="0"/>
              <w:jc w:val="center"/>
            </w:pPr>
            <w:r>
              <w:t>April</w:t>
            </w:r>
          </w:p>
        </w:tc>
        <w:tc>
          <w:tcPr>
            <w:tcW w:w="1558" w:type="dxa"/>
          </w:tcPr>
          <w:p w:rsidR="00EE4840" w:rsidRDefault="00EE4840" w:rsidP="00EE4840">
            <w:pPr>
              <w:pStyle w:val="BodyText"/>
              <w:keepNext/>
              <w:keepLines/>
              <w:widowControl w:val="0"/>
              <w:tabs>
                <w:tab w:val="decimal" w:pos="1191"/>
              </w:tabs>
              <w:spacing w:after="0"/>
              <w:ind w:firstLine="0"/>
            </w:pPr>
            <w:r>
              <w:t>9,144,673</w:t>
            </w:r>
          </w:p>
        </w:tc>
        <w:tc>
          <w:tcPr>
            <w:tcW w:w="1558" w:type="dxa"/>
          </w:tcPr>
          <w:p w:rsidR="00EE4840" w:rsidRDefault="00EE4840" w:rsidP="00EE4840">
            <w:pPr>
              <w:pStyle w:val="BodyText"/>
              <w:keepNext/>
              <w:keepLines/>
              <w:widowControl w:val="0"/>
              <w:tabs>
                <w:tab w:val="decimal" w:pos="1234"/>
              </w:tabs>
              <w:spacing w:after="0"/>
              <w:ind w:firstLine="0"/>
            </w:pPr>
            <w:r>
              <w:t>8,716,411</w:t>
            </w:r>
          </w:p>
        </w:tc>
        <w:tc>
          <w:tcPr>
            <w:tcW w:w="1558" w:type="dxa"/>
          </w:tcPr>
          <w:p w:rsidR="00EE4840" w:rsidRDefault="00EE4840" w:rsidP="00EE4840">
            <w:pPr>
              <w:pStyle w:val="BodyText"/>
              <w:keepNext/>
              <w:keepLines/>
              <w:widowControl w:val="0"/>
              <w:tabs>
                <w:tab w:val="decimal" w:pos="1220"/>
              </w:tabs>
              <w:spacing w:after="0"/>
              <w:ind w:firstLine="0"/>
            </w:pPr>
            <w:r>
              <w:t>9,087,590</w:t>
            </w:r>
          </w:p>
        </w:tc>
        <w:tc>
          <w:tcPr>
            <w:tcW w:w="1559" w:type="dxa"/>
          </w:tcPr>
          <w:p w:rsidR="00EE4840" w:rsidRDefault="00EE4840" w:rsidP="00EE4840">
            <w:pPr>
              <w:pStyle w:val="BodyText"/>
              <w:keepNext/>
              <w:keepLines/>
              <w:widowControl w:val="0"/>
              <w:tabs>
                <w:tab w:val="decimal" w:pos="1217"/>
              </w:tabs>
              <w:spacing w:after="0"/>
              <w:ind w:firstLine="0"/>
            </w:pPr>
            <w:r>
              <w:t>9,287,830</w:t>
            </w:r>
          </w:p>
        </w:tc>
        <w:tc>
          <w:tcPr>
            <w:tcW w:w="1559" w:type="dxa"/>
          </w:tcPr>
          <w:p w:rsidR="00EE4840" w:rsidRPr="00054FE5" w:rsidRDefault="00EE4840" w:rsidP="00537D93">
            <w:pPr>
              <w:tabs>
                <w:tab w:val="decimal" w:pos="1214"/>
              </w:tabs>
            </w:pPr>
            <w:r w:rsidRPr="00054FE5">
              <w:t>9,131,841</w:t>
            </w:r>
          </w:p>
        </w:tc>
      </w:tr>
      <w:tr w:rsidR="00EE4840" w:rsidTr="00FC6914">
        <w:tc>
          <w:tcPr>
            <w:tcW w:w="1558" w:type="dxa"/>
          </w:tcPr>
          <w:p w:rsidR="00EE4840" w:rsidRDefault="00EE4840" w:rsidP="00EE4840">
            <w:pPr>
              <w:pStyle w:val="BodyText"/>
              <w:keepNext/>
              <w:keepLines/>
              <w:widowControl w:val="0"/>
              <w:spacing w:after="0"/>
              <w:ind w:firstLine="0"/>
              <w:jc w:val="center"/>
            </w:pPr>
            <w:r>
              <w:t>May</w:t>
            </w:r>
          </w:p>
        </w:tc>
        <w:tc>
          <w:tcPr>
            <w:tcW w:w="1558" w:type="dxa"/>
          </w:tcPr>
          <w:p w:rsidR="00EE4840" w:rsidRDefault="00EE4840" w:rsidP="00EE4840">
            <w:pPr>
              <w:pStyle w:val="BodyText"/>
              <w:keepNext/>
              <w:keepLines/>
              <w:widowControl w:val="0"/>
              <w:tabs>
                <w:tab w:val="decimal" w:pos="1191"/>
              </w:tabs>
              <w:spacing w:after="0"/>
              <w:ind w:firstLine="0"/>
            </w:pPr>
            <w:r>
              <w:t>7,884,740</w:t>
            </w:r>
          </w:p>
        </w:tc>
        <w:tc>
          <w:tcPr>
            <w:tcW w:w="1558" w:type="dxa"/>
          </w:tcPr>
          <w:p w:rsidR="00EE4840" w:rsidRDefault="00EE4840" w:rsidP="00EE4840">
            <w:pPr>
              <w:pStyle w:val="BodyText"/>
              <w:keepNext/>
              <w:keepLines/>
              <w:widowControl w:val="0"/>
              <w:tabs>
                <w:tab w:val="decimal" w:pos="1234"/>
              </w:tabs>
              <w:spacing w:after="0"/>
              <w:ind w:firstLine="0"/>
            </w:pPr>
            <w:r>
              <w:t>8,485,125</w:t>
            </w:r>
          </w:p>
        </w:tc>
        <w:tc>
          <w:tcPr>
            <w:tcW w:w="1558" w:type="dxa"/>
          </w:tcPr>
          <w:p w:rsidR="00EE4840" w:rsidRDefault="00EE4840" w:rsidP="00EE4840">
            <w:pPr>
              <w:pStyle w:val="BodyText"/>
              <w:keepNext/>
              <w:keepLines/>
              <w:widowControl w:val="0"/>
              <w:tabs>
                <w:tab w:val="decimal" w:pos="1220"/>
              </w:tabs>
              <w:spacing w:after="0"/>
              <w:ind w:firstLine="0"/>
            </w:pPr>
            <w:r>
              <w:t>8,089,083</w:t>
            </w:r>
          </w:p>
        </w:tc>
        <w:tc>
          <w:tcPr>
            <w:tcW w:w="1559" w:type="dxa"/>
          </w:tcPr>
          <w:p w:rsidR="00EE4840" w:rsidRDefault="00EE4840" w:rsidP="00EE4840">
            <w:pPr>
              <w:pStyle w:val="BodyText"/>
              <w:keepNext/>
              <w:keepLines/>
              <w:widowControl w:val="0"/>
              <w:tabs>
                <w:tab w:val="decimal" w:pos="1217"/>
              </w:tabs>
              <w:spacing w:after="0"/>
              <w:ind w:firstLine="0"/>
            </w:pPr>
            <w:r>
              <w:t>8,426,098</w:t>
            </w:r>
          </w:p>
        </w:tc>
        <w:tc>
          <w:tcPr>
            <w:tcW w:w="1559" w:type="dxa"/>
          </w:tcPr>
          <w:p w:rsidR="00EE4840" w:rsidRPr="00054FE5" w:rsidRDefault="00EE4840" w:rsidP="00537D93">
            <w:pPr>
              <w:tabs>
                <w:tab w:val="decimal" w:pos="1214"/>
              </w:tabs>
            </w:pPr>
            <w:r w:rsidRPr="00054FE5">
              <w:t>7,946,153</w:t>
            </w:r>
          </w:p>
        </w:tc>
      </w:tr>
      <w:tr w:rsidR="00EE4840" w:rsidTr="00FC6914">
        <w:tc>
          <w:tcPr>
            <w:tcW w:w="1558" w:type="dxa"/>
          </w:tcPr>
          <w:p w:rsidR="00EE4840" w:rsidRDefault="00EE4840" w:rsidP="00EE4840">
            <w:pPr>
              <w:pStyle w:val="BodyText"/>
              <w:keepNext/>
              <w:keepLines/>
              <w:widowControl w:val="0"/>
              <w:spacing w:after="0"/>
              <w:ind w:firstLine="0"/>
              <w:jc w:val="center"/>
            </w:pPr>
            <w:r>
              <w:t>June</w:t>
            </w:r>
          </w:p>
        </w:tc>
        <w:tc>
          <w:tcPr>
            <w:tcW w:w="1558" w:type="dxa"/>
          </w:tcPr>
          <w:p w:rsidR="00EE4840" w:rsidRPr="006061B3" w:rsidRDefault="00EE4840" w:rsidP="00EE4840">
            <w:pPr>
              <w:pStyle w:val="BodyText"/>
              <w:keepNext/>
              <w:keepLines/>
              <w:widowControl w:val="0"/>
              <w:tabs>
                <w:tab w:val="decimal" w:pos="1191"/>
              </w:tabs>
              <w:spacing w:after="0"/>
              <w:ind w:firstLine="0"/>
              <w:rPr>
                <w:u w:val="single"/>
              </w:rPr>
            </w:pPr>
            <w:r>
              <w:rPr>
                <w:u w:val="single"/>
              </w:rPr>
              <w:t xml:space="preserve">  </w:t>
            </w:r>
            <w:r w:rsidRPr="006061B3">
              <w:rPr>
                <w:u w:val="single"/>
              </w:rPr>
              <w:t>8,801,178</w:t>
            </w:r>
          </w:p>
        </w:tc>
        <w:tc>
          <w:tcPr>
            <w:tcW w:w="1558" w:type="dxa"/>
          </w:tcPr>
          <w:p w:rsidR="00EE4840" w:rsidRPr="006061B3" w:rsidRDefault="00EE4840" w:rsidP="00EE4840">
            <w:pPr>
              <w:pStyle w:val="BodyText"/>
              <w:keepNext/>
              <w:keepLines/>
              <w:widowControl w:val="0"/>
              <w:tabs>
                <w:tab w:val="decimal" w:pos="1234"/>
              </w:tabs>
              <w:spacing w:after="0"/>
              <w:ind w:firstLine="0"/>
              <w:rPr>
                <w:u w:val="single"/>
              </w:rPr>
            </w:pPr>
            <w:r>
              <w:rPr>
                <w:u w:val="single"/>
              </w:rPr>
              <w:t xml:space="preserve">   </w:t>
            </w:r>
            <w:r w:rsidRPr="006061B3">
              <w:rPr>
                <w:u w:val="single"/>
              </w:rPr>
              <w:t>8,912,843</w:t>
            </w:r>
          </w:p>
        </w:tc>
        <w:tc>
          <w:tcPr>
            <w:tcW w:w="1558" w:type="dxa"/>
          </w:tcPr>
          <w:p w:rsidR="00EE4840" w:rsidRPr="006061B3" w:rsidRDefault="00EE4840" w:rsidP="00EE4840">
            <w:pPr>
              <w:pStyle w:val="BodyText"/>
              <w:keepNext/>
              <w:keepLines/>
              <w:widowControl w:val="0"/>
              <w:tabs>
                <w:tab w:val="decimal" w:pos="1220"/>
              </w:tabs>
              <w:spacing w:after="0"/>
              <w:ind w:firstLine="0"/>
              <w:rPr>
                <w:u w:val="single"/>
              </w:rPr>
            </w:pPr>
            <w:r>
              <w:rPr>
                <w:u w:val="single"/>
              </w:rPr>
              <w:t xml:space="preserve">    </w:t>
            </w:r>
            <w:r w:rsidRPr="006061B3">
              <w:rPr>
                <w:u w:val="single"/>
              </w:rPr>
              <w:t>9,429,409</w:t>
            </w:r>
          </w:p>
        </w:tc>
        <w:tc>
          <w:tcPr>
            <w:tcW w:w="1559" w:type="dxa"/>
          </w:tcPr>
          <w:p w:rsidR="00EE4840" w:rsidRPr="006061B3" w:rsidRDefault="00EE4840" w:rsidP="00EE4840">
            <w:pPr>
              <w:pStyle w:val="BodyText"/>
              <w:keepNext/>
              <w:keepLines/>
              <w:widowControl w:val="0"/>
              <w:tabs>
                <w:tab w:val="decimal" w:pos="1217"/>
              </w:tabs>
              <w:spacing w:after="0"/>
              <w:ind w:firstLine="0"/>
              <w:rPr>
                <w:u w:val="single"/>
              </w:rPr>
            </w:pPr>
            <w:r>
              <w:rPr>
                <w:u w:val="single"/>
              </w:rPr>
              <w:t xml:space="preserve">  </w:t>
            </w:r>
            <w:r w:rsidRPr="006061B3">
              <w:rPr>
                <w:u w:val="single"/>
              </w:rPr>
              <w:t>10,079,082</w:t>
            </w:r>
          </w:p>
        </w:tc>
        <w:tc>
          <w:tcPr>
            <w:tcW w:w="1559" w:type="dxa"/>
          </w:tcPr>
          <w:p w:rsidR="00EE4840" w:rsidRPr="00537D93" w:rsidRDefault="00BF0CC0" w:rsidP="00537D93">
            <w:pPr>
              <w:tabs>
                <w:tab w:val="decimal" w:pos="1214"/>
              </w:tabs>
              <w:rPr>
                <w:u w:val="single"/>
              </w:rPr>
            </w:pPr>
            <w:r>
              <w:rPr>
                <w:u w:val="single"/>
              </w:rPr>
              <w:t>10,731,597</w:t>
            </w:r>
          </w:p>
        </w:tc>
      </w:tr>
      <w:tr w:rsidR="00FC6914" w:rsidTr="00FC6914">
        <w:tc>
          <w:tcPr>
            <w:tcW w:w="1558" w:type="dxa"/>
          </w:tcPr>
          <w:p w:rsidR="00FC6914" w:rsidRDefault="00FC6914" w:rsidP="00885210">
            <w:pPr>
              <w:pStyle w:val="BodyText"/>
              <w:keepNext/>
              <w:keepLines/>
              <w:widowControl w:val="0"/>
              <w:spacing w:after="0"/>
              <w:ind w:firstLine="0"/>
              <w:jc w:val="center"/>
            </w:pPr>
            <w:r>
              <w:t>Total</w:t>
            </w:r>
          </w:p>
        </w:tc>
        <w:tc>
          <w:tcPr>
            <w:tcW w:w="1558" w:type="dxa"/>
          </w:tcPr>
          <w:p w:rsidR="00FC6914" w:rsidRDefault="007E1325" w:rsidP="00885210">
            <w:pPr>
              <w:pStyle w:val="BodyText"/>
              <w:keepNext/>
              <w:keepLines/>
              <w:widowControl w:val="0"/>
              <w:tabs>
                <w:tab w:val="decimal" w:pos="1191"/>
              </w:tabs>
              <w:spacing w:after="0"/>
              <w:ind w:firstLine="0"/>
            </w:pPr>
            <w:r>
              <w:t>$</w:t>
            </w:r>
            <w:r w:rsidRPr="006061B3">
              <w:rPr>
                <w:u w:val="double"/>
              </w:rPr>
              <w:t>98,026,565</w:t>
            </w:r>
          </w:p>
        </w:tc>
        <w:tc>
          <w:tcPr>
            <w:tcW w:w="1558" w:type="dxa"/>
          </w:tcPr>
          <w:p w:rsidR="00FC6914" w:rsidRDefault="006061B3" w:rsidP="00885210">
            <w:pPr>
              <w:pStyle w:val="BodyText"/>
              <w:keepNext/>
              <w:keepLines/>
              <w:widowControl w:val="0"/>
              <w:tabs>
                <w:tab w:val="decimal" w:pos="1234"/>
              </w:tabs>
              <w:spacing w:after="0"/>
              <w:ind w:firstLine="0"/>
            </w:pPr>
            <w:r>
              <w:t>$</w:t>
            </w:r>
            <w:r w:rsidR="007E1325" w:rsidRPr="006061B3">
              <w:rPr>
                <w:u w:val="double"/>
              </w:rPr>
              <w:t>100,891,411</w:t>
            </w:r>
          </w:p>
        </w:tc>
        <w:tc>
          <w:tcPr>
            <w:tcW w:w="1558" w:type="dxa"/>
          </w:tcPr>
          <w:p w:rsidR="00FC6914" w:rsidRDefault="006061B3" w:rsidP="00885210">
            <w:pPr>
              <w:pStyle w:val="BodyText"/>
              <w:keepNext/>
              <w:keepLines/>
              <w:widowControl w:val="0"/>
              <w:tabs>
                <w:tab w:val="decimal" w:pos="1220"/>
              </w:tabs>
              <w:spacing w:after="0"/>
              <w:ind w:firstLine="0"/>
            </w:pPr>
            <w:r>
              <w:t>$</w:t>
            </w:r>
            <w:r w:rsidRPr="006061B3">
              <w:rPr>
                <w:u w:val="double"/>
              </w:rPr>
              <w:t>103,985,122</w:t>
            </w:r>
          </w:p>
        </w:tc>
        <w:tc>
          <w:tcPr>
            <w:tcW w:w="1559" w:type="dxa"/>
          </w:tcPr>
          <w:p w:rsidR="00FC6914" w:rsidRDefault="006061B3" w:rsidP="00885210">
            <w:pPr>
              <w:pStyle w:val="BodyText"/>
              <w:keepNext/>
              <w:keepLines/>
              <w:widowControl w:val="0"/>
              <w:tabs>
                <w:tab w:val="decimal" w:pos="1217"/>
              </w:tabs>
              <w:spacing w:after="0"/>
              <w:ind w:firstLine="0"/>
            </w:pPr>
            <w:r>
              <w:t>$</w:t>
            </w:r>
            <w:r w:rsidRPr="006061B3">
              <w:rPr>
                <w:u w:val="double"/>
              </w:rPr>
              <w:t>106,023,648</w:t>
            </w:r>
          </w:p>
        </w:tc>
        <w:tc>
          <w:tcPr>
            <w:tcW w:w="1559" w:type="dxa"/>
          </w:tcPr>
          <w:p w:rsidR="00FC6914" w:rsidRDefault="00537D93" w:rsidP="00537D93">
            <w:pPr>
              <w:pStyle w:val="BodyText"/>
              <w:keepNext/>
              <w:keepLines/>
              <w:widowControl w:val="0"/>
              <w:tabs>
                <w:tab w:val="decimal" w:pos="1214"/>
              </w:tabs>
              <w:spacing w:after="0"/>
              <w:ind w:firstLine="0"/>
            </w:pPr>
            <w:r>
              <w:t>$</w:t>
            </w:r>
            <w:r w:rsidRPr="00537D93">
              <w:rPr>
                <w:u w:val="double"/>
              </w:rPr>
              <w:t>105,700,925</w:t>
            </w:r>
          </w:p>
        </w:tc>
      </w:tr>
      <w:tr w:rsidR="00FC6914" w:rsidTr="00B62454">
        <w:tc>
          <w:tcPr>
            <w:tcW w:w="9350" w:type="dxa"/>
            <w:gridSpan w:val="6"/>
          </w:tcPr>
          <w:p w:rsidR="00FC6914" w:rsidRPr="00DA08D9" w:rsidRDefault="00FC6914" w:rsidP="00885210">
            <w:pPr>
              <w:pStyle w:val="BodyText"/>
              <w:keepNext/>
              <w:keepLines/>
              <w:widowControl w:val="0"/>
              <w:spacing w:after="0"/>
              <w:ind w:firstLine="0"/>
              <w:rPr>
                <w:sz w:val="16"/>
                <w:szCs w:val="16"/>
              </w:rPr>
            </w:pPr>
            <w:r w:rsidRPr="00DA08D9">
              <w:rPr>
                <w:sz w:val="16"/>
                <w:szCs w:val="16"/>
                <w:u w:val="single"/>
              </w:rPr>
              <w:tab/>
            </w:r>
            <w:r w:rsidRPr="00DA08D9">
              <w:rPr>
                <w:sz w:val="16"/>
                <w:szCs w:val="16"/>
                <w:u w:val="single"/>
              </w:rPr>
              <w:tab/>
            </w:r>
            <w:r w:rsidRPr="00DA08D9">
              <w:rPr>
                <w:sz w:val="16"/>
                <w:szCs w:val="16"/>
                <w:u w:val="single"/>
              </w:rPr>
              <w:tab/>
            </w:r>
          </w:p>
          <w:p w:rsidR="00C72AB0" w:rsidRPr="00DA08D9" w:rsidRDefault="00EF0B08" w:rsidP="00885210">
            <w:pPr>
              <w:pStyle w:val="BodyText"/>
              <w:keepNext/>
              <w:keepLines/>
              <w:widowControl w:val="0"/>
              <w:spacing w:after="0"/>
              <w:ind w:firstLine="0"/>
              <w:rPr>
                <w:sz w:val="16"/>
                <w:szCs w:val="16"/>
              </w:rPr>
            </w:pPr>
            <w:r w:rsidRPr="00DA08D9">
              <w:rPr>
                <w:sz w:val="16"/>
                <w:szCs w:val="16"/>
                <w:vertAlign w:val="superscript"/>
              </w:rPr>
              <w:t>1</w:t>
            </w:r>
            <w:r w:rsidR="00C72AB0" w:rsidRPr="00DA08D9">
              <w:rPr>
                <w:sz w:val="16"/>
                <w:szCs w:val="16"/>
              </w:rPr>
              <w:t xml:space="preserve"> </w:t>
            </w:r>
            <w:r w:rsidR="00537D93" w:rsidRPr="00DA08D9">
              <w:rPr>
                <w:sz w:val="16"/>
                <w:szCs w:val="16"/>
              </w:rPr>
              <w:t>Unaudited; numbers subject to change</w:t>
            </w:r>
            <w:r w:rsidR="00C72AB0" w:rsidRPr="00DA08D9">
              <w:rPr>
                <w:sz w:val="16"/>
                <w:szCs w:val="16"/>
              </w:rPr>
              <w:t>.</w:t>
            </w:r>
            <w:r w:rsidRPr="00DA08D9">
              <w:rPr>
                <w:sz w:val="16"/>
                <w:szCs w:val="16"/>
              </w:rPr>
              <w:t xml:space="preserve">  In Fiscal Year 2019, the Colorado Department of Revenue and the Colorado Governor’s Office of Information Technology implemented DRIVES (Colorado Driver License, Record, Identification and Vehicle Enterprise Solution) which modernized </w:t>
            </w:r>
            <w:r w:rsidR="005F7BE7" w:rsidRPr="00DA08D9">
              <w:rPr>
                <w:sz w:val="16"/>
                <w:szCs w:val="16"/>
              </w:rPr>
              <w:t xml:space="preserve">the Department of Motor Vehicles’ </w:t>
            </w:r>
            <w:r w:rsidRPr="00DA08D9">
              <w:rPr>
                <w:sz w:val="16"/>
                <w:szCs w:val="16"/>
              </w:rPr>
              <w:t xml:space="preserve">systems across the </w:t>
            </w:r>
            <w:r w:rsidR="005F7BE7" w:rsidRPr="00DA08D9">
              <w:rPr>
                <w:sz w:val="16"/>
                <w:szCs w:val="16"/>
              </w:rPr>
              <w:t>S</w:t>
            </w:r>
            <w:r w:rsidRPr="00DA08D9">
              <w:rPr>
                <w:sz w:val="16"/>
                <w:szCs w:val="16"/>
              </w:rPr>
              <w:t>tate.</w:t>
            </w:r>
            <w:r w:rsidR="005F7BE7" w:rsidRPr="00DA08D9">
              <w:rPr>
                <w:sz w:val="16"/>
                <w:szCs w:val="16"/>
              </w:rPr>
              <w:t xml:space="preserve"> </w:t>
            </w:r>
            <w:r w:rsidRPr="00DA08D9">
              <w:rPr>
                <w:sz w:val="16"/>
                <w:szCs w:val="16"/>
              </w:rPr>
              <w:t xml:space="preserve"> The implementation of DRIVES, which also include</w:t>
            </w:r>
            <w:r w:rsidR="005F7BE7" w:rsidRPr="00DA08D9">
              <w:rPr>
                <w:sz w:val="16"/>
                <w:szCs w:val="16"/>
              </w:rPr>
              <w:t>s</w:t>
            </w:r>
            <w:r w:rsidRPr="00DA08D9">
              <w:rPr>
                <w:sz w:val="16"/>
                <w:szCs w:val="16"/>
              </w:rPr>
              <w:t xml:space="preserve"> a new revenue collection system, account</w:t>
            </w:r>
            <w:r w:rsidR="005F7BE7" w:rsidRPr="00DA08D9">
              <w:rPr>
                <w:sz w:val="16"/>
                <w:szCs w:val="16"/>
              </w:rPr>
              <w:t>ed</w:t>
            </w:r>
            <w:r w:rsidRPr="00DA08D9">
              <w:rPr>
                <w:sz w:val="16"/>
                <w:szCs w:val="16"/>
              </w:rPr>
              <w:t xml:space="preserve"> for the variations in the amount of </w:t>
            </w:r>
            <w:r w:rsidR="005F7BE7" w:rsidRPr="00DA08D9">
              <w:rPr>
                <w:sz w:val="16"/>
                <w:szCs w:val="16"/>
              </w:rPr>
              <w:t xml:space="preserve">Bridge Surcharges collected </w:t>
            </w:r>
            <w:r w:rsidRPr="00DA08D9">
              <w:rPr>
                <w:sz w:val="16"/>
                <w:szCs w:val="16"/>
              </w:rPr>
              <w:t>from month</w:t>
            </w:r>
            <w:r w:rsidR="005F7BE7" w:rsidRPr="00DA08D9">
              <w:rPr>
                <w:sz w:val="16"/>
                <w:szCs w:val="16"/>
              </w:rPr>
              <w:t>-</w:t>
            </w:r>
            <w:r w:rsidRPr="00DA08D9">
              <w:rPr>
                <w:sz w:val="16"/>
                <w:szCs w:val="16"/>
              </w:rPr>
              <w:t xml:space="preserve"> t</w:t>
            </w:r>
            <w:r w:rsidR="005F7BE7" w:rsidRPr="00DA08D9">
              <w:rPr>
                <w:sz w:val="16"/>
                <w:szCs w:val="16"/>
              </w:rPr>
              <w:t>o-</w:t>
            </w:r>
            <w:r w:rsidRPr="00DA08D9">
              <w:rPr>
                <w:sz w:val="16"/>
                <w:szCs w:val="16"/>
              </w:rPr>
              <w:t xml:space="preserve"> month</w:t>
            </w:r>
            <w:r w:rsidR="005F7BE7" w:rsidRPr="00DA08D9">
              <w:rPr>
                <w:sz w:val="16"/>
                <w:szCs w:val="16"/>
              </w:rPr>
              <w:t xml:space="preserve"> as compared to collections in previous Fiscal Years</w:t>
            </w:r>
            <w:r w:rsidRPr="00DA08D9">
              <w:rPr>
                <w:sz w:val="16"/>
                <w:szCs w:val="16"/>
              </w:rPr>
              <w:t xml:space="preserve">. </w:t>
            </w:r>
          </w:p>
          <w:p w:rsidR="00FC6914" w:rsidRPr="007E1325" w:rsidRDefault="007E1325" w:rsidP="00885210">
            <w:pPr>
              <w:pStyle w:val="BodyText"/>
              <w:keepNext/>
              <w:keepLines/>
              <w:widowControl w:val="0"/>
              <w:spacing w:after="0"/>
              <w:ind w:firstLine="0"/>
              <w:rPr>
                <w:sz w:val="20"/>
              </w:rPr>
            </w:pPr>
            <w:r w:rsidRPr="00DA08D9">
              <w:rPr>
                <w:sz w:val="16"/>
                <w:szCs w:val="16"/>
              </w:rPr>
              <w:t>Source: Bridge Enterprise</w:t>
            </w:r>
          </w:p>
        </w:tc>
      </w:tr>
    </w:tbl>
    <w:p w:rsidR="002E4A0D" w:rsidRPr="009F3599" w:rsidRDefault="002E4A0D" w:rsidP="009F3599"/>
    <w:p w:rsidR="002E2232" w:rsidRDefault="002E2232" w:rsidP="00D7673D">
      <w:pPr>
        <w:pStyle w:val="Centered"/>
        <w:sectPr w:rsidR="002E2232" w:rsidSect="00086FB4">
          <w:headerReference w:type="even" r:id="rId32"/>
          <w:headerReference w:type="default" r:id="rId33"/>
          <w:footerReference w:type="even" r:id="rId34"/>
          <w:footerReference w:type="default" r:id="rId35"/>
          <w:headerReference w:type="first" r:id="rId36"/>
          <w:footerReference w:type="first" r:id="rId37"/>
          <w:footnotePr>
            <w:numFmt w:val="chicago"/>
            <w:numRestart w:val="eachPage"/>
          </w:footnotePr>
          <w:pgSz w:w="12240" w:h="15840" w:code="1"/>
          <w:pgMar w:top="1440" w:right="1440" w:bottom="1440" w:left="1440" w:header="720" w:footer="720" w:gutter="0"/>
          <w:pgNumType w:start="1"/>
          <w:cols w:space="720"/>
          <w:titlePg/>
          <w:docGrid w:linePitch="360"/>
        </w:sectPr>
      </w:pPr>
    </w:p>
    <w:p w:rsidR="0034208C" w:rsidRDefault="0034208C" w:rsidP="0034208C">
      <w:pPr>
        <w:pStyle w:val="Kutak1L2"/>
      </w:pPr>
      <w:bookmarkStart w:id="42" w:name="_Toc21694916"/>
      <w:r>
        <w:t>Historical Vehicle Registrations</w:t>
      </w:r>
      <w:bookmarkEnd w:id="42"/>
    </w:p>
    <w:p w:rsidR="0034208C" w:rsidRDefault="0034208C" w:rsidP="0034208C">
      <w:pPr>
        <w:pStyle w:val="BodyText"/>
      </w:pPr>
      <w:r>
        <w:t>The Bridge Surcharges became effective on and after July 1, 2009, for registration periods commencing on and after July 1, 2009.  Set forth below is information with respect to vehicle registrations in the State for the Fiscal Years ending June 30, 20</w:t>
      </w:r>
      <w:r w:rsidR="008B50A7">
        <w:t>10</w:t>
      </w:r>
      <w:r>
        <w:t xml:space="preserve"> through 201</w:t>
      </w:r>
      <w:r w:rsidR="006C52C7">
        <w:t>8</w:t>
      </w:r>
      <w:r w:rsidR="00B9250D">
        <w:t xml:space="preserve"> (the most recent Fiscal Year for which registration information is available)</w:t>
      </w:r>
      <w:r>
        <w:t>.  The registration information is set forth in the categories established by the State Department of Revenue, which do not correspond directly to the categories established by FASTER as described above under the caption “—Bridge Surcharges.”</w:t>
      </w:r>
    </w:p>
    <w:tbl>
      <w:tblPr>
        <w:tblStyle w:val="TableGrid"/>
        <w:tblW w:w="153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80"/>
        <w:gridCol w:w="731"/>
        <w:gridCol w:w="756"/>
        <w:gridCol w:w="1360"/>
        <w:gridCol w:w="1322"/>
        <w:gridCol w:w="955"/>
        <w:gridCol w:w="1159"/>
        <w:gridCol w:w="1166"/>
        <w:gridCol w:w="1068"/>
        <w:gridCol w:w="926"/>
        <w:gridCol w:w="1407"/>
        <w:gridCol w:w="1089"/>
        <w:gridCol w:w="869"/>
        <w:gridCol w:w="874"/>
        <w:gridCol w:w="970"/>
      </w:tblGrid>
      <w:tr w:rsidR="0034208C" w:rsidRPr="006A1EDA" w:rsidTr="00815CBE">
        <w:trPr>
          <w:jc w:val="center"/>
        </w:trPr>
        <w:tc>
          <w:tcPr>
            <w:tcW w:w="15332" w:type="dxa"/>
            <w:gridSpan w:val="15"/>
            <w:vAlign w:val="bottom"/>
          </w:tcPr>
          <w:p w:rsidR="0034208C" w:rsidRPr="00E2489A" w:rsidRDefault="004C28FB" w:rsidP="00815CBE">
            <w:pPr>
              <w:spacing w:after="240"/>
              <w:jc w:val="center"/>
            </w:pPr>
            <w:r w:rsidRPr="004C28FB">
              <w:rPr>
                <w:b/>
                <w:sz w:val="18"/>
                <w:szCs w:val="18"/>
              </w:rPr>
              <w:t>Colorado Bridge Enterprise</w:t>
            </w:r>
            <w:r w:rsidRPr="004C28FB">
              <w:rPr>
                <w:b/>
                <w:sz w:val="18"/>
                <w:szCs w:val="18"/>
              </w:rPr>
              <w:br/>
            </w:r>
            <w:r w:rsidR="0034208C" w:rsidRPr="004C28FB">
              <w:rPr>
                <w:b/>
                <w:sz w:val="18"/>
                <w:szCs w:val="18"/>
              </w:rPr>
              <w:t>Registered Vehicles by Type</w:t>
            </w:r>
            <w:r w:rsidR="004D1FBC" w:rsidRPr="004C28FB">
              <w:rPr>
                <w:b/>
                <w:sz w:val="18"/>
                <w:szCs w:val="18"/>
              </w:rPr>
              <w:br/>
            </w:r>
            <w:r w:rsidR="004D1FBC">
              <w:rPr>
                <w:b/>
                <w:sz w:val="18"/>
              </w:rPr>
              <w:t>Fiscal Years 20</w:t>
            </w:r>
            <w:r w:rsidR="00537D93">
              <w:rPr>
                <w:b/>
                <w:sz w:val="18"/>
              </w:rPr>
              <w:t>09-2018</w:t>
            </w:r>
          </w:p>
        </w:tc>
      </w:tr>
      <w:tr w:rsidR="0034208C" w:rsidRPr="002E2232" w:rsidTr="008B50A7">
        <w:trPr>
          <w:jc w:val="center"/>
        </w:trPr>
        <w:tc>
          <w:tcPr>
            <w:tcW w:w="680" w:type="dxa"/>
            <w:vAlign w:val="bottom"/>
          </w:tcPr>
          <w:p w:rsidR="0034208C" w:rsidRPr="002E2232" w:rsidRDefault="00827F27" w:rsidP="00815CBE">
            <w:pPr>
              <w:pBdr>
                <w:bottom w:val="single" w:sz="4" w:space="1" w:color="auto"/>
              </w:pBdr>
              <w:spacing w:after="120"/>
              <w:jc w:val="center"/>
              <w:rPr>
                <w:b/>
                <w:sz w:val="18"/>
                <w:szCs w:val="18"/>
              </w:rPr>
            </w:pPr>
            <w:r>
              <w:rPr>
                <w:b/>
                <w:sz w:val="18"/>
                <w:szCs w:val="18"/>
              </w:rPr>
              <w:t>Fiscal</w:t>
            </w:r>
            <w:r>
              <w:rPr>
                <w:b/>
                <w:sz w:val="18"/>
                <w:szCs w:val="18"/>
              </w:rPr>
              <w:br/>
            </w:r>
            <w:r w:rsidR="0034208C" w:rsidRPr="002E2232">
              <w:rPr>
                <w:b/>
                <w:sz w:val="18"/>
                <w:szCs w:val="18"/>
              </w:rPr>
              <w:t>Year</w:t>
            </w:r>
          </w:p>
        </w:tc>
        <w:tc>
          <w:tcPr>
            <w:tcW w:w="731"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Bus</w:t>
            </w:r>
          </w:p>
        </w:tc>
        <w:tc>
          <w:tcPr>
            <w:tcW w:w="756"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Dealer</w:t>
            </w:r>
          </w:p>
        </w:tc>
        <w:tc>
          <w:tcPr>
            <w:tcW w:w="1360"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Farm Truck/Tractor</w:t>
            </w:r>
          </w:p>
        </w:tc>
        <w:tc>
          <w:tcPr>
            <w:tcW w:w="1322"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G</w:t>
            </w:r>
            <w:r w:rsidR="00815CBE">
              <w:rPr>
                <w:b/>
                <w:sz w:val="18"/>
                <w:szCs w:val="18"/>
              </w:rPr>
              <w:t>ross Vehicle Mass</w:t>
            </w:r>
            <w:r w:rsidRPr="002E2232">
              <w:rPr>
                <w:b/>
                <w:sz w:val="18"/>
                <w:szCs w:val="18"/>
              </w:rPr>
              <w:t xml:space="preserve"> Truck/Trailer</w:t>
            </w:r>
          </w:p>
        </w:tc>
        <w:tc>
          <w:tcPr>
            <w:tcW w:w="955"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Light Truck</w:t>
            </w:r>
          </w:p>
        </w:tc>
        <w:tc>
          <w:tcPr>
            <w:tcW w:w="1159"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Motorcycle</w:t>
            </w:r>
          </w:p>
        </w:tc>
        <w:tc>
          <w:tcPr>
            <w:tcW w:w="1166"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Motorhome</w:t>
            </w:r>
          </w:p>
        </w:tc>
        <w:tc>
          <w:tcPr>
            <w:tcW w:w="1068"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Passenger</w:t>
            </w:r>
          </w:p>
        </w:tc>
        <w:tc>
          <w:tcPr>
            <w:tcW w:w="926"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Public Utility</w:t>
            </w:r>
          </w:p>
        </w:tc>
        <w:tc>
          <w:tcPr>
            <w:tcW w:w="1407"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Recreational Truck</w:t>
            </w:r>
          </w:p>
        </w:tc>
        <w:tc>
          <w:tcPr>
            <w:tcW w:w="1089"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Special Mobile Machinery</w:t>
            </w:r>
          </w:p>
        </w:tc>
        <w:tc>
          <w:tcPr>
            <w:tcW w:w="869"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Special Use Truck</w:t>
            </w:r>
          </w:p>
        </w:tc>
        <w:tc>
          <w:tcPr>
            <w:tcW w:w="874"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Trailer</w:t>
            </w:r>
          </w:p>
        </w:tc>
        <w:tc>
          <w:tcPr>
            <w:tcW w:w="970" w:type="dxa"/>
            <w:vAlign w:val="bottom"/>
          </w:tcPr>
          <w:p w:rsidR="0034208C" w:rsidRPr="002E2232" w:rsidRDefault="0034208C" w:rsidP="00815CBE">
            <w:pPr>
              <w:pBdr>
                <w:bottom w:val="single" w:sz="4" w:space="1" w:color="auto"/>
              </w:pBdr>
              <w:spacing w:after="120"/>
              <w:jc w:val="center"/>
              <w:rPr>
                <w:b/>
                <w:sz w:val="18"/>
                <w:szCs w:val="18"/>
              </w:rPr>
            </w:pPr>
            <w:r w:rsidRPr="002E2232">
              <w:rPr>
                <w:b/>
                <w:sz w:val="18"/>
                <w:szCs w:val="18"/>
              </w:rPr>
              <w:t>Total</w:t>
            </w:r>
          </w:p>
        </w:tc>
      </w:tr>
      <w:tr w:rsidR="006C52C7" w:rsidRPr="002E2232" w:rsidTr="008B50A7">
        <w:trPr>
          <w:jc w:val="center"/>
        </w:trPr>
        <w:tc>
          <w:tcPr>
            <w:tcW w:w="680" w:type="dxa"/>
            <w:vAlign w:val="bottom"/>
          </w:tcPr>
          <w:p w:rsidR="006C52C7" w:rsidRDefault="006C52C7" w:rsidP="0034208C">
            <w:pPr>
              <w:jc w:val="center"/>
              <w:rPr>
                <w:sz w:val="18"/>
                <w:szCs w:val="18"/>
              </w:rPr>
            </w:pPr>
            <w:r>
              <w:rPr>
                <w:sz w:val="18"/>
                <w:szCs w:val="18"/>
              </w:rPr>
              <w:t>2010</w:t>
            </w:r>
          </w:p>
        </w:tc>
        <w:tc>
          <w:tcPr>
            <w:tcW w:w="731" w:type="dxa"/>
          </w:tcPr>
          <w:p w:rsidR="006C52C7" w:rsidRDefault="006C52C7" w:rsidP="00815CBE">
            <w:pPr>
              <w:jc w:val="center"/>
              <w:rPr>
                <w:sz w:val="18"/>
                <w:szCs w:val="18"/>
              </w:rPr>
            </w:pPr>
            <w:r>
              <w:rPr>
                <w:sz w:val="18"/>
                <w:szCs w:val="18"/>
              </w:rPr>
              <w:t>11,269</w:t>
            </w:r>
          </w:p>
        </w:tc>
        <w:tc>
          <w:tcPr>
            <w:tcW w:w="756" w:type="dxa"/>
          </w:tcPr>
          <w:p w:rsidR="006C52C7" w:rsidRDefault="006C52C7" w:rsidP="00815CBE">
            <w:pPr>
              <w:jc w:val="center"/>
              <w:rPr>
                <w:sz w:val="18"/>
                <w:szCs w:val="18"/>
              </w:rPr>
            </w:pPr>
            <w:r>
              <w:rPr>
                <w:sz w:val="18"/>
                <w:szCs w:val="18"/>
              </w:rPr>
              <w:t>25,852</w:t>
            </w:r>
          </w:p>
        </w:tc>
        <w:tc>
          <w:tcPr>
            <w:tcW w:w="1360" w:type="dxa"/>
          </w:tcPr>
          <w:p w:rsidR="006C52C7" w:rsidRDefault="006C52C7" w:rsidP="00815CBE">
            <w:pPr>
              <w:jc w:val="center"/>
              <w:rPr>
                <w:sz w:val="18"/>
                <w:szCs w:val="18"/>
              </w:rPr>
            </w:pPr>
            <w:r>
              <w:rPr>
                <w:sz w:val="18"/>
                <w:szCs w:val="18"/>
              </w:rPr>
              <w:t>69,742</w:t>
            </w:r>
          </w:p>
        </w:tc>
        <w:tc>
          <w:tcPr>
            <w:tcW w:w="1322" w:type="dxa"/>
          </w:tcPr>
          <w:p w:rsidR="006C52C7" w:rsidRDefault="006C52C7" w:rsidP="00815CBE">
            <w:pPr>
              <w:jc w:val="center"/>
              <w:rPr>
                <w:sz w:val="18"/>
                <w:szCs w:val="18"/>
              </w:rPr>
            </w:pPr>
            <w:r>
              <w:rPr>
                <w:sz w:val="18"/>
                <w:szCs w:val="18"/>
              </w:rPr>
              <w:t>26,815</w:t>
            </w:r>
          </w:p>
        </w:tc>
        <w:tc>
          <w:tcPr>
            <w:tcW w:w="955" w:type="dxa"/>
          </w:tcPr>
          <w:p w:rsidR="006C52C7" w:rsidRDefault="007F23CA" w:rsidP="007F23CA">
            <w:pPr>
              <w:tabs>
                <w:tab w:val="decimal" w:pos="725"/>
              </w:tabs>
              <w:rPr>
                <w:sz w:val="18"/>
                <w:szCs w:val="18"/>
              </w:rPr>
            </w:pPr>
            <w:r>
              <w:rPr>
                <w:sz w:val="18"/>
                <w:szCs w:val="18"/>
              </w:rPr>
              <w:t>873,522</w:t>
            </w:r>
          </w:p>
        </w:tc>
        <w:tc>
          <w:tcPr>
            <w:tcW w:w="1159" w:type="dxa"/>
          </w:tcPr>
          <w:p w:rsidR="006C52C7" w:rsidRDefault="007F23CA" w:rsidP="00815CBE">
            <w:pPr>
              <w:jc w:val="center"/>
              <w:rPr>
                <w:sz w:val="18"/>
                <w:szCs w:val="18"/>
              </w:rPr>
            </w:pPr>
            <w:r>
              <w:rPr>
                <w:sz w:val="18"/>
                <w:szCs w:val="18"/>
              </w:rPr>
              <w:t>176,855</w:t>
            </w:r>
          </w:p>
        </w:tc>
        <w:tc>
          <w:tcPr>
            <w:tcW w:w="1166" w:type="dxa"/>
          </w:tcPr>
          <w:p w:rsidR="006C52C7" w:rsidRDefault="007F23CA" w:rsidP="00815CBE">
            <w:pPr>
              <w:jc w:val="center"/>
              <w:rPr>
                <w:sz w:val="18"/>
                <w:szCs w:val="18"/>
              </w:rPr>
            </w:pPr>
            <w:r>
              <w:rPr>
                <w:sz w:val="18"/>
                <w:szCs w:val="18"/>
              </w:rPr>
              <w:t>33,429</w:t>
            </w:r>
          </w:p>
        </w:tc>
        <w:tc>
          <w:tcPr>
            <w:tcW w:w="1068" w:type="dxa"/>
          </w:tcPr>
          <w:p w:rsidR="006C52C7" w:rsidRDefault="007F23CA" w:rsidP="00815CBE">
            <w:pPr>
              <w:jc w:val="center"/>
              <w:rPr>
                <w:sz w:val="18"/>
                <w:szCs w:val="18"/>
              </w:rPr>
            </w:pPr>
            <w:r>
              <w:rPr>
                <w:sz w:val="18"/>
                <w:szCs w:val="18"/>
              </w:rPr>
              <w:t>3,177,171</w:t>
            </w:r>
          </w:p>
        </w:tc>
        <w:tc>
          <w:tcPr>
            <w:tcW w:w="926" w:type="dxa"/>
          </w:tcPr>
          <w:p w:rsidR="006C52C7" w:rsidRDefault="007F23CA" w:rsidP="00815CBE">
            <w:pPr>
              <w:jc w:val="center"/>
              <w:rPr>
                <w:sz w:val="18"/>
                <w:szCs w:val="18"/>
              </w:rPr>
            </w:pPr>
            <w:r>
              <w:rPr>
                <w:sz w:val="18"/>
                <w:szCs w:val="18"/>
              </w:rPr>
              <w:t>398</w:t>
            </w:r>
          </w:p>
        </w:tc>
        <w:tc>
          <w:tcPr>
            <w:tcW w:w="1407" w:type="dxa"/>
          </w:tcPr>
          <w:p w:rsidR="006C52C7" w:rsidRDefault="007F23CA" w:rsidP="00815CBE">
            <w:pPr>
              <w:jc w:val="center"/>
              <w:rPr>
                <w:sz w:val="18"/>
                <w:szCs w:val="18"/>
              </w:rPr>
            </w:pPr>
            <w:r>
              <w:rPr>
                <w:sz w:val="18"/>
                <w:szCs w:val="18"/>
              </w:rPr>
              <w:t>52,819</w:t>
            </w:r>
          </w:p>
        </w:tc>
        <w:tc>
          <w:tcPr>
            <w:tcW w:w="1089" w:type="dxa"/>
          </w:tcPr>
          <w:p w:rsidR="006C52C7" w:rsidRDefault="007F23CA" w:rsidP="007F23CA">
            <w:pPr>
              <w:tabs>
                <w:tab w:val="decimal" w:pos="676"/>
              </w:tabs>
              <w:rPr>
                <w:sz w:val="18"/>
                <w:szCs w:val="18"/>
              </w:rPr>
            </w:pPr>
            <w:r>
              <w:rPr>
                <w:sz w:val="18"/>
                <w:szCs w:val="18"/>
              </w:rPr>
              <w:t>70,979</w:t>
            </w:r>
          </w:p>
        </w:tc>
        <w:tc>
          <w:tcPr>
            <w:tcW w:w="869" w:type="dxa"/>
          </w:tcPr>
          <w:p w:rsidR="006C52C7" w:rsidRDefault="007F23CA" w:rsidP="00815CBE">
            <w:pPr>
              <w:jc w:val="center"/>
              <w:rPr>
                <w:sz w:val="18"/>
                <w:szCs w:val="18"/>
              </w:rPr>
            </w:pPr>
            <w:r>
              <w:rPr>
                <w:sz w:val="18"/>
                <w:szCs w:val="18"/>
              </w:rPr>
              <w:t>3,929</w:t>
            </w:r>
          </w:p>
        </w:tc>
        <w:tc>
          <w:tcPr>
            <w:tcW w:w="874" w:type="dxa"/>
          </w:tcPr>
          <w:p w:rsidR="006C52C7" w:rsidRDefault="007F23CA" w:rsidP="00815CBE">
            <w:pPr>
              <w:jc w:val="center"/>
              <w:rPr>
                <w:sz w:val="18"/>
                <w:szCs w:val="18"/>
              </w:rPr>
            </w:pPr>
            <w:r>
              <w:rPr>
                <w:sz w:val="18"/>
                <w:szCs w:val="18"/>
              </w:rPr>
              <w:t>584,753</w:t>
            </w:r>
          </w:p>
        </w:tc>
        <w:tc>
          <w:tcPr>
            <w:tcW w:w="970" w:type="dxa"/>
          </w:tcPr>
          <w:p w:rsidR="006C52C7" w:rsidRDefault="00537D93" w:rsidP="00815CBE">
            <w:pPr>
              <w:jc w:val="center"/>
              <w:rPr>
                <w:sz w:val="18"/>
                <w:szCs w:val="18"/>
              </w:rPr>
            </w:pPr>
            <w:r>
              <w:rPr>
                <w:sz w:val="18"/>
                <w:szCs w:val="18"/>
              </w:rPr>
              <w:t>5,107,533</w:t>
            </w:r>
          </w:p>
        </w:tc>
      </w:tr>
      <w:tr w:rsidR="006C52C7" w:rsidRPr="002E2232" w:rsidTr="008B50A7">
        <w:trPr>
          <w:jc w:val="center"/>
        </w:trPr>
        <w:tc>
          <w:tcPr>
            <w:tcW w:w="680" w:type="dxa"/>
            <w:vAlign w:val="bottom"/>
          </w:tcPr>
          <w:p w:rsidR="006C52C7" w:rsidRDefault="006C52C7" w:rsidP="0034208C">
            <w:pPr>
              <w:jc w:val="center"/>
              <w:rPr>
                <w:sz w:val="18"/>
                <w:szCs w:val="18"/>
              </w:rPr>
            </w:pPr>
            <w:r>
              <w:rPr>
                <w:sz w:val="18"/>
                <w:szCs w:val="18"/>
              </w:rPr>
              <w:t>2011</w:t>
            </w:r>
          </w:p>
        </w:tc>
        <w:tc>
          <w:tcPr>
            <w:tcW w:w="731" w:type="dxa"/>
          </w:tcPr>
          <w:p w:rsidR="006C52C7" w:rsidRDefault="006C52C7" w:rsidP="00815CBE">
            <w:pPr>
              <w:jc w:val="center"/>
              <w:rPr>
                <w:sz w:val="18"/>
                <w:szCs w:val="18"/>
              </w:rPr>
            </w:pPr>
            <w:r>
              <w:rPr>
                <w:sz w:val="18"/>
                <w:szCs w:val="18"/>
              </w:rPr>
              <w:t>11,560</w:t>
            </w:r>
          </w:p>
        </w:tc>
        <w:tc>
          <w:tcPr>
            <w:tcW w:w="756" w:type="dxa"/>
          </w:tcPr>
          <w:p w:rsidR="006C52C7" w:rsidRDefault="006C52C7" w:rsidP="00815CBE">
            <w:pPr>
              <w:jc w:val="center"/>
              <w:rPr>
                <w:sz w:val="18"/>
                <w:szCs w:val="18"/>
              </w:rPr>
            </w:pPr>
            <w:r>
              <w:rPr>
                <w:sz w:val="18"/>
                <w:szCs w:val="18"/>
              </w:rPr>
              <w:t>25,511</w:t>
            </w:r>
          </w:p>
        </w:tc>
        <w:tc>
          <w:tcPr>
            <w:tcW w:w="1360" w:type="dxa"/>
          </w:tcPr>
          <w:p w:rsidR="006C52C7" w:rsidRDefault="006C52C7" w:rsidP="00815CBE">
            <w:pPr>
              <w:jc w:val="center"/>
              <w:rPr>
                <w:sz w:val="18"/>
                <w:szCs w:val="18"/>
              </w:rPr>
            </w:pPr>
            <w:r>
              <w:rPr>
                <w:sz w:val="18"/>
                <w:szCs w:val="18"/>
              </w:rPr>
              <w:t>69,761</w:t>
            </w:r>
          </w:p>
        </w:tc>
        <w:tc>
          <w:tcPr>
            <w:tcW w:w="1322" w:type="dxa"/>
          </w:tcPr>
          <w:p w:rsidR="006C52C7" w:rsidRDefault="007F23CA" w:rsidP="00815CBE">
            <w:pPr>
              <w:jc w:val="center"/>
              <w:rPr>
                <w:sz w:val="18"/>
                <w:szCs w:val="18"/>
              </w:rPr>
            </w:pPr>
            <w:r>
              <w:rPr>
                <w:sz w:val="18"/>
                <w:szCs w:val="18"/>
              </w:rPr>
              <w:t>27,389</w:t>
            </w:r>
          </w:p>
        </w:tc>
        <w:tc>
          <w:tcPr>
            <w:tcW w:w="955" w:type="dxa"/>
          </w:tcPr>
          <w:p w:rsidR="006C52C7" w:rsidRDefault="007F23CA" w:rsidP="007F23CA">
            <w:pPr>
              <w:tabs>
                <w:tab w:val="decimal" w:pos="725"/>
              </w:tabs>
              <w:rPr>
                <w:sz w:val="18"/>
                <w:szCs w:val="18"/>
              </w:rPr>
            </w:pPr>
            <w:r>
              <w:rPr>
                <w:sz w:val="18"/>
                <w:szCs w:val="18"/>
              </w:rPr>
              <w:t>883,067</w:t>
            </w:r>
          </w:p>
        </w:tc>
        <w:tc>
          <w:tcPr>
            <w:tcW w:w="1159" w:type="dxa"/>
          </w:tcPr>
          <w:p w:rsidR="006C52C7" w:rsidRDefault="007F23CA" w:rsidP="00815CBE">
            <w:pPr>
              <w:jc w:val="center"/>
              <w:rPr>
                <w:sz w:val="18"/>
                <w:szCs w:val="18"/>
              </w:rPr>
            </w:pPr>
            <w:r>
              <w:rPr>
                <w:sz w:val="18"/>
                <w:szCs w:val="18"/>
              </w:rPr>
              <w:t>184,174</w:t>
            </w:r>
          </w:p>
        </w:tc>
        <w:tc>
          <w:tcPr>
            <w:tcW w:w="1166" w:type="dxa"/>
          </w:tcPr>
          <w:p w:rsidR="006C52C7" w:rsidRDefault="007F23CA" w:rsidP="00815CBE">
            <w:pPr>
              <w:jc w:val="center"/>
              <w:rPr>
                <w:sz w:val="18"/>
                <w:szCs w:val="18"/>
              </w:rPr>
            </w:pPr>
            <w:r>
              <w:rPr>
                <w:sz w:val="18"/>
                <w:szCs w:val="18"/>
              </w:rPr>
              <w:t>32,188</w:t>
            </w:r>
          </w:p>
        </w:tc>
        <w:tc>
          <w:tcPr>
            <w:tcW w:w="1068" w:type="dxa"/>
          </w:tcPr>
          <w:p w:rsidR="006C52C7" w:rsidRDefault="007F23CA" w:rsidP="00815CBE">
            <w:pPr>
              <w:jc w:val="center"/>
              <w:rPr>
                <w:sz w:val="18"/>
                <w:szCs w:val="18"/>
              </w:rPr>
            </w:pPr>
            <w:r>
              <w:rPr>
                <w:sz w:val="18"/>
                <w:szCs w:val="18"/>
              </w:rPr>
              <w:t>3,262,106</w:t>
            </w:r>
          </w:p>
        </w:tc>
        <w:tc>
          <w:tcPr>
            <w:tcW w:w="926" w:type="dxa"/>
          </w:tcPr>
          <w:p w:rsidR="006C52C7" w:rsidRDefault="007F23CA" w:rsidP="00815CBE">
            <w:pPr>
              <w:jc w:val="center"/>
              <w:rPr>
                <w:sz w:val="18"/>
                <w:szCs w:val="18"/>
              </w:rPr>
            </w:pPr>
            <w:r>
              <w:rPr>
                <w:sz w:val="18"/>
                <w:szCs w:val="18"/>
              </w:rPr>
              <w:t>361</w:t>
            </w:r>
          </w:p>
        </w:tc>
        <w:tc>
          <w:tcPr>
            <w:tcW w:w="1407" w:type="dxa"/>
          </w:tcPr>
          <w:p w:rsidR="006C52C7" w:rsidRDefault="007F23CA" w:rsidP="00815CBE">
            <w:pPr>
              <w:jc w:val="center"/>
              <w:rPr>
                <w:sz w:val="18"/>
                <w:szCs w:val="18"/>
              </w:rPr>
            </w:pPr>
            <w:r>
              <w:rPr>
                <w:sz w:val="18"/>
                <w:szCs w:val="18"/>
              </w:rPr>
              <w:t>55,504</w:t>
            </w:r>
          </w:p>
        </w:tc>
        <w:tc>
          <w:tcPr>
            <w:tcW w:w="1089" w:type="dxa"/>
          </w:tcPr>
          <w:p w:rsidR="006C52C7" w:rsidRDefault="007F23CA" w:rsidP="007F23CA">
            <w:pPr>
              <w:tabs>
                <w:tab w:val="decimal" w:pos="676"/>
              </w:tabs>
              <w:rPr>
                <w:sz w:val="18"/>
                <w:szCs w:val="18"/>
              </w:rPr>
            </w:pPr>
            <w:r>
              <w:rPr>
                <w:sz w:val="18"/>
                <w:szCs w:val="18"/>
              </w:rPr>
              <w:t>80,079</w:t>
            </w:r>
          </w:p>
        </w:tc>
        <w:tc>
          <w:tcPr>
            <w:tcW w:w="869" w:type="dxa"/>
          </w:tcPr>
          <w:p w:rsidR="006C52C7" w:rsidRDefault="007F23CA" w:rsidP="00815CBE">
            <w:pPr>
              <w:jc w:val="center"/>
              <w:rPr>
                <w:sz w:val="18"/>
                <w:szCs w:val="18"/>
              </w:rPr>
            </w:pPr>
            <w:r>
              <w:rPr>
                <w:sz w:val="18"/>
                <w:szCs w:val="18"/>
              </w:rPr>
              <w:t>4,042</w:t>
            </w:r>
          </w:p>
        </w:tc>
        <w:tc>
          <w:tcPr>
            <w:tcW w:w="874" w:type="dxa"/>
          </w:tcPr>
          <w:p w:rsidR="006C52C7" w:rsidRDefault="007F23CA" w:rsidP="00815CBE">
            <w:pPr>
              <w:jc w:val="center"/>
              <w:rPr>
                <w:sz w:val="18"/>
                <w:szCs w:val="18"/>
              </w:rPr>
            </w:pPr>
            <w:r>
              <w:rPr>
                <w:sz w:val="18"/>
                <w:szCs w:val="18"/>
              </w:rPr>
              <w:t>586,471</w:t>
            </w:r>
          </w:p>
        </w:tc>
        <w:tc>
          <w:tcPr>
            <w:tcW w:w="970" w:type="dxa"/>
          </w:tcPr>
          <w:p w:rsidR="006C52C7" w:rsidRDefault="00537D93" w:rsidP="00815CBE">
            <w:pPr>
              <w:jc w:val="center"/>
              <w:rPr>
                <w:sz w:val="18"/>
                <w:szCs w:val="18"/>
              </w:rPr>
            </w:pPr>
            <w:r>
              <w:rPr>
                <w:sz w:val="18"/>
                <w:szCs w:val="18"/>
              </w:rPr>
              <w:t>5,222,213</w:t>
            </w:r>
          </w:p>
        </w:tc>
      </w:tr>
      <w:tr w:rsidR="006C52C7" w:rsidRPr="002E2232" w:rsidTr="008B50A7">
        <w:trPr>
          <w:jc w:val="center"/>
        </w:trPr>
        <w:tc>
          <w:tcPr>
            <w:tcW w:w="680" w:type="dxa"/>
            <w:vAlign w:val="bottom"/>
          </w:tcPr>
          <w:p w:rsidR="006C52C7" w:rsidRDefault="006C52C7" w:rsidP="0034208C">
            <w:pPr>
              <w:jc w:val="center"/>
              <w:rPr>
                <w:sz w:val="18"/>
                <w:szCs w:val="18"/>
              </w:rPr>
            </w:pPr>
            <w:r>
              <w:rPr>
                <w:sz w:val="18"/>
                <w:szCs w:val="18"/>
              </w:rPr>
              <w:t>2012</w:t>
            </w:r>
          </w:p>
        </w:tc>
        <w:tc>
          <w:tcPr>
            <w:tcW w:w="731" w:type="dxa"/>
          </w:tcPr>
          <w:p w:rsidR="006C52C7" w:rsidRDefault="006C52C7" w:rsidP="00815CBE">
            <w:pPr>
              <w:jc w:val="center"/>
              <w:rPr>
                <w:sz w:val="18"/>
                <w:szCs w:val="18"/>
              </w:rPr>
            </w:pPr>
            <w:r>
              <w:rPr>
                <w:sz w:val="18"/>
                <w:szCs w:val="18"/>
              </w:rPr>
              <w:t>11,560</w:t>
            </w:r>
          </w:p>
        </w:tc>
        <w:tc>
          <w:tcPr>
            <w:tcW w:w="756" w:type="dxa"/>
          </w:tcPr>
          <w:p w:rsidR="006C52C7" w:rsidRDefault="006C52C7" w:rsidP="00815CBE">
            <w:pPr>
              <w:jc w:val="center"/>
              <w:rPr>
                <w:sz w:val="18"/>
                <w:szCs w:val="18"/>
              </w:rPr>
            </w:pPr>
            <w:r>
              <w:rPr>
                <w:sz w:val="18"/>
                <w:szCs w:val="18"/>
              </w:rPr>
              <w:t>25,511</w:t>
            </w:r>
          </w:p>
        </w:tc>
        <w:tc>
          <w:tcPr>
            <w:tcW w:w="1360" w:type="dxa"/>
          </w:tcPr>
          <w:p w:rsidR="006C52C7" w:rsidRDefault="006C52C7" w:rsidP="00815CBE">
            <w:pPr>
              <w:jc w:val="center"/>
              <w:rPr>
                <w:sz w:val="18"/>
                <w:szCs w:val="18"/>
              </w:rPr>
            </w:pPr>
            <w:r>
              <w:rPr>
                <w:sz w:val="18"/>
                <w:szCs w:val="18"/>
              </w:rPr>
              <w:t>69,761</w:t>
            </w:r>
          </w:p>
        </w:tc>
        <w:tc>
          <w:tcPr>
            <w:tcW w:w="1322" w:type="dxa"/>
          </w:tcPr>
          <w:p w:rsidR="006C52C7" w:rsidRDefault="007F23CA" w:rsidP="00815CBE">
            <w:pPr>
              <w:jc w:val="center"/>
              <w:rPr>
                <w:sz w:val="18"/>
                <w:szCs w:val="18"/>
              </w:rPr>
            </w:pPr>
            <w:r>
              <w:rPr>
                <w:sz w:val="18"/>
                <w:szCs w:val="18"/>
              </w:rPr>
              <w:t>27,389</w:t>
            </w:r>
          </w:p>
        </w:tc>
        <w:tc>
          <w:tcPr>
            <w:tcW w:w="955" w:type="dxa"/>
          </w:tcPr>
          <w:p w:rsidR="006C52C7" w:rsidRDefault="007F23CA" w:rsidP="007F23CA">
            <w:pPr>
              <w:tabs>
                <w:tab w:val="decimal" w:pos="725"/>
              </w:tabs>
              <w:rPr>
                <w:sz w:val="18"/>
                <w:szCs w:val="18"/>
              </w:rPr>
            </w:pPr>
            <w:r>
              <w:rPr>
                <w:sz w:val="18"/>
                <w:szCs w:val="18"/>
              </w:rPr>
              <w:t>883,067</w:t>
            </w:r>
          </w:p>
        </w:tc>
        <w:tc>
          <w:tcPr>
            <w:tcW w:w="1159" w:type="dxa"/>
          </w:tcPr>
          <w:p w:rsidR="006C52C7" w:rsidRDefault="007F23CA" w:rsidP="00815CBE">
            <w:pPr>
              <w:jc w:val="center"/>
              <w:rPr>
                <w:sz w:val="18"/>
                <w:szCs w:val="18"/>
              </w:rPr>
            </w:pPr>
            <w:r>
              <w:rPr>
                <w:sz w:val="18"/>
                <w:szCs w:val="18"/>
              </w:rPr>
              <w:t>184,174</w:t>
            </w:r>
          </w:p>
        </w:tc>
        <w:tc>
          <w:tcPr>
            <w:tcW w:w="1166" w:type="dxa"/>
          </w:tcPr>
          <w:p w:rsidR="006C52C7" w:rsidRDefault="007F23CA" w:rsidP="00815CBE">
            <w:pPr>
              <w:jc w:val="center"/>
              <w:rPr>
                <w:sz w:val="18"/>
                <w:szCs w:val="18"/>
              </w:rPr>
            </w:pPr>
            <w:r>
              <w:rPr>
                <w:sz w:val="18"/>
                <w:szCs w:val="18"/>
              </w:rPr>
              <w:t>32,188</w:t>
            </w:r>
          </w:p>
        </w:tc>
        <w:tc>
          <w:tcPr>
            <w:tcW w:w="1068" w:type="dxa"/>
          </w:tcPr>
          <w:p w:rsidR="006C52C7" w:rsidRDefault="007F23CA" w:rsidP="00815CBE">
            <w:pPr>
              <w:jc w:val="center"/>
              <w:rPr>
                <w:sz w:val="18"/>
                <w:szCs w:val="18"/>
              </w:rPr>
            </w:pPr>
            <w:r>
              <w:rPr>
                <w:sz w:val="18"/>
                <w:szCs w:val="18"/>
              </w:rPr>
              <w:t>3,262,106</w:t>
            </w:r>
          </w:p>
        </w:tc>
        <w:tc>
          <w:tcPr>
            <w:tcW w:w="926" w:type="dxa"/>
          </w:tcPr>
          <w:p w:rsidR="006C52C7" w:rsidRDefault="007F23CA" w:rsidP="00815CBE">
            <w:pPr>
              <w:jc w:val="center"/>
              <w:rPr>
                <w:sz w:val="18"/>
                <w:szCs w:val="18"/>
              </w:rPr>
            </w:pPr>
            <w:r>
              <w:rPr>
                <w:sz w:val="18"/>
                <w:szCs w:val="18"/>
              </w:rPr>
              <w:t>361</w:t>
            </w:r>
          </w:p>
        </w:tc>
        <w:tc>
          <w:tcPr>
            <w:tcW w:w="1407" w:type="dxa"/>
          </w:tcPr>
          <w:p w:rsidR="006C52C7" w:rsidRDefault="007F23CA" w:rsidP="00815CBE">
            <w:pPr>
              <w:jc w:val="center"/>
              <w:rPr>
                <w:sz w:val="18"/>
                <w:szCs w:val="18"/>
              </w:rPr>
            </w:pPr>
            <w:r>
              <w:rPr>
                <w:sz w:val="18"/>
                <w:szCs w:val="18"/>
              </w:rPr>
              <w:t>55,504</w:t>
            </w:r>
          </w:p>
        </w:tc>
        <w:tc>
          <w:tcPr>
            <w:tcW w:w="1089" w:type="dxa"/>
          </w:tcPr>
          <w:p w:rsidR="006C52C7" w:rsidRDefault="007F23CA" w:rsidP="007F23CA">
            <w:pPr>
              <w:tabs>
                <w:tab w:val="decimal" w:pos="676"/>
              </w:tabs>
              <w:rPr>
                <w:sz w:val="18"/>
                <w:szCs w:val="18"/>
              </w:rPr>
            </w:pPr>
            <w:r>
              <w:rPr>
                <w:sz w:val="18"/>
                <w:szCs w:val="18"/>
              </w:rPr>
              <w:t>80,079</w:t>
            </w:r>
          </w:p>
        </w:tc>
        <w:tc>
          <w:tcPr>
            <w:tcW w:w="869" w:type="dxa"/>
          </w:tcPr>
          <w:p w:rsidR="006C52C7" w:rsidRDefault="007F23CA" w:rsidP="00815CBE">
            <w:pPr>
              <w:jc w:val="center"/>
              <w:rPr>
                <w:sz w:val="18"/>
                <w:szCs w:val="18"/>
              </w:rPr>
            </w:pPr>
            <w:r>
              <w:rPr>
                <w:sz w:val="18"/>
                <w:szCs w:val="18"/>
              </w:rPr>
              <w:t>4,042</w:t>
            </w:r>
          </w:p>
        </w:tc>
        <w:tc>
          <w:tcPr>
            <w:tcW w:w="874" w:type="dxa"/>
          </w:tcPr>
          <w:p w:rsidR="006C52C7" w:rsidRDefault="007F23CA" w:rsidP="00815CBE">
            <w:pPr>
              <w:jc w:val="center"/>
              <w:rPr>
                <w:sz w:val="18"/>
                <w:szCs w:val="18"/>
              </w:rPr>
            </w:pPr>
            <w:r>
              <w:rPr>
                <w:sz w:val="18"/>
                <w:szCs w:val="18"/>
              </w:rPr>
              <w:t>586,471</w:t>
            </w:r>
          </w:p>
        </w:tc>
        <w:tc>
          <w:tcPr>
            <w:tcW w:w="970" w:type="dxa"/>
          </w:tcPr>
          <w:p w:rsidR="006C52C7" w:rsidRDefault="00537D93" w:rsidP="00815CBE">
            <w:pPr>
              <w:jc w:val="center"/>
              <w:rPr>
                <w:sz w:val="18"/>
                <w:szCs w:val="18"/>
              </w:rPr>
            </w:pPr>
            <w:r>
              <w:rPr>
                <w:sz w:val="18"/>
                <w:szCs w:val="18"/>
              </w:rPr>
              <w:t>5,222,213</w:t>
            </w:r>
          </w:p>
        </w:tc>
      </w:tr>
      <w:tr w:rsidR="006C52C7" w:rsidRPr="002E2232" w:rsidTr="008B50A7">
        <w:trPr>
          <w:jc w:val="center"/>
        </w:trPr>
        <w:tc>
          <w:tcPr>
            <w:tcW w:w="680" w:type="dxa"/>
            <w:vAlign w:val="bottom"/>
          </w:tcPr>
          <w:p w:rsidR="006C52C7" w:rsidRDefault="006C52C7" w:rsidP="0034208C">
            <w:pPr>
              <w:jc w:val="center"/>
              <w:rPr>
                <w:sz w:val="18"/>
                <w:szCs w:val="18"/>
              </w:rPr>
            </w:pPr>
            <w:r>
              <w:rPr>
                <w:sz w:val="18"/>
                <w:szCs w:val="18"/>
              </w:rPr>
              <w:t>2013</w:t>
            </w:r>
          </w:p>
        </w:tc>
        <w:tc>
          <w:tcPr>
            <w:tcW w:w="731" w:type="dxa"/>
          </w:tcPr>
          <w:p w:rsidR="006C52C7" w:rsidRDefault="006C52C7" w:rsidP="00815CBE">
            <w:pPr>
              <w:jc w:val="center"/>
              <w:rPr>
                <w:sz w:val="18"/>
                <w:szCs w:val="18"/>
              </w:rPr>
            </w:pPr>
            <w:r>
              <w:rPr>
                <w:sz w:val="18"/>
                <w:szCs w:val="18"/>
              </w:rPr>
              <w:t>11,560</w:t>
            </w:r>
          </w:p>
        </w:tc>
        <w:tc>
          <w:tcPr>
            <w:tcW w:w="756" w:type="dxa"/>
          </w:tcPr>
          <w:p w:rsidR="006C52C7" w:rsidRDefault="006C52C7" w:rsidP="00815CBE">
            <w:pPr>
              <w:jc w:val="center"/>
              <w:rPr>
                <w:sz w:val="18"/>
                <w:szCs w:val="18"/>
              </w:rPr>
            </w:pPr>
            <w:r>
              <w:rPr>
                <w:sz w:val="18"/>
                <w:szCs w:val="18"/>
              </w:rPr>
              <w:t>26,016</w:t>
            </w:r>
          </w:p>
        </w:tc>
        <w:tc>
          <w:tcPr>
            <w:tcW w:w="1360" w:type="dxa"/>
          </w:tcPr>
          <w:p w:rsidR="006C52C7" w:rsidRDefault="006C52C7" w:rsidP="00815CBE">
            <w:pPr>
              <w:jc w:val="center"/>
              <w:rPr>
                <w:sz w:val="18"/>
                <w:szCs w:val="18"/>
              </w:rPr>
            </w:pPr>
            <w:r>
              <w:rPr>
                <w:sz w:val="18"/>
                <w:szCs w:val="18"/>
              </w:rPr>
              <w:t>68,724</w:t>
            </w:r>
          </w:p>
        </w:tc>
        <w:tc>
          <w:tcPr>
            <w:tcW w:w="1322" w:type="dxa"/>
          </w:tcPr>
          <w:p w:rsidR="006C52C7" w:rsidRDefault="007F23CA" w:rsidP="00815CBE">
            <w:pPr>
              <w:jc w:val="center"/>
              <w:rPr>
                <w:sz w:val="18"/>
                <w:szCs w:val="18"/>
              </w:rPr>
            </w:pPr>
            <w:r>
              <w:rPr>
                <w:sz w:val="18"/>
                <w:szCs w:val="18"/>
              </w:rPr>
              <w:t>27,845</w:t>
            </w:r>
          </w:p>
        </w:tc>
        <w:tc>
          <w:tcPr>
            <w:tcW w:w="955" w:type="dxa"/>
          </w:tcPr>
          <w:p w:rsidR="006C52C7" w:rsidRDefault="007F23CA" w:rsidP="007F23CA">
            <w:pPr>
              <w:tabs>
                <w:tab w:val="decimal" w:pos="725"/>
              </w:tabs>
              <w:rPr>
                <w:sz w:val="18"/>
                <w:szCs w:val="18"/>
              </w:rPr>
            </w:pPr>
            <w:r>
              <w:rPr>
                <w:sz w:val="18"/>
                <w:szCs w:val="18"/>
              </w:rPr>
              <w:t>882,361</w:t>
            </w:r>
          </w:p>
        </w:tc>
        <w:tc>
          <w:tcPr>
            <w:tcW w:w="1159" w:type="dxa"/>
          </w:tcPr>
          <w:p w:rsidR="006C52C7" w:rsidRDefault="007F23CA" w:rsidP="00815CBE">
            <w:pPr>
              <w:jc w:val="center"/>
              <w:rPr>
                <w:sz w:val="18"/>
                <w:szCs w:val="18"/>
              </w:rPr>
            </w:pPr>
            <w:r>
              <w:rPr>
                <w:sz w:val="18"/>
                <w:szCs w:val="18"/>
              </w:rPr>
              <w:t>183,983</w:t>
            </w:r>
          </w:p>
        </w:tc>
        <w:tc>
          <w:tcPr>
            <w:tcW w:w="1166" w:type="dxa"/>
          </w:tcPr>
          <w:p w:rsidR="006C52C7" w:rsidRDefault="007F23CA" w:rsidP="00815CBE">
            <w:pPr>
              <w:jc w:val="center"/>
              <w:rPr>
                <w:sz w:val="18"/>
                <w:szCs w:val="18"/>
              </w:rPr>
            </w:pPr>
            <w:r>
              <w:rPr>
                <w:sz w:val="18"/>
                <w:szCs w:val="18"/>
              </w:rPr>
              <w:t>31,522</w:t>
            </w:r>
          </w:p>
        </w:tc>
        <w:tc>
          <w:tcPr>
            <w:tcW w:w="1068" w:type="dxa"/>
          </w:tcPr>
          <w:p w:rsidR="006C52C7" w:rsidRDefault="007F23CA" w:rsidP="00815CBE">
            <w:pPr>
              <w:jc w:val="center"/>
              <w:rPr>
                <w:sz w:val="18"/>
                <w:szCs w:val="18"/>
              </w:rPr>
            </w:pPr>
            <w:r>
              <w:rPr>
                <w:sz w:val="18"/>
                <w:szCs w:val="18"/>
              </w:rPr>
              <w:t>3,280,780</w:t>
            </w:r>
          </w:p>
        </w:tc>
        <w:tc>
          <w:tcPr>
            <w:tcW w:w="926" w:type="dxa"/>
          </w:tcPr>
          <w:p w:rsidR="006C52C7" w:rsidRDefault="007F23CA" w:rsidP="00815CBE">
            <w:pPr>
              <w:jc w:val="center"/>
              <w:rPr>
                <w:sz w:val="18"/>
                <w:szCs w:val="18"/>
              </w:rPr>
            </w:pPr>
            <w:r>
              <w:rPr>
                <w:sz w:val="18"/>
                <w:szCs w:val="18"/>
              </w:rPr>
              <w:t>352</w:t>
            </w:r>
          </w:p>
        </w:tc>
        <w:tc>
          <w:tcPr>
            <w:tcW w:w="1407" w:type="dxa"/>
          </w:tcPr>
          <w:p w:rsidR="006C52C7" w:rsidRDefault="007F23CA" w:rsidP="00815CBE">
            <w:pPr>
              <w:jc w:val="center"/>
              <w:rPr>
                <w:sz w:val="18"/>
                <w:szCs w:val="18"/>
              </w:rPr>
            </w:pPr>
            <w:r>
              <w:rPr>
                <w:sz w:val="18"/>
                <w:szCs w:val="18"/>
              </w:rPr>
              <w:t>56,273</w:t>
            </w:r>
          </w:p>
        </w:tc>
        <w:tc>
          <w:tcPr>
            <w:tcW w:w="1089" w:type="dxa"/>
          </w:tcPr>
          <w:p w:rsidR="006C52C7" w:rsidRDefault="007F23CA" w:rsidP="007F23CA">
            <w:pPr>
              <w:tabs>
                <w:tab w:val="decimal" w:pos="676"/>
              </w:tabs>
              <w:rPr>
                <w:sz w:val="18"/>
                <w:szCs w:val="18"/>
              </w:rPr>
            </w:pPr>
            <w:r>
              <w:rPr>
                <w:sz w:val="18"/>
                <w:szCs w:val="18"/>
              </w:rPr>
              <w:t>88,890</w:t>
            </w:r>
          </w:p>
        </w:tc>
        <w:tc>
          <w:tcPr>
            <w:tcW w:w="869" w:type="dxa"/>
          </w:tcPr>
          <w:p w:rsidR="006C52C7" w:rsidRDefault="007F23CA" w:rsidP="00815CBE">
            <w:pPr>
              <w:jc w:val="center"/>
              <w:rPr>
                <w:sz w:val="18"/>
                <w:szCs w:val="18"/>
              </w:rPr>
            </w:pPr>
            <w:r>
              <w:rPr>
                <w:sz w:val="18"/>
                <w:szCs w:val="18"/>
              </w:rPr>
              <w:t>4,275</w:t>
            </w:r>
          </w:p>
        </w:tc>
        <w:tc>
          <w:tcPr>
            <w:tcW w:w="874" w:type="dxa"/>
          </w:tcPr>
          <w:p w:rsidR="006C52C7" w:rsidRDefault="007F23CA" w:rsidP="00815CBE">
            <w:pPr>
              <w:jc w:val="center"/>
              <w:rPr>
                <w:sz w:val="18"/>
                <w:szCs w:val="18"/>
              </w:rPr>
            </w:pPr>
            <w:r>
              <w:rPr>
                <w:sz w:val="18"/>
                <w:szCs w:val="18"/>
              </w:rPr>
              <w:t>582,822</w:t>
            </w:r>
          </w:p>
        </w:tc>
        <w:tc>
          <w:tcPr>
            <w:tcW w:w="970" w:type="dxa"/>
          </w:tcPr>
          <w:p w:rsidR="006C52C7" w:rsidRDefault="00537D93" w:rsidP="00815CBE">
            <w:pPr>
              <w:jc w:val="center"/>
              <w:rPr>
                <w:sz w:val="18"/>
                <w:szCs w:val="18"/>
              </w:rPr>
            </w:pPr>
            <w:r>
              <w:rPr>
                <w:sz w:val="18"/>
                <w:szCs w:val="18"/>
              </w:rPr>
              <w:t>5,245,403</w:t>
            </w:r>
          </w:p>
        </w:tc>
      </w:tr>
      <w:tr w:rsidR="006C52C7" w:rsidRPr="002E2232" w:rsidTr="008B50A7">
        <w:trPr>
          <w:jc w:val="center"/>
        </w:trPr>
        <w:tc>
          <w:tcPr>
            <w:tcW w:w="680" w:type="dxa"/>
            <w:vAlign w:val="bottom"/>
          </w:tcPr>
          <w:p w:rsidR="006C52C7" w:rsidRDefault="006C52C7" w:rsidP="0034208C">
            <w:pPr>
              <w:jc w:val="center"/>
              <w:rPr>
                <w:sz w:val="18"/>
                <w:szCs w:val="18"/>
              </w:rPr>
            </w:pPr>
            <w:r>
              <w:rPr>
                <w:sz w:val="18"/>
                <w:szCs w:val="18"/>
              </w:rPr>
              <w:t>2014</w:t>
            </w:r>
          </w:p>
        </w:tc>
        <w:tc>
          <w:tcPr>
            <w:tcW w:w="731" w:type="dxa"/>
          </w:tcPr>
          <w:p w:rsidR="006C52C7" w:rsidRDefault="006C52C7" w:rsidP="00815CBE">
            <w:pPr>
              <w:jc w:val="center"/>
              <w:rPr>
                <w:sz w:val="18"/>
                <w:szCs w:val="18"/>
              </w:rPr>
            </w:pPr>
            <w:r>
              <w:rPr>
                <w:sz w:val="18"/>
                <w:szCs w:val="18"/>
              </w:rPr>
              <w:t>11,705</w:t>
            </w:r>
          </w:p>
        </w:tc>
        <w:tc>
          <w:tcPr>
            <w:tcW w:w="756" w:type="dxa"/>
          </w:tcPr>
          <w:p w:rsidR="006C52C7" w:rsidRDefault="006C52C7" w:rsidP="00815CBE">
            <w:pPr>
              <w:jc w:val="center"/>
              <w:rPr>
                <w:sz w:val="18"/>
                <w:szCs w:val="18"/>
              </w:rPr>
            </w:pPr>
            <w:r>
              <w:rPr>
                <w:sz w:val="18"/>
                <w:szCs w:val="18"/>
              </w:rPr>
              <w:t>26,401</w:t>
            </w:r>
          </w:p>
        </w:tc>
        <w:tc>
          <w:tcPr>
            <w:tcW w:w="1360" w:type="dxa"/>
          </w:tcPr>
          <w:p w:rsidR="006C52C7" w:rsidRDefault="006C52C7" w:rsidP="00815CBE">
            <w:pPr>
              <w:jc w:val="center"/>
              <w:rPr>
                <w:sz w:val="18"/>
                <w:szCs w:val="18"/>
              </w:rPr>
            </w:pPr>
            <w:r>
              <w:rPr>
                <w:sz w:val="18"/>
                <w:szCs w:val="18"/>
              </w:rPr>
              <w:t>68,667</w:t>
            </w:r>
          </w:p>
        </w:tc>
        <w:tc>
          <w:tcPr>
            <w:tcW w:w="1322" w:type="dxa"/>
          </w:tcPr>
          <w:p w:rsidR="006C52C7" w:rsidRDefault="007F23CA" w:rsidP="00815CBE">
            <w:pPr>
              <w:jc w:val="center"/>
              <w:rPr>
                <w:sz w:val="18"/>
                <w:szCs w:val="18"/>
              </w:rPr>
            </w:pPr>
            <w:r>
              <w:rPr>
                <w:sz w:val="18"/>
                <w:szCs w:val="18"/>
              </w:rPr>
              <w:t>28,829</w:t>
            </w:r>
          </w:p>
        </w:tc>
        <w:tc>
          <w:tcPr>
            <w:tcW w:w="955" w:type="dxa"/>
          </w:tcPr>
          <w:p w:rsidR="006C52C7" w:rsidRDefault="007F23CA" w:rsidP="007F23CA">
            <w:pPr>
              <w:tabs>
                <w:tab w:val="decimal" w:pos="725"/>
              </w:tabs>
              <w:rPr>
                <w:sz w:val="18"/>
                <w:szCs w:val="18"/>
              </w:rPr>
            </w:pPr>
            <w:r>
              <w:rPr>
                <w:sz w:val="18"/>
                <w:szCs w:val="18"/>
              </w:rPr>
              <w:t>903,394</w:t>
            </w:r>
          </w:p>
        </w:tc>
        <w:tc>
          <w:tcPr>
            <w:tcW w:w="1159" w:type="dxa"/>
          </w:tcPr>
          <w:p w:rsidR="006C52C7" w:rsidRDefault="007F23CA" w:rsidP="00815CBE">
            <w:pPr>
              <w:jc w:val="center"/>
              <w:rPr>
                <w:sz w:val="18"/>
                <w:szCs w:val="18"/>
              </w:rPr>
            </w:pPr>
            <w:r>
              <w:rPr>
                <w:sz w:val="18"/>
                <w:szCs w:val="18"/>
              </w:rPr>
              <w:t>190,529</w:t>
            </w:r>
          </w:p>
        </w:tc>
        <w:tc>
          <w:tcPr>
            <w:tcW w:w="1166" w:type="dxa"/>
          </w:tcPr>
          <w:p w:rsidR="006C52C7" w:rsidRDefault="007F23CA" w:rsidP="00815CBE">
            <w:pPr>
              <w:jc w:val="center"/>
              <w:rPr>
                <w:sz w:val="18"/>
                <w:szCs w:val="18"/>
              </w:rPr>
            </w:pPr>
            <w:r>
              <w:rPr>
                <w:sz w:val="18"/>
                <w:szCs w:val="18"/>
              </w:rPr>
              <w:t>32,462</w:t>
            </w:r>
          </w:p>
        </w:tc>
        <w:tc>
          <w:tcPr>
            <w:tcW w:w="1068" w:type="dxa"/>
          </w:tcPr>
          <w:p w:rsidR="006C52C7" w:rsidRDefault="007F23CA" w:rsidP="00815CBE">
            <w:pPr>
              <w:jc w:val="center"/>
              <w:rPr>
                <w:sz w:val="18"/>
                <w:szCs w:val="18"/>
              </w:rPr>
            </w:pPr>
            <w:r>
              <w:rPr>
                <w:sz w:val="18"/>
                <w:szCs w:val="18"/>
              </w:rPr>
              <w:t>3,371,006</w:t>
            </w:r>
          </w:p>
        </w:tc>
        <w:tc>
          <w:tcPr>
            <w:tcW w:w="926" w:type="dxa"/>
          </w:tcPr>
          <w:p w:rsidR="006C52C7" w:rsidRDefault="007F23CA" w:rsidP="00815CBE">
            <w:pPr>
              <w:jc w:val="center"/>
              <w:rPr>
                <w:sz w:val="18"/>
                <w:szCs w:val="18"/>
              </w:rPr>
            </w:pPr>
            <w:r>
              <w:rPr>
                <w:sz w:val="18"/>
                <w:szCs w:val="18"/>
              </w:rPr>
              <w:t>331</w:t>
            </w:r>
          </w:p>
        </w:tc>
        <w:tc>
          <w:tcPr>
            <w:tcW w:w="1407" w:type="dxa"/>
          </w:tcPr>
          <w:p w:rsidR="006C52C7" w:rsidRDefault="007F23CA" w:rsidP="00815CBE">
            <w:pPr>
              <w:jc w:val="center"/>
              <w:rPr>
                <w:sz w:val="18"/>
                <w:szCs w:val="18"/>
              </w:rPr>
            </w:pPr>
            <w:r>
              <w:rPr>
                <w:sz w:val="18"/>
                <w:szCs w:val="18"/>
              </w:rPr>
              <w:t>56,274</w:t>
            </w:r>
          </w:p>
        </w:tc>
        <w:tc>
          <w:tcPr>
            <w:tcW w:w="1089" w:type="dxa"/>
          </w:tcPr>
          <w:p w:rsidR="006C52C7" w:rsidRDefault="007F23CA" w:rsidP="007F23CA">
            <w:pPr>
              <w:tabs>
                <w:tab w:val="decimal" w:pos="676"/>
              </w:tabs>
              <w:rPr>
                <w:sz w:val="18"/>
                <w:szCs w:val="18"/>
              </w:rPr>
            </w:pPr>
            <w:r>
              <w:rPr>
                <w:sz w:val="18"/>
                <w:szCs w:val="18"/>
              </w:rPr>
              <w:t>91,373</w:t>
            </w:r>
          </w:p>
        </w:tc>
        <w:tc>
          <w:tcPr>
            <w:tcW w:w="869" w:type="dxa"/>
          </w:tcPr>
          <w:p w:rsidR="006C52C7" w:rsidRDefault="007F23CA" w:rsidP="00815CBE">
            <w:pPr>
              <w:jc w:val="center"/>
              <w:rPr>
                <w:sz w:val="18"/>
                <w:szCs w:val="18"/>
              </w:rPr>
            </w:pPr>
            <w:r>
              <w:rPr>
                <w:sz w:val="18"/>
                <w:szCs w:val="18"/>
              </w:rPr>
              <w:t>4,494</w:t>
            </w:r>
          </w:p>
        </w:tc>
        <w:tc>
          <w:tcPr>
            <w:tcW w:w="874" w:type="dxa"/>
          </w:tcPr>
          <w:p w:rsidR="006C52C7" w:rsidRDefault="007F23CA" w:rsidP="00815CBE">
            <w:pPr>
              <w:jc w:val="center"/>
              <w:rPr>
                <w:sz w:val="18"/>
                <w:szCs w:val="18"/>
              </w:rPr>
            </w:pPr>
            <w:r>
              <w:rPr>
                <w:sz w:val="18"/>
                <w:szCs w:val="18"/>
              </w:rPr>
              <w:t>598,024</w:t>
            </w:r>
          </w:p>
        </w:tc>
        <w:tc>
          <w:tcPr>
            <w:tcW w:w="970" w:type="dxa"/>
          </w:tcPr>
          <w:p w:rsidR="006C52C7" w:rsidRDefault="00537D93" w:rsidP="00815CBE">
            <w:pPr>
              <w:jc w:val="center"/>
              <w:rPr>
                <w:sz w:val="18"/>
                <w:szCs w:val="18"/>
              </w:rPr>
            </w:pPr>
            <w:r>
              <w:rPr>
                <w:sz w:val="18"/>
                <w:szCs w:val="18"/>
              </w:rPr>
              <w:t>5,383,489</w:t>
            </w:r>
          </w:p>
        </w:tc>
      </w:tr>
      <w:tr w:rsidR="0034208C" w:rsidRPr="002E2232" w:rsidTr="008B50A7">
        <w:trPr>
          <w:jc w:val="center"/>
        </w:trPr>
        <w:tc>
          <w:tcPr>
            <w:tcW w:w="680" w:type="dxa"/>
            <w:vAlign w:val="bottom"/>
          </w:tcPr>
          <w:p w:rsidR="0034208C" w:rsidRPr="002E2232" w:rsidRDefault="0034208C" w:rsidP="0034208C">
            <w:pPr>
              <w:jc w:val="center"/>
              <w:rPr>
                <w:sz w:val="18"/>
                <w:szCs w:val="18"/>
              </w:rPr>
            </w:pPr>
            <w:r>
              <w:rPr>
                <w:sz w:val="18"/>
                <w:szCs w:val="18"/>
              </w:rPr>
              <w:t>2015</w:t>
            </w:r>
          </w:p>
        </w:tc>
        <w:tc>
          <w:tcPr>
            <w:tcW w:w="731" w:type="dxa"/>
          </w:tcPr>
          <w:p w:rsidR="0034208C" w:rsidRPr="002E2232" w:rsidRDefault="00815CBE" w:rsidP="00815CBE">
            <w:pPr>
              <w:jc w:val="center"/>
              <w:rPr>
                <w:sz w:val="18"/>
                <w:szCs w:val="18"/>
              </w:rPr>
            </w:pPr>
            <w:r>
              <w:rPr>
                <w:sz w:val="18"/>
                <w:szCs w:val="18"/>
              </w:rPr>
              <w:t>12,789</w:t>
            </w:r>
          </w:p>
        </w:tc>
        <w:tc>
          <w:tcPr>
            <w:tcW w:w="756" w:type="dxa"/>
          </w:tcPr>
          <w:p w:rsidR="0034208C" w:rsidRPr="002E2232" w:rsidRDefault="00815CBE" w:rsidP="00815CBE">
            <w:pPr>
              <w:jc w:val="center"/>
              <w:rPr>
                <w:sz w:val="18"/>
                <w:szCs w:val="18"/>
              </w:rPr>
            </w:pPr>
            <w:r>
              <w:rPr>
                <w:sz w:val="18"/>
                <w:szCs w:val="18"/>
              </w:rPr>
              <w:t>33,909</w:t>
            </w:r>
          </w:p>
        </w:tc>
        <w:tc>
          <w:tcPr>
            <w:tcW w:w="1360" w:type="dxa"/>
          </w:tcPr>
          <w:p w:rsidR="0034208C" w:rsidRPr="002E2232" w:rsidRDefault="00815CBE" w:rsidP="00815CBE">
            <w:pPr>
              <w:jc w:val="center"/>
              <w:rPr>
                <w:sz w:val="18"/>
                <w:szCs w:val="18"/>
              </w:rPr>
            </w:pPr>
            <w:r>
              <w:rPr>
                <w:sz w:val="18"/>
                <w:szCs w:val="18"/>
              </w:rPr>
              <w:t>69,952</w:t>
            </w:r>
          </w:p>
        </w:tc>
        <w:tc>
          <w:tcPr>
            <w:tcW w:w="1322" w:type="dxa"/>
          </w:tcPr>
          <w:p w:rsidR="0034208C" w:rsidRPr="002E2232" w:rsidRDefault="00815CBE" w:rsidP="00815CBE">
            <w:pPr>
              <w:jc w:val="center"/>
              <w:rPr>
                <w:sz w:val="18"/>
                <w:szCs w:val="18"/>
              </w:rPr>
            </w:pPr>
            <w:r>
              <w:rPr>
                <w:sz w:val="18"/>
                <w:szCs w:val="18"/>
              </w:rPr>
              <w:t>30,354</w:t>
            </w:r>
          </w:p>
        </w:tc>
        <w:tc>
          <w:tcPr>
            <w:tcW w:w="955" w:type="dxa"/>
          </w:tcPr>
          <w:p w:rsidR="0034208C" w:rsidRPr="002E2232" w:rsidRDefault="00815CBE" w:rsidP="007F23CA">
            <w:pPr>
              <w:tabs>
                <w:tab w:val="decimal" w:pos="725"/>
              </w:tabs>
              <w:rPr>
                <w:sz w:val="18"/>
                <w:szCs w:val="18"/>
              </w:rPr>
            </w:pPr>
            <w:r>
              <w:rPr>
                <w:sz w:val="18"/>
                <w:szCs w:val="18"/>
              </w:rPr>
              <w:t>923,479</w:t>
            </w:r>
          </w:p>
        </w:tc>
        <w:tc>
          <w:tcPr>
            <w:tcW w:w="1159" w:type="dxa"/>
          </w:tcPr>
          <w:p w:rsidR="0034208C" w:rsidRPr="002E2232" w:rsidRDefault="00815CBE" w:rsidP="00815CBE">
            <w:pPr>
              <w:jc w:val="center"/>
              <w:rPr>
                <w:sz w:val="18"/>
                <w:szCs w:val="18"/>
              </w:rPr>
            </w:pPr>
            <w:r>
              <w:rPr>
                <w:sz w:val="18"/>
                <w:szCs w:val="18"/>
              </w:rPr>
              <w:t>195,603</w:t>
            </w:r>
          </w:p>
        </w:tc>
        <w:tc>
          <w:tcPr>
            <w:tcW w:w="1166" w:type="dxa"/>
          </w:tcPr>
          <w:p w:rsidR="0034208C" w:rsidRPr="002E2232" w:rsidRDefault="00815CBE" w:rsidP="00815CBE">
            <w:pPr>
              <w:jc w:val="center"/>
              <w:rPr>
                <w:sz w:val="18"/>
                <w:szCs w:val="18"/>
              </w:rPr>
            </w:pPr>
            <w:r>
              <w:rPr>
                <w:sz w:val="18"/>
                <w:szCs w:val="18"/>
              </w:rPr>
              <w:t>32,104</w:t>
            </w:r>
          </w:p>
        </w:tc>
        <w:tc>
          <w:tcPr>
            <w:tcW w:w="1068" w:type="dxa"/>
          </w:tcPr>
          <w:p w:rsidR="0034208C" w:rsidRPr="002E2232" w:rsidRDefault="00815CBE" w:rsidP="00815CBE">
            <w:pPr>
              <w:jc w:val="center"/>
              <w:rPr>
                <w:sz w:val="18"/>
                <w:szCs w:val="18"/>
              </w:rPr>
            </w:pPr>
            <w:r>
              <w:rPr>
                <w:sz w:val="18"/>
                <w:szCs w:val="18"/>
              </w:rPr>
              <w:t>3,492,196</w:t>
            </w:r>
          </w:p>
        </w:tc>
        <w:tc>
          <w:tcPr>
            <w:tcW w:w="926" w:type="dxa"/>
          </w:tcPr>
          <w:p w:rsidR="0034208C" w:rsidRPr="002E2232" w:rsidRDefault="00815CBE" w:rsidP="00815CBE">
            <w:pPr>
              <w:jc w:val="center"/>
              <w:rPr>
                <w:sz w:val="18"/>
                <w:szCs w:val="18"/>
              </w:rPr>
            </w:pPr>
            <w:r>
              <w:rPr>
                <w:sz w:val="18"/>
                <w:szCs w:val="18"/>
              </w:rPr>
              <w:t>341</w:t>
            </w:r>
          </w:p>
        </w:tc>
        <w:tc>
          <w:tcPr>
            <w:tcW w:w="1407" w:type="dxa"/>
          </w:tcPr>
          <w:p w:rsidR="0034208C" w:rsidRPr="002E2232" w:rsidRDefault="00815CBE" w:rsidP="00815CBE">
            <w:pPr>
              <w:jc w:val="center"/>
              <w:rPr>
                <w:sz w:val="18"/>
                <w:szCs w:val="18"/>
              </w:rPr>
            </w:pPr>
            <w:r>
              <w:rPr>
                <w:sz w:val="18"/>
                <w:szCs w:val="18"/>
              </w:rPr>
              <w:t>55,801</w:t>
            </w:r>
          </w:p>
        </w:tc>
        <w:tc>
          <w:tcPr>
            <w:tcW w:w="1089" w:type="dxa"/>
          </w:tcPr>
          <w:p w:rsidR="0034208C" w:rsidRPr="002E2232" w:rsidRDefault="00815CBE" w:rsidP="007F23CA">
            <w:pPr>
              <w:tabs>
                <w:tab w:val="decimal" w:pos="676"/>
              </w:tabs>
              <w:rPr>
                <w:sz w:val="18"/>
                <w:szCs w:val="18"/>
              </w:rPr>
            </w:pPr>
            <w:r>
              <w:rPr>
                <w:sz w:val="18"/>
                <w:szCs w:val="18"/>
              </w:rPr>
              <w:t>104,340</w:t>
            </w:r>
          </w:p>
        </w:tc>
        <w:tc>
          <w:tcPr>
            <w:tcW w:w="869" w:type="dxa"/>
          </w:tcPr>
          <w:p w:rsidR="0034208C" w:rsidRPr="002E2232" w:rsidRDefault="00815CBE" w:rsidP="00815CBE">
            <w:pPr>
              <w:jc w:val="center"/>
              <w:rPr>
                <w:sz w:val="18"/>
                <w:szCs w:val="18"/>
              </w:rPr>
            </w:pPr>
            <w:r>
              <w:rPr>
                <w:sz w:val="18"/>
                <w:szCs w:val="18"/>
              </w:rPr>
              <w:t>4,941</w:t>
            </w:r>
          </w:p>
        </w:tc>
        <w:tc>
          <w:tcPr>
            <w:tcW w:w="874" w:type="dxa"/>
          </w:tcPr>
          <w:p w:rsidR="0034208C" w:rsidRPr="002E2232" w:rsidRDefault="00815CBE" w:rsidP="00815CBE">
            <w:pPr>
              <w:jc w:val="center"/>
              <w:rPr>
                <w:sz w:val="18"/>
                <w:szCs w:val="18"/>
              </w:rPr>
            </w:pPr>
            <w:r>
              <w:rPr>
                <w:sz w:val="18"/>
                <w:szCs w:val="18"/>
              </w:rPr>
              <w:t>604,781</w:t>
            </w:r>
          </w:p>
        </w:tc>
        <w:tc>
          <w:tcPr>
            <w:tcW w:w="970" w:type="dxa"/>
          </w:tcPr>
          <w:p w:rsidR="0034208C" w:rsidRPr="002E2232" w:rsidRDefault="00815CBE" w:rsidP="00815CBE">
            <w:pPr>
              <w:jc w:val="center"/>
              <w:rPr>
                <w:sz w:val="18"/>
                <w:szCs w:val="18"/>
              </w:rPr>
            </w:pPr>
            <w:r>
              <w:rPr>
                <w:sz w:val="18"/>
                <w:szCs w:val="18"/>
              </w:rPr>
              <w:t>5,560,590</w:t>
            </w:r>
          </w:p>
        </w:tc>
      </w:tr>
      <w:tr w:rsidR="0034208C" w:rsidRPr="002E2232" w:rsidTr="008B50A7">
        <w:trPr>
          <w:jc w:val="center"/>
        </w:trPr>
        <w:tc>
          <w:tcPr>
            <w:tcW w:w="680" w:type="dxa"/>
            <w:vAlign w:val="bottom"/>
          </w:tcPr>
          <w:p w:rsidR="0034208C" w:rsidRPr="002E2232" w:rsidRDefault="0034208C" w:rsidP="0034208C">
            <w:pPr>
              <w:jc w:val="center"/>
              <w:rPr>
                <w:sz w:val="18"/>
                <w:szCs w:val="18"/>
              </w:rPr>
            </w:pPr>
            <w:r>
              <w:rPr>
                <w:sz w:val="18"/>
                <w:szCs w:val="18"/>
              </w:rPr>
              <w:t>2016</w:t>
            </w:r>
          </w:p>
        </w:tc>
        <w:tc>
          <w:tcPr>
            <w:tcW w:w="731" w:type="dxa"/>
          </w:tcPr>
          <w:p w:rsidR="0034208C" w:rsidRPr="002E2232" w:rsidRDefault="00815CBE" w:rsidP="00815CBE">
            <w:pPr>
              <w:jc w:val="center"/>
              <w:rPr>
                <w:sz w:val="18"/>
                <w:szCs w:val="18"/>
              </w:rPr>
            </w:pPr>
            <w:r>
              <w:rPr>
                <w:sz w:val="18"/>
                <w:szCs w:val="18"/>
              </w:rPr>
              <w:t>12,361</w:t>
            </w:r>
          </w:p>
        </w:tc>
        <w:tc>
          <w:tcPr>
            <w:tcW w:w="756" w:type="dxa"/>
          </w:tcPr>
          <w:p w:rsidR="0034208C" w:rsidRPr="002E2232" w:rsidRDefault="00815CBE" w:rsidP="00815CBE">
            <w:pPr>
              <w:jc w:val="center"/>
              <w:rPr>
                <w:sz w:val="18"/>
                <w:szCs w:val="18"/>
              </w:rPr>
            </w:pPr>
            <w:r>
              <w:rPr>
                <w:sz w:val="18"/>
                <w:szCs w:val="18"/>
              </w:rPr>
              <w:t>28,478</w:t>
            </w:r>
          </w:p>
        </w:tc>
        <w:tc>
          <w:tcPr>
            <w:tcW w:w="1360" w:type="dxa"/>
          </w:tcPr>
          <w:p w:rsidR="0034208C" w:rsidRPr="002E2232" w:rsidRDefault="00815CBE" w:rsidP="00815CBE">
            <w:pPr>
              <w:jc w:val="center"/>
              <w:rPr>
                <w:sz w:val="18"/>
                <w:szCs w:val="18"/>
              </w:rPr>
            </w:pPr>
            <w:r>
              <w:rPr>
                <w:sz w:val="18"/>
                <w:szCs w:val="18"/>
              </w:rPr>
              <w:t>62,788</w:t>
            </w:r>
          </w:p>
        </w:tc>
        <w:tc>
          <w:tcPr>
            <w:tcW w:w="1322" w:type="dxa"/>
          </w:tcPr>
          <w:p w:rsidR="0034208C" w:rsidRPr="002E2232" w:rsidRDefault="00815CBE" w:rsidP="00815CBE">
            <w:pPr>
              <w:jc w:val="center"/>
              <w:rPr>
                <w:sz w:val="18"/>
                <w:szCs w:val="18"/>
              </w:rPr>
            </w:pPr>
            <w:r>
              <w:rPr>
                <w:sz w:val="18"/>
                <w:szCs w:val="18"/>
              </w:rPr>
              <w:t>31,118</w:t>
            </w:r>
          </w:p>
        </w:tc>
        <w:tc>
          <w:tcPr>
            <w:tcW w:w="955" w:type="dxa"/>
          </w:tcPr>
          <w:p w:rsidR="0034208C" w:rsidRPr="002E2232" w:rsidRDefault="00815CBE" w:rsidP="007F23CA">
            <w:pPr>
              <w:tabs>
                <w:tab w:val="decimal" w:pos="725"/>
              </w:tabs>
              <w:rPr>
                <w:sz w:val="18"/>
                <w:szCs w:val="18"/>
              </w:rPr>
            </w:pPr>
            <w:r>
              <w:rPr>
                <w:sz w:val="18"/>
                <w:szCs w:val="18"/>
              </w:rPr>
              <w:t>974,337</w:t>
            </w:r>
          </w:p>
        </w:tc>
        <w:tc>
          <w:tcPr>
            <w:tcW w:w="1159" w:type="dxa"/>
          </w:tcPr>
          <w:p w:rsidR="0034208C" w:rsidRPr="002E2232" w:rsidRDefault="00815CBE" w:rsidP="00815CBE">
            <w:pPr>
              <w:jc w:val="center"/>
              <w:rPr>
                <w:sz w:val="18"/>
                <w:szCs w:val="18"/>
              </w:rPr>
            </w:pPr>
            <w:r>
              <w:rPr>
                <w:sz w:val="18"/>
                <w:szCs w:val="18"/>
              </w:rPr>
              <w:t>194,129</w:t>
            </w:r>
          </w:p>
        </w:tc>
        <w:tc>
          <w:tcPr>
            <w:tcW w:w="1166" w:type="dxa"/>
          </w:tcPr>
          <w:p w:rsidR="0034208C" w:rsidRPr="002E2232" w:rsidRDefault="00815CBE" w:rsidP="00815CBE">
            <w:pPr>
              <w:jc w:val="center"/>
              <w:rPr>
                <w:sz w:val="18"/>
                <w:szCs w:val="18"/>
              </w:rPr>
            </w:pPr>
            <w:r>
              <w:rPr>
                <w:sz w:val="18"/>
                <w:szCs w:val="18"/>
              </w:rPr>
              <w:t>33,032</w:t>
            </w:r>
          </w:p>
        </w:tc>
        <w:tc>
          <w:tcPr>
            <w:tcW w:w="1068" w:type="dxa"/>
          </w:tcPr>
          <w:p w:rsidR="0034208C" w:rsidRPr="002E2232" w:rsidRDefault="00815CBE" w:rsidP="00815CBE">
            <w:pPr>
              <w:jc w:val="center"/>
              <w:rPr>
                <w:sz w:val="18"/>
                <w:szCs w:val="18"/>
              </w:rPr>
            </w:pPr>
            <w:r>
              <w:rPr>
                <w:sz w:val="18"/>
                <w:szCs w:val="18"/>
              </w:rPr>
              <w:t>3,549,731</w:t>
            </w:r>
          </w:p>
        </w:tc>
        <w:tc>
          <w:tcPr>
            <w:tcW w:w="926" w:type="dxa"/>
          </w:tcPr>
          <w:p w:rsidR="0034208C" w:rsidRPr="002E2232" w:rsidRDefault="00815CBE" w:rsidP="00815CBE">
            <w:pPr>
              <w:jc w:val="center"/>
              <w:rPr>
                <w:sz w:val="18"/>
                <w:szCs w:val="18"/>
              </w:rPr>
            </w:pPr>
            <w:r>
              <w:rPr>
                <w:sz w:val="18"/>
                <w:szCs w:val="18"/>
              </w:rPr>
              <w:t>308</w:t>
            </w:r>
          </w:p>
        </w:tc>
        <w:tc>
          <w:tcPr>
            <w:tcW w:w="1407" w:type="dxa"/>
          </w:tcPr>
          <w:p w:rsidR="0034208C" w:rsidRPr="002E2232" w:rsidRDefault="00815CBE" w:rsidP="00815CBE">
            <w:pPr>
              <w:jc w:val="center"/>
              <w:rPr>
                <w:sz w:val="18"/>
                <w:szCs w:val="18"/>
              </w:rPr>
            </w:pPr>
            <w:r>
              <w:rPr>
                <w:sz w:val="18"/>
                <w:szCs w:val="18"/>
              </w:rPr>
              <w:t>49,805</w:t>
            </w:r>
          </w:p>
        </w:tc>
        <w:tc>
          <w:tcPr>
            <w:tcW w:w="1089" w:type="dxa"/>
          </w:tcPr>
          <w:p w:rsidR="0034208C" w:rsidRPr="002E2232" w:rsidRDefault="00815CBE" w:rsidP="007F23CA">
            <w:pPr>
              <w:tabs>
                <w:tab w:val="decimal" w:pos="676"/>
              </w:tabs>
              <w:rPr>
                <w:sz w:val="18"/>
                <w:szCs w:val="18"/>
              </w:rPr>
            </w:pPr>
            <w:r>
              <w:rPr>
                <w:sz w:val="18"/>
                <w:szCs w:val="18"/>
              </w:rPr>
              <w:t>92,593</w:t>
            </w:r>
          </w:p>
        </w:tc>
        <w:tc>
          <w:tcPr>
            <w:tcW w:w="869" w:type="dxa"/>
          </w:tcPr>
          <w:p w:rsidR="0034208C" w:rsidRPr="002E2232" w:rsidRDefault="00815CBE" w:rsidP="00815CBE">
            <w:pPr>
              <w:jc w:val="center"/>
              <w:rPr>
                <w:sz w:val="18"/>
                <w:szCs w:val="18"/>
              </w:rPr>
            </w:pPr>
            <w:r>
              <w:rPr>
                <w:sz w:val="18"/>
                <w:szCs w:val="18"/>
              </w:rPr>
              <w:t>5,072</w:t>
            </w:r>
          </w:p>
        </w:tc>
        <w:tc>
          <w:tcPr>
            <w:tcW w:w="874" w:type="dxa"/>
          </w:tcPr>
          <w:p w:rsidR="0034208C" w:rsidRPr="002E2232" w:rsidRDefault="00815CBE" w:rsidP="00815CBE">
            <w:pPr>
              <w:jc w:val="center"/>
              <w:rPr>
                <w:sz w:val="18"/>
                <w:szCs w:val="18"/>
              </w:rPr>
            </w:pPr>
            <w:r>
              <w:rPr>
                <w:sz w:val="18"/>
                <w:szCs w:val="18"/>
              </w:rPr>
              <w:t>632,093</w:t>
            </w:r>
          </w:p>
        </w:tc>
        <w:tc>
          <w:tcPr>
            <w:tcW w:w="970" w:type="dxa"/>
          </w:tcPr>
          <w:p w:rsidR="0034208C" w:rsidRPr="002E2232" w:rsidRDefault="00815CBE" w:rsidP="00815CBE">
            <w:pPr>
              <w:jc w:val="center"/>
              <w:rPr>
                <w:sz w:val="18"/>
                <w:szCs w:val="18"/>
              </w:rPr>
            </w:pPr>
            <w:r>
              <w:rPr>
                <w:sz w:val="18"/>
                <w:szCs w:val="18"/>
              </w:rPr>
              <w:t>5,665,845</w:t>
            </w:r>
          </w:p>
        </w:tc>
      </w:tr>
      <w:tr w:rsidR="0034208C" w:rsidRPr="002E2232" w:rsidTr="008B50A7">
        <w:trPr>
          <w:jc w:val="center"/>
        </w:trPr>
        <w:tc>
          <w:tcPr>
            <w:tcW w:w="680" w:type="dxa"/>
            <w:vAlign w:val="bottom"/>
          </w:tcPr>
          <w:p w:rsidR="0034208C" w:rsidRPr="002E2232" w:rsidRDefault="0034208C" w:rsidP="0034208C">
            <w:pPr>
              <w:jc w:val="center"/>
              <w:rPr>
                <w:sz w:val="18"/>
                <w:szCs w:val="18"/>
              </w:rPr>
            </w:pPr>
            <w:r>
              <w:rPr>
                <w:sz w:val="18"/>
                <w:szCs w:val="18"/>
              </w:rPr>
              <w:t>2017</w:t>
            </w:r>
          </w:p>
        </w:tc>
        <w:tc>
          <w:tcPr>
            <w:tcW w:w="731" w:type="dxa"/>
          </w:tcPr>
          <w:p w:rsidR="0034208C" w:rsidRPr="002E2232" w:rsidRDefault="00815CBE" w:rsidP="00815CBE">
            <w:pPr>
              <w:jc w:val="center"/>
              <w:rPr>
                <w:sz w:val="18"/>
                <w:szCs w:val="18"/>
              </w:rPr>
            </w:pPr>
            <w:r>
              <w:rPr>
                <w:sz w:val="18"/>
                <w:szCs w:val="18"/>
              </w:rPr>
              <w:t>12,882</w:t>
            </w:r>
          </w:p>
        </w:tc>
        <w:tc>
          <w:tcPr>
            <w:tcW w:w="756" w:type="dxa"/>
          </w:tcPr>
          <w:p w:rsidR="0034208C" w:rsidRPr="002E2232" w:rsidRDefault="00815CBE" w:rsidP="00815CBE">
            <w:pPr>
              <w:jc w:val="center"/>
              <w:rPr>
                <w:sz w:val="18"/>
                <w:szCs w:val="18"/>
              </w:rPr>
            </w:pPr>
            <w:r>
              <w:rPr>
                <w:sz w:val="18"/>
                <w:szCs w:val="18"/>
              </w:rPr>
              <w:t>29,924</w:t>
            </w:r>
          </w:p>
        </w:tc>
        <w:tc>
          <w:tcPr>
            <w:tcW w:w="1360" w:type="dxa"/>
          </w:tcPr>
          <w:p w:rsidR="0034208C" w:rsidRPr="002E2232" w:rsidRDefault="00815CBE" w:rsidP="00815CBE">
            <w:pPr>
              <w:jc w:val="center"/>
              <w:rPr>
                <w:sz w:val="18"/>
                <w:szCs w:val="18"/>
              </w:rPr>
            </w:pPr>
            <w:r>
              <w:rPr>
                <w:sz w:val="18"/>
                <w:szCs w:val="18"/>
              </w:rPr>
              <w:t>68,142</w:t>
            </w:r>
          </w:p>
        </w:tc>
        <w:tc>
          <w:tcPr>
            <w:tcW w:w="1322" w:type="dxa"/>
          </w:tcPr>
          <w:p w:rsidR="0034208C" w:rsidRPr="002E2232" w:rsidRDefault="00815CBE" w:rsidP="00815CBE">
            <w:pPr>
              <w:jc w:val="center"/>
              <w:rPr>
                <w:sz w:val="18"/>
                <w:szCs w:val="18"/>
              </w:rPr>
            </w:pPr>
            <w:r>
              <w:rPr>
                <w:sz w:val="18"/>
                <w:szCs w:val="18"/>
              </w:rPr>
              <w:t>32,50</w:t>
            </w:r>
          </w:p>
        </w:tc>
        <w:tc>
          <w:tcPr>
            <w:tcW w:w="955" w:type="dxa"/>
          </w:tcPr>
          <w:p w:rsidR="0034208C" w:rsidRPr="002E2232" w:rsidRDefault="00815CBE" w:rsidP="007F23CA">
            <w:pPr>
              <w:tabs>
                <w:tab w:val="decimal" w:pos="725"/>
              </w:tabs>
              <w:rPr>
                <w:sz w:val="18"/>
                <w:szCs w:val="18"/>
              </w:rPr>
            </w:pPr>
            <w:r>
              <w:rPr>
                <w:sz w:val="18"/>
                <w:szCs w:val="18"/>
              </w:rPr>
              <w:t>1,020,221</w:t>
            </w:r>
          </w:p>
        </w:tc>
        <w:tc>
          <w:tcPr>
            <w:tcW w:w="1159" w:type="dxa"/>
          </w:tcPr>
          <w:p w:rsidR="0034208C" w:rsidRPr="002E2232" w:rsidRDefault="00815CBE" w:rsidP="00815CBE">
            <w:pPr>
              <w:jc w:val="center"/>
              <w:rPr>
                <w:sz w:val="18"/>
                <w:szCs w:val="18"/>
              </w:rPr>
            </w:pPr>
            <w:r>
              <w:rPr>
                <w:sz w:val="18"/>
                <w:szCs w:val="18"/>
              </w:rPr>
              <w:t>202,462</w:t>
            </w:r>
          </w:p>
        </w:tc>
        <w:tc>
          <w:tcPr>
            <w:tcW w:w="1166" w:type="dxa"/>
          </w:tcPr>
          <w:p w:rsidR="0034208C" w:rsidRPr="002E2232" w:rsidRDefault="00815CBE" w:rsidP="00815CBE">
            <w:pPr>
              <w:jc w:val="center"/>
              <w:rPr>
                <w:sz w:val="18"/>
                <w:szCs w:val="18"/>
              </w:rPr>
            </w:pPr>
            <w:r>
              <w:rPr>
                <w:sz w:val="18"/>
                <w:szCs w:val="18"/>
              </w:rPr>
              <w:t>34,156</w:t>
            </w:r>
          </w:p>
        </w:tc>
        <w:tc>
          <w:tcPr>
            <w:tcW w:w="1068" w:type="dxa"/>
          </w:tcPr>
          <w:p w:rsidR="0034208C" w:rsidRPr="002E2232" w:rsidRDefault="00815CBE" w:rsidP="00815CBE">
            <w:pPr>
              <w:jc w:val="center"/>
              <w:rPr>
                <w:sz w:val="18"/>
                <w:szCs w:val="18"/>
              </w:rPr>
            </w:pPr>
            <w:r>
              <w:rPr>
                <w:sz w:val="18"/>
                <w:szCs w:val="18"/>
              </w:rPr>
              <w:t>3,659,761</w:t>
            </w:r>
          </w:p>
        </w:tc>
        <w:tc>
          <w:tcPr>
            <w:tcW w:w="926" w:type="dxa"/>
          </w:tcPr>
          <w:p w:rsidR="0034208C" w:rsidRPr="002E2232" w:rsidRDefault="004D1FBC" w:rsidP="00815CBE">
            <w:pPr>
              <w:jc w:val="center"/>
              <w:rPr>
                <w:sz w:val="18"/>
                <w:szCs w:val="18"/>
              </w:rPr>
            </w:pPr>
            <w:r>
              <w:rPr>
                <w:sz w:val="18"/>
                <w:szCs w:val="18"/>
              </w:rPr>
              <w:t>N/A</w:t>
            </w:r>
          </w:p>
        </w:tc>
        <w:tc>
          <w:tcPr>
            <w:tcW w:w="1407" w:type="dxa"/>
          </w:tcPr>
          <w:p w:rsidR="0034208C" w:rsidRPr="002E2232" w:rsidRDefault="004D1FBC" w:rsidP="00815CBE">
            <w:pPr>
              <w:jc w:val="center"/>
              <w:rPr>
                <w:sz w:val="18"/>
                <w:szCs w:val="18"/>
              </w:rPr>
            </w:pPr>
            <w:r>
              <w:rPr>
                <w:sz w:val="18"/>
                <w:szCs w:val="18"/>
              </w:rPr>
              <w:t>47,945</w:t>
            </w:r>
          </w:p>
        </w:tc>
        <w:tc>
          <w:tcPr>
            <w:tcW w:w="1089" w:type="dxa"/>
          </w:tcPr>
          <w:p w:rsidR="0034208C" w:rsidRPr="002E2232" w:rsidRDefault="004D1FBC" w:rsidP="007F23CA">
            <w:pPr>
              <w:tabs>
                <w:tab w:val="decimal" w:pos="676"/>
              </w:tabs>
              <w:rPr>
                <w:sz w:val="18"/>
                <w:szCs w:val="18"/>
              </w:rPr>
            </w:pPr>
            <w:r>
              <w:rPr>
                <w:sz w:val="18"/>
                <w:szCs w:val="18"/>
              </w:rPr>
              <w:t>94,093</w:t>
            </w:r>
          </w:p>
        </w:tc>
        <w:tc>
          <w:tcPr>
            <w:tcW w:w="869" w:type="dxa"/>
          </w:tcPr>
          <w:p w:rsidR="0034208C" w:rsidRPr="002E2232" w:rsidRDefault="004D1FBC" w:rsidP="00815CBE">
            <w:pPr>
              <w:jc w:val="center"/>
              <w:rPr>
                <w:sz w:val="18"/>
                <w:szCs w:val="18"/>
              </w:rPr>
            </w:pPr>
            <w:r>
              <w:rPr>
                <w:sz w:val="18"/>
                <w:szCs w:val="18"/>
              </w:rPr>
              <w:t>5,427</w:t>
            </w:r>
          </w:p>
        </w:tc>
        <w:tc>
          <w:tcPr>
            <w:tcW w:w="874" w:type="dxa"/>
          </w:tcPr>
          <w:p w:rsidR="0034208C" w:rsidRPr="002E2232" w:rsidRDefault="004D1FBC" w:rsidP="00815CBE">
            <w:pPr>
              <w:jc w:val="center"/>
              <w:rPr>
                <w:sz w:val="18"/>
                <w:szCs w:val="18"/>
              </w:rPr>
            </w:pPr>
            <w:r>
              <w:rPr>
                <w:sz w:val="18"/>
                <w:szCs w:val="18"/>
              </w:rPr>
              <w:t>652,115</w:t>
            </w:r>
          </w:p>
        </w:tc>
        <w:tc>
          <w:tcPr>
            <w:tcW w:w="970" w:type="dxa"/>
          </w:tcPr>
          <w:p w:rsidR="0034208C" w:rsidRPr="002E2232" w:rsidRDefault="004D1FBC" w:rsidP="00815CBE">
            <w:pPr>
              <w:jc w:val="center"/>
              <w:rPr>
                <w:sz w:val="18"/>
                <w:szCs w:val="18"/>
              </w:rPr>
            </w:pPr>
            <w:r>
              <w:rPr>
                <w:sz w:val="18"/>
                <w:szCs w:val="18"/>
              </w:rPr>
              <w:t>5,859,628</w:t>
            </w:r>
          </w:p>
        </w:tc>
      </w:tr>
      <w:tr w:rsidR="0034208C" w:rsidRPr="002E2232" w:rsidTr="008B50A7">
        <w:trPr>
          <w:jc w:val="center"/>
        </w:trPr>
        <w:tc>
          <w:tcPr>
            <w:tcW w:w="680" w:type="dxa"/>
            <w:vAlign w:val="bottom"/>
          </w:tcPr>
          <w:p w:rsidR="0034208C" w:rsidRPr="002E2232" w:rsidRDefault="0034208C" w:rsidP="00815CBE">
            <w:pPr>
              <w:jc w:val="center"/>
              <w:rPr>
                <w:sz w:val="18"/>
                <w:szCs w:val="18"/>
              </w:rPr>
            </w:pPr>
            <w:r>
              <w:rPr>
                <w:sz w:val="18"/>
                <w:szCs w:val="18"/>
              </w:rPr>
              <w:t>2018</w:t>
            </w:r>
          </w:p>
        </w:tc>
        <w:tc>
          <w:tcPr>
            <w:tcW w:w="731" w:type="dxa"/>
          </w:tcPr>
          <w:p w:rsidR="0034208C" w:rsidRPr="002E2232" w:rsidRDefault="004D1FBC" w:rsidP="00815CBE">
            <w:pPr>
              <w:jc w:val="center"/>
              <w:rPr>
                <w:sz w:val="18"/>
                <w:szCs w:val="18"/>
              </w:rPr>
            </w:pPr>
            <w:r>
              <w:rPr>
                <w:sz w:val="18"/>
                <w:szCs w:val="18"/>
              </w:rPr>
              <w:t>13,002</w:t>
            </w:r>
          </w:p>
        </w:tc>
        <w:tc>
          <w:tcPr>
            <w:tcW w:w="756" w:type="dxa"/>
          </w:tcPr>
          <w:p w:rsidR="0034208C" w:rsidRPr="002E2232" w:rsidRDefault="004D1FBC" w:rsidP="00815CBE">
            <w:pPr>
              <w:jc w:val="center"/>
              <w:rPr>
                <w:sz w:val="18"/>
                <w:szCs w:val="18"/>
              </w:rPr>
            </w:pPr>
            <w:r>
              <w:rPr>
                <w:sz w:val="18"/>
                <w:szCs w:val="18"/>
              </w:rPr>
              <w:t>35,327</w:t>
            </w:r>
          </w:p>
        </w:tc>
        <w:tc>
          <w:tcPr>
            <w:tcW w:w="1360" w:type="dxa"/>
          </w:tcPr>
          <w:p w:rsidR="0034208C" w:rsidRPr="002E2232" w:rsidRDefault="004D1FBC" w:rsidP="00815CBE">
            <w:pPr>
              <w:jc w:val="center"/>
              <w:rPr>
                <w:sz w:val="18"/>
                <w:szCs w:val="18"/>
              </w:rPr>
            </w:pPr>
            <w:r>
              <w:rPr>
                <w:sz w:val="18"/>
                <w:szCs w:val="18"/>
              </w:rPr>
              <w:t>67,780</w:t>
            </w:r>
          </w:p>
        </w:tc>
        <w:tc>
          <w:tcPr>
            <w:tcW w:w="1322" w:type="dxa"/>
          </w:tcPr>
          <w:p w:rsidR="0034208C" w:rsidRPr="002E2232" w:rsidRDefault="004D1FBC" w:rsidP="00815CBE">
            <w:pPr>
              <w:jc w:val="center"/>
              <w:rPr>
                <w:sz w:val="18"/>
                <w:szCs w:val="18"/>
              </w:rPr>
            </w:pPr>
            <w:r>
              <w:rPr>
                <w:sz w:val="18"/>
                <w:szCs w:val="18"/>
              </w:rPr>
              <w:t>33,329</w:t>
            </w:r>
          </w:p>
        </w:tc>
        <w:tc>
          <w:tcPr>
            <w:tcW w:w="955" w:type="dxa"/>
          </w:tcPr>
          <w:p w:rsidR="0034208C" w:rsidRPr="002E2232" w:rsidRDefault="004D1FBC" w:rsidP="007F23CA">
            <w:pPr>
              <w:tabs>
                <w:tab w:val="decimal" w:pos="725"/>
              </w:tabs>
              <w:rPr>
                <w:sz w:val="18"/>
                <w:szCs w:val="18"/>
              </w:rPr>
            </w:pPr>
            <w:r>
              <w:rPr>
                <w:sz w:val="18"/>
                <w:szCs w:val="18"/>
              </w:rPr>
              <w:t>1,053,853</w:t>
            </w:r>
          </w:p>
        </w:tc>
        <w:tc>
          <w:tcPr>
            <w:tcW w:w="1159" w:type="dxa"/>
          </w:tcPr>
          <w:p w:rsidR="0034208C" w:rsidRPr="002E2232" w:rsidRDefault="004D1FBC" w:rsidP="00815CBE">
            <w:pPr>
              <w:jc w:val="center"/>
              <w:rPr>
                <w:sz w:val="18"/>
                <w:szCs w:val="18"/>
              </w:rPr>
            </w:pPr>
            <w:r>
              <w:rPr>
                <w:sz w:val="18"/>
                <w:szCs w:val="18"/>
              </w:rPr>
              <w:t>194,847</w:t>
            </w:r>
          </w:p>
        </w:tc>
        <w:tc>
          <w:tcPr>
            <w:tcW w:w="1166" w:type="dxa"/>
          </w:tcPr>
          <w:p w:rsidR="0034208C" w:rsidRPr="002E2232" w:rsidRDefault="004D1FBC" w:rsidP="00815CBE">
            <w:pPr>
              <w:jc w:val="center"/>
              <w:rPr>
                <w:sz w:val="18"/>
                <w:szCs w:val="18"/>
              </w:rPr>
            </w:pPr>
            <w:r>
              <w:rPr>
                <w:sz w:val="18"/>
                <w:szCs w:val="18"/>
              </w:rPr>
              <w:t>34,656</w:t>
            </w:r>
          </w:p>
        </w:tc>
        <w:tc>
          <w:tcPr>
            <w:tcW w:w="1068" w:type="dxa"/>
          </w:tcPr>
          <w:p w:rsidR="0034208C" w:rsidRPr="002E2232" w:rsidRDefault="004D1FBC" w:rsidP="00815CBE">
            <w:pPr>
              <w:jc w:val="center"/>
              <w:rPr>
                <w:sz w:val="18"/>
                <w:szCs w:val="18"/>
              </w:rPr>
            </w:pPr>
            <w:r>
              <w:rPr>
                <w:sz w:val="18"/>
                <w:szCs w:val="18"/>
              </w:rPr>
              <w:t>3,704,862</w:t>
            </w:r>
          </w:p>
        </w:tc>
        <w:tc>
          <w:tcPr>
            <w:tcW w:w="926" w:type="dxa"/>
          </w:tcPr>
          <w:p w:rsidR="0034208C" w:rsidRPr="002E2232" w:rsidRDefault="004D1FBC" w:rsidP="00815CBE">
            <w:pPr>
              <w:jc w:val="center"/>
              <w:rPr>
                <w:sz w:val="18"/>
                <w:szCs w:val="18"/>
              </w:rPr>
            </w:pPr>
            <w:r>
              <w:rPr>
                <w:sz w:val="18"/>
                <w:szCs w:val="18"/>
              </w:rPr>
              <w:t>N/A</w:t>
            </w:r>
          </w:p>
        </w:tc>
        <w:tc>
          <w:tcPr>
            <w:tcW w:w="1407" w:type="dxa"/>
          </w:tcPr>
          <w:p w:rsidR="0034208C" w:rsidRPr="002E2232" w:rsidRDefault="004D1FBC" w:rsidP="00815CBE">
            <w:pPr>
              <w:jc w:val="center"/>
              <w:rPr>
                <w:sz w:val="18"/>
                <w:szCs w:val="18"/>
              </w:rPr>
            </w:pPr>
            <w:r>
              <w:rPr>
                <w:sz w:val="18"/>
                <w:szCs w:val="18"/>
              </w:rPr>
              <w:t>45,234</w:t>
            </w:r>
          </w:p>
        </w:tc>
        <w:tc>
          <w:tcPr>
            <w:tcW w:w="1089" w:type="dxa"/>
          </w:tcPr>
          <w:p w:rsidR="0034208C" w:rsidRPr="002E2232" w:rsidRDefault="004D1FBC" w:rsidP="007F23CA">
            <w:pPr>
              <w:tabs>
                <w:tab w:val="decimal" w:pos="676"/>
              </w:tabs>
              <w:rPr>
                <w:sz w:val="18"/>
                <w:szCs w:val="18"/>
              </w:rPr>
            </w:pPr>
            <w:r>
              <w:rPr>
                <w:sz w:val="18"/>
                <w:szCs w:val="18"/>
              </w:rPr>
              <w:t>97,422</w:t>
            </w:r>
          </w:p>
        </w:tc>
        <w:tc>
          <w:tcPr>
            <w:tcW w:w="869" w:type="dxa"/>
          </w:tcPr>
          <w:p w:rsidR="0034208C" w:rsidRPr="002E2232" w:rsidRDefault="004D1FBC" w:rsidP="00815CBE">
            <w:pPr>
              <w:jc w:val="center"/>
              <w:rPr>
                <w:sz w:val="18"/>
                <w:szCs w:val="18"/>
              </w:rPr>
            </w:pPr>
            <w:r>
              <w:rPr>
                <w:sz w:val="18"/>
                <w:szCs w:val="18"/>
              </w:rPr>
              <w:t>5,673</w:t>
            </w:r>
          </w:p>
        </w:tc>
        <w:tc>
          <w:tcPr>
            <w:tcW w:w="874" w:type="dxa"/>
          </w:tcPr>
          <w:p w:rsidR="0034208C" w:rsidRPr="002E2232" w:rsidRDefault="004D1FBC" w:rsidP="00815CBE">
            <w:pPr>
              <w:jc w:val="center"/>
              <w:rPr>
                <w:sz w:val="18"/>
                <w:szCs w:val="18"/>
              </w:rPr>
            </w:pPr>
            <w:r>
              <w:rPr>
                <w:sz w:val="18"/>
                <w:szCs w:val="18"/>
              </w:rPr>
              <w:t>664,238</w:t>
            </w:r>
          </w:p>
        </w:tc>
        <w:tc>
          <w:tcPr>
            <w:tcW w:w="970" w:type="dxa"/>
          </w:tcPr>
          <w:p w:rsidR="0034208C" w:rsidRPr="002E2232" w:rsidRDefault="004D1FBC" w:rsidP="00815CBE">
            <w:pPr>
              <w:jc w:val="center"/>
              <w:rPr>
                <w:sz w:val="18"/>
                <w:szCs w:val="18"/>
              </w:rPr>
            </w:pPr>
            <w:r>
              <w:rPr>
                <w:sz w:val="18"/>
                <w:szCs w:val="18"/>
              </w:rPr>
              <w:t>5,950,223</w:t>
            </w:r>
          </w:p>
        </w:tc>
      </w:tr>
      <w:tr w:rsidR="0034208C" w:rsidRPr="00427FA2" w:rsidTr="00815CBE">
        <w:trPr>
          <w:jc w:val="center"/>
        </w:trPr>
        <w:tc>
          <w:tcPr>
            <w:tcW w:w="15332" w:type="dxa"/>
            <w:gridSpan w:val="15"/>
            <w:vAlign w:val="bottom"/>
          </w:tcPr>
          <w:p w:rsidR="0034208C" w:rsidRPr="004D1FBC" w:rsidRDefault="004D1FBC" w:rsidP="00815CBE">
            <w:pPr>
              <w:rPr>
                <w:sz w:val="18"/>
                <w:u w:val="single"/>
              </w:rPr>
            </w:pPr>
            <w:r>
              <w:rPr>
                <w:sz w:val="18"/>
                <w:u w:val="single"/>
              </w:rPr>
              <w:tab/>
            </w:r>
            <w:r>
              <w:rPr>
                <w:sz w:val="18"/>
                <w:u w:val="single"/>
              </w:rPr>
              <w:tab/>
            </w:r>
            <w:r>
              <w:rPr>
                <w:sz w:val="18"/>
                <w:u w:val="single"/>
              </w:rPr>
              <w:tab/>
            </w:r>
          </w:p>
          <w:p w:rsidR="0034208C" w:rsidRPr="00427FA2" w:rsidRDefault="0034208C" w:rsidP="00815CBE">
            <w:pPr>
              <w:rPr>
                <w:sz w:val="18"/>
              </w:rPr>
            </w:pPr>
            <w:r w:rsidRPr="00427FA2">
              <w:rPr>
                <w:sz w:val="18"/>
              </w:rPr>
              <w:t>Source: Colorado Department of Revenue Annu</w:t>
            </w:r>
            <w:r>
              <w:rPr>
                <w:sz w:val="18"/>
              </w:rPr>
              <w:t>al Reports for respective years</w:t>
            </w:r>
          </w:p>
        </w:tc>
      </w:tr>
    </w:tbl>
    <w:p w:rsidR="0034208C" w:rsidRDefault="0034208C" w:rsidP="0034208C">
      <w:pPr>
        <w:pStyle w:val="BodyText"/>
      </w:pPr>
    </w:p>
    <w:p w:rsidR="004D1FBC" w:rsidRDefault="004D1FBC" w:rsidP="0034208C">
      <w:pPr>
        <w:pStyle w:val="BodyText"/>
      </w:pPr>
    </w:p>
    <w:p w:rsidR="004D1FBC" w:rsidRDefault="004D1FBC" w:rsidP="0034208C">
      <w:pPr>
        <w:pStyle w:val="BodyText"/>
      </w:pPr>
    </w:p>
    <w:p w:rsidR="004D1FBC" w:rsidRDefault="004D1FBC" w:rsidP="004D1FBC">
      <w:pPr>
        <w:pStyle w:val="BodyText"/>
        <w:ind w:firstLine="0"/>
        <w:jc w:val="center"/>
      </w:pPr>
      <w:r>
        <w:t>[Remainder of page intentionally left blank]</w:t>
      </w:r>
    </w:p>
    <w:p w:rsidR="0034208C" w:rsidRDefault="0034208C" w:rsidP="002E4A0D">
      <w:pPr>
        <w:pStyle w:val="BodyText"/>
      </w:pPr>
    </w:p>
    <w:p w:rsidR="002E2232" w:rsidRDefault="002E2232" w:rsidP="002E4A0D">
      <w:pPr>
        <w:pStyle w:val="BodyText"/>
        <w:sectPr w:rsidR="002E2232" w:rsidSect="00BE5983">
          <w:headerReference w:type="even" r:id="rId38"/>
          <w:headerReference w:type="default" r:id="rId39"/>
          <w:footerReference w:type="even" r:id="rId40"/>
          <w:footerReference w:type="default" r:id="rId41"/>
          <w:headerReference w:type="first" r:id="rId42"/>
          <w:footerReference w:type="first" r:id="rId43"/>
          <w:footnotePr>
            <w:numFmt w:val="chicago"/>
            <w:numRestart w:val="eachPage"/>
          </w:footnotePr>
          <w:pgSz w:w="15840" w:h="12240" w:orient="landscape" w:code="1"/>
          <w:pgMar w:top="1440" w:right="1440" w:bottom="1440" w:left="1440" w:header="720" w:footer="720" w:gutter="0"/>
          <w:cols w:space="720"/>
          <w:titlePg/>
          <w:docGrid w:linePitch="360"/>
        </w:sectPr>
      </w:pPr>
    </w:p>
    <w:p w:rsidR="002E4A0D" w:rsidRDefault="002E4A0D" w:rsidP="00EC4DC9">
      <w:pPr>
        <w:pStyle w:val="Kutak1L2"/>
      </w:pPr>
      <w:bookmarkStart w:id="45" w:name="_Toc21694917"/>
      <w:r>
        <w:t>Federal Funds</w:t>
      </w:r>
      <w:bookmarkEnd w:id="45"/>
    </w:p>
    <w:p w:rsidR="006721F0" w:rsidRDefault="00EC28E0" w:rsidP="002E4A0D">
      <w:pPr>
        <w:pStyle w:val="BodyText"/>
      </w:pPr>
      <w:r w:rsidRPr="001B61D5">
        <w:t xml:space="preserve">On November 18, 2010, the Transportation Commission adopted a resolution expressing its intent annually to consider allocating and transferring from CDOT to the Bridge Enterprise $15 million of eligible federal funds.  </w:t>
      </w:r>
      <w:r w:rsidR="002E4A0D" w:rsidRPr="001B61D5">
        <w:t>The resolution directs the CDOT Executive Director to include the allocation and transfer to the Bridge Enterprise of eligible federal funds in the specified amount in the budget proposal submitted to the Transportation Commission each year</w:t>
      </w:r>
      <w:r w:rsidR="009F27D6" w:rsidRPr="001B61D5">
        <w:t xml:space="preserve">.  </w:t>
      </w:r>
      <w:r w:rsidR="002E4A0D" w:rsidRPr="001B61D5">
        <w:t>However, the Transportation Commission is not obligated to allocate and transfer funds to the Bridge Enterprise, and the resolution provides that it is the Transportation Commission’s intention that any decision as to whether or not to allocate and transfer such funds in any year will be made by the Transportation Commission, in its sole discretion, in the year in which the transfer is to occ</w:t>
      </w:r>
      <w:r w:rsidR="002E4A0D">
        <w:t>ur.</w:t>
      </w:r>
      <w:r w:rsidR="002D5AF4">
        <w:t xml:space="preserve">  </w:t>
      </w:r>
      <w:r w:rsidR="006721F0" w:rsidRPr="001B61D5">
        <w:t xml:space="preserve">In </w:t>
      </w:r>
      <w:r w:rsidR="00B445D7">
        <w:t xml:space="preserve">each of </w:t>
      </w:r>
      <w:r w:rsidR="006721F0">
        <w:t>F</w:t>
      </w:r>
      <w:r w:rsidR="006721F0" w:rsidRPr="001B61D5">
        <w:t xml:space="preserve">iscal </w:t>
      </w:r>
      <w:r w:rsidR="006721F0">
        <w:t>Y</w:t>
      </w:r>
      <w:r w:rsidR="006721F0" w:rsidRPr="001B61D5">
        <w:t xml:space="preserve">ears </w:t>
      </w:r>
      <w:r w:rsidR="007F1E95">
        <w:t>2011</w:t>
      </w:r>
      <w:r w:rsidR="006721F0">
        <w:t xml:space="preserve"> through 2017</w:t>
      </w:r>
      <w:r w:rsidR="006721F0" w:rsidRPr="001B61D5">
        <w:t xml:space="preserve">, </w:t>
      </w:r>
      <w:r w:rsidR="007F1E95">
        <w:t xml:space="preserve">the </w:t>
      </w:r>
      <w:r w:rsidR="00B445D7">
        <w:t xml:space="preserve">Transportation Commission authorized the transfer and allocation of </w:t>
      </w:r>
      <w:r w:rsidR="006721F0" w:rsidRPr="001B61D5">
        <w:t>$15</w:t>
      </w:r>
      <w:r w:rsidR="006721F0">
        <w:t> </w:t>
      </w:r>
      <w:r w:rsidR="006721F0" w:rsidRPr="001B61D5">
        <w:t xml:space="preserve">million </w:t>
      </w:r>
      <w:r w:rsidR="00F13025">
        <w:t>of</w:t>
      </w:r>
      <w:r w:rsidR="00B445D7">
        <w:t xml:space="preserve"> federal funds from </w:t>
      </w:r>
      <w:r w:rsidR="006721F0" w:rsidRPr="001B61D5">
        <w:t xml:space="preserve">CDOT to </w:t>
      </w:r>
      <w:r w:rsidR="006721F0">
        <w:t>the Bridge Enterprise</w:t>
      </w:r>
      <w:r w:rsidR="006721F0" w:rsidRPr="001B61D5">
        <w:t>.</w:t>
      </w:r>
      <w:r w:rsidR="007F1E95">
        <w:t xml:space="preserve">  </w:t>
      </w:r>
      <w:r w:rsidR="007F1E95" w:rsidRPr="001B61D5">
        <w:t xml:space="preserve">In November 2016, CDOT and </w:t>
      </w:r>
      <w:r w:rsidR="007F1E95">
        <w:t>the Bridge Enterprise e</w:t>
      </w:r>
      <w:r w:rsidR="007F1E95" w:rsidRPr="001B61D5">
        <w:t xml:space="preserve">ntered into a memorandum of understanding pursuant to which CDOT and </w:t>
      </w:r>
      <w:r w:rsidR="007F1E95">
        <w:t>the Bridge Enterprise</w:t>
      </w:r>
      <w:r w:rsidR="007F1E95" w:rsidRPr="001B61D5">
        <w:t xml:space="preserve"> agreed that CDOT would </w:t>
      </w:r>
      <w:r w:rsidR="007F1E95">
        <w:t xml:space="preserve">suspend making the annual transfer of </w:t>
      </w:r>
      <w:r w:rsidR="007F1E95" w:rsidRPr="001B61D5">
        <w:t xml:space="preserve">federal funds to </w:t>
      </w:r>
      <w:r w:rsidR="007F1E95">
        <w:t xml:space="preserve">the Bridge Enterprise </w:t>
      </w:r>
      <w:r w:rsidR="007F1E95" w:rsidRPr="001B61D5">
        <w:t xml:space="preserve">in </w:t>
      </w:r>
      <w:r w:rsidR="007F1E95">
        <w:t>F</w:t>
      </w:r>
      <w:r w:rsidR="007F1E95" w:rsidRPr="001B61D5">
        <w:t xml:space="preserve">iscal </w:t>
      </w:r>
      <w:r w:rsidR="007F1E95">
        <w:t>Y</w:t>
      </w:r>
      <w:r w:rsidR="007F1E95" w:rsidRPr="001B61D5">
        <w:t>ears 2018, 2019 and 2020</w:t>
      </w:r>
      <w:r w:rsidR="007F1E95">
        <w:t>.</w:t>
      </w:r>
      <w:r w:rsidR="00B445D7">
        <w:t xml:space="preserve">  Beginning again in Fiscal Year 2021, the Bridge Enterprise expects to request a transfer of federal funds from CDOT.</w:t>
      </w:r>
    </w:p>
    <w:p w:rsidR="002E4A0D" w:rsidRDefault="002D5AF4" w:rsidP="002E4A0D">
      <w:pPr>
        <w:pStyle w:val="BodyText"/>
      </w:pPr>
      <w:r w:rsidRPr="001B61D5">
        <w:t>If so allocated and transferred</w:t>
      </w:r>
      <w:r w:rsidR="007F1E95">
        <w:t xml:space="preserve"> by CDOT</w:t>
      </w:r>
      <w:r w:rsidRPr="001B61D5">
        <w:t xml:space="preserve">, </w:t>
      </w:r>
      <w:r w:rsidR="00E91377">
        <w:t xml:space="preserve">such </w:t>
      </w:r>
      <w:r w:rsidRPr="001B61D5">
        <w:t xml:space="preserve">federal funds </w:t>
      </w:r>
      <w:r w:rsidR="00A8189D">
        <w:t xml:space="preserve">are </w:t>
      </w:r>
      <w:r w:rsidRPr="001B61D5">
        <w:t xml:space="preserve">deposited in the Bridge Special Fund and </w:t>
      </w:r>
      <w:r>
        <w:t xml:space="preserve">used solely to </w:t>
      </w:r>
      <w:r w:rsidRPr="001B61D5">
        <w:t xml:space="preserve">pay </w:t>
      </w:r>
      <w:r w:rsidR="00BB67D3">
        <w:t xml:space="preserve">a portion of the </w:t>
      </w:r>
      <w:r w:rsidRPr="001B61D5">
        <w:t>principal of and interest on the Senior Bonds (including the Series 2019A Senior Bonds)</w:t>
      </w:r>
      <w:r w:rsidR="00BB67D3">
        <w:t xml:space="preserve"> allowed to be paid with federal funds under 23 U.S.C. 122 (</w:t>
      </w:r>
      <w:r w:rsidR="00BB67D3" w:rsidRPr="00B445D7">
        <w:rPr>
          <w:i/>
        </w:rPr>
        <w:t>Payments to States for Bond and Other Debt Instrument Financing</w:t>
      </w:r>
      <w:r w:rsidR="00BB67D3">
        <w:t xml:space="preserve">). </w:t>
      </w:r>
      <w:r w:rsidR="006721F0">
        <w:t xml:space="preserve"> Between Fiscal Years 2011 and 2019, the Bridge Enterprise received and used</w:t>
      </w:r>
      <w:r w:rsidR="00E91377">
        <w:t xml:space="preserve">, on average, </w:t>
      </w:r>
      <w:r w:rsidR="006721F0">
        <w:t>approximately $</w:t>
      </w:r>
      <w:r w:rsidR="00E91377">
        <w:t>11</w:t>
      </w:r>
      <w:r w:rsidR="006721F0">
        <w:t xml:space="preserve"> million of federal funds each Fiscal Year to pay debt service on the Series 2010A Senior Bonds.</w:t>
      </w:r>
      <w:r w:rsidR="00BB67D3">
        <w:t xml:space="preserve"> </w:t>
      </w:r>
      <w:r w:rsidRPr="001B61D5">
        <w:t xml:space="preserve"> </w:t>
      </w:r>
      <w:r w:rsidR="00B445D7">
        <w:t xml:space="preserve">For Fiscal Years 2018 and 2019, even though CDOT did not </w:t>
      </w:r>
      <w:r w:rsidR="00F13025">
        <w:t xml:space="preserve">transfer and allocate any federal funds to the Bridge Enterprise, because of remaining allocation from prior Fiscal Years, the Bridge Enterprise was still able to request </w:t>
      </w:r>
      <w:r w:rsidR="00867C42">
        <w:t>from the Federal Highway Administration (“FHWA”) and use federal funds in the approximate amount of $9 million each Fiscal Year to pay debt service on the Series 2010A Senior Bonds.</w:t>
      </w:r>
    </w:p>
    <w:p w:rsidR="00A052B7" w:rsidRDefault="00A052B7" w:rsidP="00A052B7">
      <w:pPr>
        <w:pStyle w:val="Kutak1L2"/>
      </w:pPr>
      <w:bookmarkStart w:id="46" w:name="_Toc21694918"/>
      <w:r>
        <w:t>Bridge Special Fund</w:t>
      </w:r>
      <w:bookmarkEnd w:id="46"/>
    </w:p>
    <w:p w:rsidR="00A052B7" w:rsidRDefault="00A052B7" w:rsidP="00A052B7">
      <w:pPr>
        <w:pStyle w:val="BodyText"/>
      </w:pPr>
      <w:r>
        <w:t xml:space="preserve">FASTER </w:t>
      </w:r>
      <w:r w:rsidR="007C23BE">
        <w:t xml:space="preserve">established the </w:t>
      </w:r>
      <w:r>
        <w:t xml:space="preserve">Bridge Special Fund in the State treasury.  All </w:t>
      </w:r>
      <w:r w:rsidR="007C23BE">
        <w:t>R</w:t>
      </w:r>
      <w:r>
        <w:t>evenues received by the Bridge Enterprise, including</w:t>
      </w:r>
      <w:r w:rsidR="007C23BE">
        <w:t>,</w:t>
      </w:r>
      <w:r>
        <w:t xml:space="preserve"> but not limited to</w:t>
      </w:r>
      <w:r w:rsidR="007C23BE">
        <w:t>,</w:t>
      </w:r>
      <w:r>
        <w:t xml:space="preserve"> the Bridge Surcharges , are required to be deposited in the Bridge Special Fund.  Under FASTER, the Bridge Enterprise also may deposit or permit others to deposit other moneys into the Bridge Special Fund, but in no event may revenues from any tax otherwise available for general purposes be deposited into the Bridge Special Fund.  All interest and income derived from the deposit and investment of moneys in the Bridge Special Fund are to be credited to the Bridge Special Fund.  Moneys in the Bridge Special Fund shall be continuously appropriated to the Bridge Enterprise for the purposes set forth in FASTER.  The Bridge Enterprise may expend moneys in the Bridge Special Fund to pay bond or loan obligations, to fund the administration, planning, financing, repair, reconstruction, replacement, or maintenance of Designated Bridges, and for the acquisition of land to the extent required in connection with any Designated Bridge Projects.  The Bridge Enterprise may also expend moneys in the Bridge Special Fund to pay its operating costs and expenses.  The Bridge Enterprise Board has exclusive authority to budget and approve the expenditure of moneys in the Bridge Special Fund.</w:t>
      </w:r>
    </w:p>
    <w:p w:rsidR="00A052B7" w:rsidRDefault="00A052B7" w:rsidP="00A052B7">
      <w:pPr>
        <w:pStyle w:val="BodyText"/>
      </w:pPr>
      <w:r>
        <w:t>The Indenture creates various funds and accounts within the Bridge Special Fund, including</w:t>
      </w:r>
      <w:r w:rsidR="00A07B80">
        <w:t>, among others,</w:t>
      </w:r>
      <w:r>
        <w:t xml:space="preserve"> the Colorado Bridge Enterprise Revenue Bonds General Account (the “General Account”), the Colorado Bridge Enterprise Revenue Bonds Bond Proceeds Account (the “Bond Proceeds Account”), the Colorado Bridge Enterprise Revenue Bonds Senior Bonds Debt Service Account (the “Senior Bonds Debt Service Account”),</w:t>
      </w:r>
      <w:r w:rsidR="00A07B80">
        <w:t xml:space="preserve"> the Colorado Bridge Enterprise Revenue Bonds First Tier Subordinate Bonds Debt Service Account (the “First Tier Subordinate Bonds Debt Service Account”),</w:t>
      </w:r>
      <w:r>
        <w:t xml:space="preserve"> the Colorado Bridge Enterprise Revenue Bonds Senior Bonds Capitalized Interest Account (the “Senior Bonds Capitalized Interest Account”), and the Colorado Bridge Enterprise Revenue Bonds Rebate Account (the “Rebate Account”).  For a further description of these fund</w:t>
      </w:r>
      <w:r w:rsidR="009522D1">
        <w:t>s</w:t>
      </w:r>
      <w:r>
        <w:t xml:space="preserve"> and accounts, including the required deposits to and transfers from these fund</w:t>
      </w:r>
      <w:r w:rsidR="009522D1">
        <w:t>s</w:t>
      </w:r>
      <w:r>
        <w:t xml:space="preserve"> and accounts, see </w:t>
      </w:r>
      <w:r w:rsidR="00015165">
        <w:t>“APPENDIX D—SUMMARY OF CERTAIN PROVISIONS OF THE INDENTURE—</w:t>
      </w:r>
      <w:r>
        <w:t>FUNDS AND ACCOUNTS.”  See also “—Flow of Funds” under this caption.</w:t>
      </w:r>
    </w:p>
    <w:p w:rsidR="002E4A0D" w:rsidRDefault="002E4A0D" w:rsidP="00483B58">
      <w:pPr>
        <w:pStyle w:val="Kutak1L2"/>
      </w:pPr>
      <w:bookmarkStart w:id="47" w:name="_Toc21694919"/>
      <w:r>
        <w:t>Flow of Funds</w:t>
      </w:r>
      <w:bookmarkEnd w:id="47"/>
    </w:p>
    <w:p w:rsidR="00F337C0" w:rsidRDefault="002E4A0D" w:rsidP="00F337C0">
      <w:pPr>
        <w:pStyle w:val="BodyText"/>
      </w:pPr>
      <w:r>
        <w:t>The Master Indenture creates the General Account as a separate account within the Bridge Special Fund</w:t>
      </w:r>
      <w:r w:rsidR="009F27D6">
        <w:t xml:space="preserve">.  </w:t>
      </w:r>
      <w:r>
        <w:t>The General Account is held and administered by the State Treasurer in accordance with FASTER, but is included in the Trust Estate and moneys therein are to be invested and used only as provided in the Master Indenture</w:t>
      </w:r>
      <w:r w:rsidR="009F27D6">
        <w:t xml:space="preserve">.  </w:t>
      </w:r>
      <w:r>
        <w:t>The Master Indenture requires that all Revenues be deposited in the General Account</w:t>
      </w:r>
      <w:r w:rsidR="009F27D6">
        <w:t xml:space="preserve">.  </w:t>
      </w:r>
      <w:r>
        <w:t>The Bridge Enterprise is required to cause the State Treasurer to transfer or disburse available moneys from the General Account on the last day of each calendar month (or on any other date specified for any such transfer by the Indenture) in the following order of priority</w:t>
      </w:r>
      <w:r w:rsidR="00F337C0">
        <w:t xml:space="preserve"> (subject to the provisions of the Indenture with respect to Variable Rate Bonds and Balloon Payments and subject to any restrictions on the use of such moneys set forth in any Tax Compliance Certificate):</w:t>
      </w:r>
    </w:p>
    <w:p w:rsidR="00F337C0" w:rsidRDefault="00F337C0" w:rsidP="00F337C0">
      <w:pPr>
        <w:pStyle w:val="BodyText"/>
        <w:ind w:left="720"/>
      </w:pPr>
      <w:r>
        <w:t>(i)</w:t>
      </w:r>
      <w:r>
        <w:tab/>
      </w:r>
      <w:r w:rsidRPr="00F337C0">
        <w:rPr>
          <w:i/>
        </w:rPr>
        <w:t>first</w:t>
      </w:r>
      <w:r>
        <w:t xml:space="preserve">, to the Senior Bonds Debt Service Account, </w:t>
      </w:r>
    </w:p>
    <w:p w:rsidR="00F337C0" w:rsidRDefault="00F337C0" w:rsidP="00F337C0">
      <w:pPr>
        <w:pStyle w:val="BodyText"/>
        <w:ind w:left="1440"/>
      </w:pPr>
      <w:r>
        <w:t>(A)</w:t>
      </w:r>
      <w:r>
        <w:tab/>
      </w:r>
      <w:r w:rsidRPr="00A33F9B">
        <w:rPr>
          <w:u w:val="single"/>
        </w:rPr>
        <w:t>if the Central 70 Note is Outstanding</w:t>
      </w:r>
      <w:r>
        <w:t>, in an amount that equals the Senior Deposit</w:t>
      </w:r>
      <w:r w:rsidR="00E91236">
        <w:t xml:space="preserve"> (as defined below)</w:t>
      </w:r>
      <w:r w:rsidR="00D472F5">
        <w:t xml:space="preserve"> (the Master Indenture generally requires </w:t>
      </w:r>
      <w:r w:rsidR="000138FC">
        <w:t>that an amount equal to interest due on the Senior Bonds in the next 18 months plus principal due on the Senior Bonds in the next 24 months be on deposit at all times in the Senior Bonds Debt Service Account)</w:t>
      </w:r>
      <w:r>
        <w:t>,</w:t>
      </w:r>
    </w:p>
    <w:p w:rsidR="00E27FD1" w:rsidRPr="00A77F99" w:rsidRDefault="00E27FD1" w:rsidP="00E27FD1">
      <w:pPr>
        <w:pStyle w:val="BodyText"/>
        <w:ind w:left="2160"/>
      </w:pPr>
      <w:r w:rsidRPr="00A77F99">
        <w:t>“</w:t>
      </w:r>
      <w:r w:rsidRPr="00A77F99">
        <w:rPr>
          <w:i/>
        </w:rPr>
        <w:t>Senior Deposit</w:t>
      </w:r>
      <w:r w:rsidRPr="00A77F99">
        <w:t>” means an amount equal to the result of the following formula (as calculated on the applicable Calculation Date):</w:t>
      </w:r>
    </w:p>
    <w:p w:rsidR="00E27FD1" w:rsidRPr="00A77F99" w:rsidRDefault="00E27FD1" w:rsidP="00A33F9B">
      <w:pPr>
        <w:pStyle w:val="BodyText"/>
        <w:spacing w:after="0"/>
        <w:ind w:left="2880"/>
      </w:pPr>
      <w:r w:rsidRPr="00A77F99">
        <w:t>(1)</w:t>
      </w:r>
      <w:r w:rsidRPr="00A77F99">
        <w:tab/>
        <w:t>Senior Interest Requirement, plus</w:t>
      </w:r>
    </w:p>
    <w:p w:rsidR="00E27FD1" w:rsidRPr="00A77F99" w:rsidRDefault="00E27FD1" w:rsidP="00A33F9B">
      <w:pPr>
        <w:pStyle w:val="BodyText"/>
        <w:spacing w:after="0"/>
        <w:ind w:left="2880"/>
      </w:pPr>
      <w:r w:rsidRPr="00A77F99">
        <w:t>(2)</w:t>
      </w:r>
      <w:r w:rsidR="00A33F9B">
        <w:tab/>
      </w:r>
      <w:r w:rsidRPr="00A77F99">
        <w:t>Senior Principal Requirement, minus</w:t>
      </w:r>
    </w:p>
    <w:p w:rsidR="00E27FD1" w:rsidRPr="00A77F99" w:rsidRDefault="00E27FD1" w:rsidP="00A33F9B">
      <w:pPr>
        <w:pStyle w:val="BodyText"/>
        <w:ind w:left="2880"/>
      </w:pPr>
      <w:r w:rsidRPr="00A77F99">
        <w:t>(3)</w:t>
      </w:r>
      <w:r w:rsidRPr="00A77F99">
        <w:tab/>
        <w:t>Current Senior Balance.</w:t>
      </w:r>
    </w:p>
    <w:p w:rsidR="00E27FD1" w:rsidRPr="00A77F99" w:rsidRDefault="00E27FD1" w:rsidP="00E27FD1">
      <w:pPr>
        <w:pStyle w:val="BodyText"/>
        <w:ind w:left="2160"/>
      </w:pPr>
      <w:r w:rsidRPr="00A77F99">
        <w:t>“</w:t>
      </w:r>
      <w:r w:rsidRPr="00A77F99">
        <w:rPr>
          <w:i/>
        </w:rPr>
        <w:t>Senior Interest Requirement</w:t>
      </w:r>
      <w:r w:rsidRPr="00A77F99">
        <w:t>” means an amount equal to the result of the following formula (as calculated on the applicable Calculation Date):</w:t>
      </w:r>
    </w:p>
    <w:p w:rsidR="00E27FD1" w:rsidRPr="00A77F99" w:rsidRDefault="00E27FD1" w:rsidP="00A33F9B">
      <w:pPr>
        <w:pStyle w:val="BodyText"/>
        <w:spacing w:after="0"/>
        <w:ind w:left="2880"/>
      </w:pPr>
      <w:r w:rsidRPr="00A77F99">
        <w:t>(1)</w:t>
      </w:r>
      <w:r w:rsidRPr="00A77F99">
        <w:tab/>
        <w:t xml:space="preserve">Senior Interest (12 </w:t>
      </w:r>
      <w:r w:rsidR="00332BA6">
        <w:t>M</w:t>
      </w:r>
      <w:r w:rsidRPr="00A77F99">
        <w:t>onths), plus</w:t>
      </w:r>
    </w:p>
    <w:p w:rsidR="00E27FD1" w:rsidRPr="00A77F99" w:rsidRDefault="00E27FD1" w:rsidP="00A33F9B">
      <w:pPr>
        <w:pStyle w:val="BodyText"/>
        <w:spacing w:after="0"/>
        <w:ind w:left="2880"/>
      </w:pPr>
      <w:r w:rsidRPr="00A77F99">
        <w:t>(2)</w:t>
      </w:r>
      <w:r w:rsidRPr="00A77F99">
        <w:tab/>
        <w:t>the product of:</w:t>
      </w:r>
    </w:p>
    <w:p w:rsidR="00E27FD1" w:rsidRPr="00A77F99" w:rsidRDefault="00E27FD1" w:rsidP="00A33F9B">
      <w:pPr>
        <w:pStyle w:val="BodyText"/>
        <w:spacing w:after="0"/>
        <w:ind w:left="4320" w:firstLine="0"/>
      </w:pPr>
      <w:r w:rsidRPr="00A77F99">
        <w:t>(i)</w:t>
      </w:r>
      <w:r w:rsidR="00A33F9B">
        <w:t xml:space="preserve"> </w:t>
      </w:r>
      <w:r w:rsidRPr="00A77F99">
        <w:t xml:space="preserve">Senior Interest (18 </w:t>
      </w:r>
      <w:r w:rsidR="00332BA6">
        <w:t>M</w:t>
      </w:r>
      <w:r w:rsidRPr="00A77F99">
        <w:t xml:space="preserve">onths) minus Senior Interest (12 </w:t>
      </w:r>
      <w:r w:rsidR="00766F1A">
        <w:t>M</w:t>
      </w:r>
      <w:r w:rsidRPr="00A77F99">
        <w:t>onths), multiplied by</w:t>
      </w:r>
    </w:p>
    <w:p w:rsidR="00E27FD1" w:rsidRPr="00A77F99" w:rsidRDefault="00E27FD1" w:rsidP="00E27FD1">
      <w:pPr>
        <w:pStyle w:val="BodyText"/>
        <w:spacing w:after="0"/>
        <w:ind w:left="2160"/>
      </w:pPr>
      <w:r w:rsidRPr="00A77F99">
        <w:tab/>
      </w:r>
      <w:r w:rsidR="00A33F9B">
        <w:tab/>
      </w:r>
      <w:r w:rsidRPr="00A77F99">
        <w:t>(ii)</w:t>
      </w:r>
      <w:r w:rsidR="00A33F9B">
        <w:t xml:space="preserve"> </w:t>
      </w:r>
      <w:r w:rsidRPr="00A77F99">
        <w:t>Senior Interest Ratio, minus</w:t>
      </w:r>
    </w:p>
    <w:p w:rsidR="00E27FD1" w:rsidRPr="00A77F99" w:rsidRDefault="00E27FD1" w:rsidP="00A33F9B">
      <w:pPr>
        <w:pStyle w:val="BodyText"/>
        <w:ind w:left="2880"/>
      </w:pPr>
      <w:r w:rsidRPr="00A77F99">
        <w:t xml:space="preserve">(3) </w:t>
      </w:r>
      <w:r w:rsidRPr="00A77F99">
        <w:tab/>
        <w:t>Senior Capitalized Interest Deposit.</w:t>
      </w:r>
    </w:p>
    <w:p w:rsidR="00E27FD1" w:rsidRPr="00A77F99" w:rsidRDefault="00E27FD1" w:rsidP="00E27FD1">
      <w:pPr>
        <w:pStyle w:val="BodyText"/>
        <w:ind w:left="2160"/>
      </w:pPr>
      <w:r w:rsidRPr="00A77F99">
        <w:t>“</w:t>
      </w:r>
      <w:r w:rsidRPr="00A77F99">
        <w:rPr>
          <w:i/>
        </w:rPr>
        <w:t>Senior Interest (12 Months)</w:t>
      </w:r>
      <w:r w:rsidRPr="00A77F99">
        <w:t>” means the interest due (including the interest component of the Redemption Price due in connection with any Scheduled Mandatory Redemption or Purchase) on any Series of Senior Bonds on all Debt Service Payment Dates for such Series of Senior Bonds that occur on or within 12 months after the first day of the immediately succeeding calendar month following the Calculation Date.</w:t>
      </w:r>
    </w:p>
    <w:p w:rsidR="00E27FD1" w:rsidRPr="00A77F99" w:rsidRDefault="00E27FD1" w:rsidP="00E27FD1">
      <w:pPr>
        <w:pStyle w:val="BodyText"/>
        <w:ind w:left="2160"/>
      </w:pPr>
      <w:r w:rsidRPr="00A77F99">
        <w:t>“</w:t>
      </w:r>
      <w:r w:rsidRPr="00A77F99">
        <w:rPr>
          <w:i/>
        </w:rPr>
        <w:t>Senior Interest (18 Months)</w:t>
      </w:r>
      <w:r w:rsidRPr="00A77F99">
        <w:t>” means the interest due (including the interest component of the Redemption Price due in connection with any Scheduled Mandatory Redemption or Purchase) on any Series of Senior Bonds on all Debt Service Payment Dates for such Series of Senior Bonds that occur on or within 18 months after the first day of the immediately succeeding calendar month following the Calculation Date.</w:t>
      </w:r>
    </w:p>
    <w:p w:rsidR="00E27FD1" w:rsidRPr="00A77F99" w:rsidRDefault="00E27FD1" w:rsidP="00E27FD1">
      <w:pPr>
        <w:pStyle w:val="BodyText"/>
        <w:ind w:left="2160"/>
      </w:pPr>
      <w:r w:rsidRPr="00A77F99">
        <w:t>“</w:t>
      </w:r>
      <w:r w:rsidRPr="00A77F99">
        <w:rPr>
          <w:i/>
        </w:rPr>
        <w:t>Senior Interest Ratio</w:t>
      </w:r>
      <w:r w:rsidRPr="00A77F99">
        <w:t>” means, as measured on the Calculation Date, the number of full months between the Interest Payment Date for the Senior Bonds immediately preceding the Calculation Date and the first day of the immediately succeeding calendar month following the Calculation Date, divided by six.</w:t>
      </w:r>
    </w:p>
    <w:p w:rsidR="00E27FD1" w:rsidRPr="00A77F99" w:rsidRDefault="00E27FD1" w:rsidP="00E27FD1">
      <w:pPr>
        <w:pStyle w:val="BodyText"/>
        <w:ind w:left="2160"/>
      </w:pPr>
      <w:r w:rsidRPr="00A77F99">
        <w:t>“</w:t>
      </w:r>
      <w:r w:rsidRPr="00A77F99">
        <w:rPr>
          <w:i/>
        </w:rPr>
        <w:t>Senior Principal Requirement</w:t>
      </w:r>
      <w:r w:rsidRPr="00A77F99">
        <w:t>” means an amount equal to the sum of (as calculated on the applicable Calculation Date):</w:t>
      </w:r>
    </w:p>
    <w:p w:rsidR="00E27FD1" w:rsidRPr="00A77F99" w:rsidRDefault="00E27FD1" w:rsidP="00A33F9B">
      <w:pPr>
        <w:pStyle w:val="BodyText"/>
        <w:spacing w:after="0"/>
        <w:ind w:left="2880"/>
      </w:pPr>
      <w:r w:rsidRPr="00A77F99">
        <w:t>(1)</w:t>
      </w:r>
      <w:r w:rsidRPr="00A77F99">
        <w:tab/>
        <w:t xml:space="preserve">Senior Principal (12 </w:t>
      </w:r>
      <w:r w:rsidR="00766F1A">
        <w:t>M</w:t>
      </w:r>
      <w:r w:rsidRPr="00A77F99">
        <w:t>onths), plus</w:t>
      </w:r>
    </w:p>
    <w:p w:rsidR="00E27FD1" w:rsidRPr="00A77F99" w:rsidRDefault="00E27FD1" w:rsidP="00A33F9B">
      <w:pPr>
        <w:pStyle w:val="BodyText"/>
        <w:spacing w:after="0"/>
        <w:ind w:left="2880"/>
      </w:pPr>
      <w:r w:rsidRPr="00A77F99">
        <w:t>(2)</w:t>
      </w:r>
      <w:r w:rsidRPr="00A77F99">
        <w:tab/>
        <w:t>the product of:</w:t>
      </w:r>
    </w:p>
    <w:p w:rsidR="00E27FD1" w:rsidRPr="00A77F99" w:rsidRDefault="00E27FD1" w:rsidP="00A33F9B">
      <w:pPr>
        <w:pStyle w:val="BodyText"/>
        <w:spacing w:after="0"/>
        <w:ind w:left="4320" w:hanging="720"/>
      </w:pPr>
      <w:r w:rsidRPr="00A77F99">
        <w:tab/>
        <w:t>(i)</w:t>
      </w:r>
      <w:r w:rsidRPr="00A77F99">
        <w:tab/>
        <w:t xml:space="preserve">Senior Principal (24 </w:t>
      </w:r>
      <w:r w:rsidR="00766F1A">
        <w:t>M</w:t>
      </w:r>
      <w:r w:rsidRPr="00A77F99">
        <w:t xml:space="preserve">onths) minus Senior Principal (12 </w:t>
      </w:r>
      <w:r w:rsidR="00766F1A">
        <w:t>M</w:t>
      </w:r>
      <w:r w:rsidRPr="00A77F99">
        <w:t>onths), multiplied by</w:t>
      </w:r>
    </w:p>
    <w:p w:rsidR="00E27FD1" w:rsidRPr="00A77F99" w:rsidRDefault="00E27FD1" w:rsidP="00A33F9B">
      <w:pPr>
        <w:pStyle w:val="BodyText"/>
        <w:ind w:left="2880"/>
      </w:pPr>
      <w:r w:rsidRPr="00A77F99">
        <w:tab/>
        <w:t>(ii)</w:t>
      </w:r>
      <w:r w:rsidRPr="00A77F99">
        <w:tab/>
        <w:t>Senior Principal Ratio.</w:t>
      </w:r>
    </w:p>
    <w:p w:rsidR="00A33F9B" w:rsidRDefault="00E27FD1" w:rsidP="00A33F9B">
      <w:pPr>
        <w:pStyle w:val="BodyText"/>
        <w:ind w:left="2160"/>
      </w:pPr>
      <w:r w:rsidRPr="00A77F99">
        <w:t>“</w:t>
      </w:r>
      <w:r w:rsidRPr="00A77F99">
        <w:rPr>
          <w:i/>
        </w:rPr>
        <w:t>Senior Principal (12 Months)</w:t>
      </w:r>
      <w:r w:rsidRPr="00A77F99">
        <w:t xml:space="preserve">” means the principal or Maturity Value due (including the principal component of the Redemption Price due on any Current Interest Bond and the </w:t>
      </w:r>
      <w:r w:rsidR="00A33F9B">
        <w:t>Redemption Price due on any Capital Appreciation Bond in connection with any Scheduled Mandatory Redemption or Purchase) on any Series of Senior Bonds on any Debt Service Payment Date for such Series of Senior Bonds that occurs on or within 12 months after the first day of the immediately succeeding calendar month following the Calculation Date.</w:t>
      </w:r>
    </w:p>
    <w:p w:rsidR="00A33F9B" w:rsidRDefault="00A33F9B" w:rsidP="00A33F9B">
      <w:pPr>
        <w:pStyle w:val="BodyText"/>
        <w:ind w:left="2160"/>
      </w:pPr>
      <w:r>
        <w:t>“</w:t>
      </w:r>
      <w:r w:rsidRPr="00A33F9B">
        <w:rPr>
          <w:i/>
        </w:rPr>
        <w:t>Senior Principal (24 Months)</w:t>
      </w:r>
      <w:r>
        <w:t>” means the principal or Maturity Value due (including the principal component of the Redemption Price due on any Current Interest Bond and the Redemption Price due on any Capital Appreciation Bond in connection with any Scheduled Mandatory Redemption or Purchase) on any Series of Senior Bonds on any Debt Service Payment Date for such Series of Senior Bonds that occurs on or within 24 months after the first day of the immediately succeeding calendar month following the Calculation Date.</w:t>
      </w:r>
    </w:p>
    <w:p w:rsidR="00E27FD1" w:rsidRDefault="00A33F9B" w:rsidP="00A33F9B">
      <w:pPr>
        <w:pStyle w:val="BodyText"/>
        <w:ind w:left="2160"/>
      </w:pPr>
      <w:r>
        <w:t>“</w:t>
      </w:r>
      <w:r w:rsidRPr="00A33F9B">
        <w:rPr>
          <w:i/>
        </w:rPr>
        <w:t>Senior Principal Ratio</w:t>
      </w:r>
      <w:r>
        <w:t>” means, as measured on the Calculation Date, the number of full months between the Debt Service Payment Date on which principal of the Senior Bonds was paid immediately preceding the Calculation Date and the first day of the immediately succeeding calendar month following the Calculation Date, divided by twelve.</w:t>
      </w:r>
    </w:p>
    <w:p w:rsidR="00BC351B" w:rsidRDefault="00BC351B" w:rsidP="00BC351B">
      <w:pPr>
        <w:pStyle w:val="BodyText"/>
        <w:ind w:left="720"/>
      </w:pPr>
      <w:r>
        <w:t>or</w:t>
      </w:r>
    </w:p>
    <w:p w:rsidR="00F337C0" w:rsidRDefault="00F337C0" w:rsidP="00F337C0">
      <w:pPr>
        <w:pStyle w:val="BodyText"/>
        <w:ind w:left="1440"/>
      </w:pPr>
      <w:r>
        <w:t>(B)</w:t>
      </w:r>
      <w:r>
        <w:tab/>
      </w:r>
      <w:r w:rsidRPr="00A33F9B">
        <w:rPr>
          <w:u w:val="single"/>
        </w:rPr>
        <w:t>if the Central 70 Note is not Outstanding</w:t>
      </w:r>
      <w:r>
        <w:t>, in an amount which, together with any amounts then on deposit in such Account (including but not limited to any amount on deposit in such Account representing Federal Direct Payments), equals the sum of:</w:t>
      </w:r>
    </w:p>
    <w:p w:rsidR="00F337C0" w:rsidRDefault="00F337C0" w:rsidP="00F337C0">
      <w:pPr>
        <w:pStyle w:val="BodyText"/>
        <w:ind w:left="2160"/>
      </w:pPr>
      <w:r>
        <w:t>(1)</w:t>
      </w:r>
      <w:r>
        <w:tab/>
        <w:t>the interest due (including the interest component of the Redemption Price due in connection with any Scheduled Mandatory Redemption or Purchase) on any Series of Senior Bonds on all Debt Service Payment Dates for such Series of Senior Bonds that occur on or within 12 months after the first day of the immediately succeeding calendar month, minus any moneys that are to be transferred to such Account from the Capitalized Interest Account on or before such Debt Service Payment Dates; and</w:t>
      </w:r>
    </w:p>
    <w:p w:rsidR="00F337C0" w:rsidRDefault="00F337C0" w:rsidP="00F337C0">
      <w:pPr>
        <w:pStyle w:val="BodyText"/>
        <w:ind w:left="2160"/>
      </w:pPr>
      <w:r>
        <w:t>(2)</w:t>
      </w:r>
      <w:r>
        <w:tab/>
        <w:t>the principal or Maturity Value due (including the principal component of the Redemption Price due on any Current Interest Bond and the Redemption Price due on any Capital Appreciation Bond in connection with any Scheduled Mandatory Redemption or Purchase) on any Series of Senior Bonds on any Debt Service Payment Date for such Series of Senior Bonds that occurs on or within 12 months after the first day of the immediately succeeding calendar month; and</w:t>
      </w:r>
    </w:p>
    <w:p w:rsidR="00F337C0" w:rsidRDefault="00F337C0" w:rsidP="00F337C0">
      <w:pPr>
        <w:pStyle w:val="BodyText"/>
        <w:ind w:left="720"/>
      </w:pPr>
      <w:r>
        <w:t>(ii)</w:t>
      </w:r>
      <w:r>
        <w:tab/>
      </w:r>
      <w:r w:rsidRPr="00F337C0">
        <w:rPr>
          <w:i/>
        </w:rPr>
        <w:t>second</w:t>
      </w:r>
      <w:r>
        <w:t>, to the First Tier Subordinate Bonds Debt Service Account:</w:t>
      </w:r>
    </w:p>
    <w:p w:rsidR="00F337C0" w:rsidRDefault="00F337C0" w:rsidP="00F337C0">
      <w:pPr>
        <w:pStyle w:val="BodyText"/>
        <w:ind w:left="1440"/>
      </w:pPr>
      <w:r>
        <w:t>(A)</w:t>
      </w:r>
      <w:r>
        <w:tab/>
      </w:r>
      <w:r w:rsidRPr="00A33F9B">
        <w:rPr>
          <w:u w:val="single"/>
        </w:rPr>
        <w:t>if the Central 70 Note is Outstanding</w:t>
      </w:r>
      <w:r>
        <w:t>, in a sufficient amount so that the balance in such Account as of the last day of such month is at least equal to the Central 70 Gross Payments on the Central 70 Note that will be due and payable in the immediately two succeeding calendar months; or</w:t>
      </w:r>
    </w:p>
    <w:p w:rsidR="00F337C0" w:rsidRDefault="00F337C0" w:rsidP="00F337C0">
      <w:pPr>
        <w:pStyle w:val="BodyText"/>
        <w:ind w:left="1440"/>
      </w:pPr>
      <w:r>
        <w:t>(B)</w:t>
      </w:r>
      <w:r>
        <w:tab/>
      </w:r>
      <w:r w:rsidRPr="00A33F9B">
        <w:rPr>
          <w:u w:val="single"/>
        </w:rPr>
        <w:t>if the Central 70 Note is not Outstanding</w:t>
      </w:r>
      <w:r>
        <w:t>, unless otherwise provided in a Supplemental Indenture, in an amount which, together with any amounts then on deposit in such Account (including but not limited to any amount on deposit in such Account representing Federal Direct Payments received with respect to First Tier Subordinate Bonds), equals the sum of</w:t>
      </w:r>
    </w:p>
    <w:p w:rsidR="00F337C0" w:rsidRDefault="00F337C0" w:rsidP="00F337C0">
      <w:pPr>
        <w:pStyle w:val="BodyText"/>
        <w:ind w:left="2160"/>
      </w:pPr>
      <w:r>
        <w:t>(1)</w:t>
      </w:r>
      <w:r>
        <w:tab/>
        <w:t>the interest due (including the interest component of the Redemption Price due in connection with any Scheduled Mandatory Redemption or Purchase) on any Series of First Tier Subordinate Bonds on all Debt Service Payment Dates for such Series of First Tier Subordinate Bonds that occur on or within 12 months after the first day of the immediately succeeding calendar month, minus any moneys that are to be transferred to such Account from the Capitalized Interest Account on or before such Debt Service Payment Dates; and</w:t>
      </w:r>
    </w:p>
    <w:p w:rsidR="00F337C0" w:rsidRDefault="00F337C0" w:rsidP="00F337C0">
      <w:pPr>
        <w:pStyle w:val="BodyText"/>
        <w:ind w:left="2160"/>
      </w:pPr>
      <w:r>
        <w:t>(2)</w:t>
      </w:r>
      <w:r>
        <w:tab/>
        <w:t>the principal or Maturity Value due (including the principal component of the Redemption Price due on any Current Interest Bond and the Redemption Price due on any Capital Appreciation Bond in connection with any Scheduled Mandatory Redemption or Purchase) on any Series of First Tier Subordinate Bonds on any Debt Service Payment Date for such Series of First Tier Subordinate Bonds that occurs on or within 12 months after the first day of the immediately succeeding calendar month;</w:t>
      </w:r>
    </w:p>
    <w:p w:rsidR="00F337C0" w:rsidRDefault="00F337C0" w:rsidP="00F337C0">
      <w:pPr>
        <w:pStyle w:val="BodyText"/>
        <w:ind w:left="720"/>
      </w:pPr>
      <w:r>
        <w:t>(iii)</w:t>
      </w:r>
      <w:r>
        <w:tab/>
      </w:r>
      <w:r w:rsidRPr="00F337C0">
        <w:rPr>
          <w:i/>
        </w:rPr>
        <w:t>third</w:t>
      </w:r>
      <w:r>
        <w:t>, to the Second Tier Subordinate Bonds Debt Service Account in an amount which equals the sum of:</w:t>
      </w:r>
    </w:p>
    <w:p w:rsidR="00F337C0" w:rsidRDefault="00F337C0" w:rsidP="00F337C0">
      <w:pPr>
        <w:pStyle w:val="BodyText"/>
        <w:ind w:left="1440"/>
      </w:pPr>
      <w:r>
        <w:t>(A)</w:t>
      </w:r>
      <w:r>
        <w:tab/>
      </w:r>
      <w:r w:rsidRPr="00A33F9B">
        <w:rPr>
          <w:u w:val="single"/>
        </w:rPr>
        <w:t>If the Central 70 Note is Outstanding</w:t>
      </w:r>
      <w:r>
        <w:t>:</w:t>
      </w:r>
    </w:p>
    <w:p w:rsidR="00F337C0" w:rsidRDefault="00F337C0" w:rsidP="00F337C0">
      <w:pPr>
        <w:pStyle w:val="BodyText"/>
        <w:ind w:left="2160"/>
      </w:pPr>
      <w:r>
        <w:t>(1)</w:t>
      </w:r>
      <w:r>
        <w:tab/>
        <w:t>one-sixth of the difference of (y) the interest due (including the interest component of the Redemption Price due in connection with any Scheduled Mandatory Redemption or Purchase) on any Series of Second Tier Subordinate Bonds on all Debt Service Payment Dates for such Series of Second Tier Subordinate Bonds that occur on or within six months after the first day of the immediately succeeding calendar month, minus (z) any Second Tier Subordinate Capitalized Interest Deposit to be made to the Second Tier Subordinate Bonds Debt Service Account on or prior to all Debt Service Payment Dates that occur on or within six months after the first day of the immediately succeeding calendar month, provided that sufficient amounts will be transferred or disbursed to the Second Tier Subordinate Bonds Debt Service Account so that at least the full amount of interest due (including the interest component of the Redemption Price due in connection with any Scheduled Mandatory Redemption or Purchase) on any Series of Second Tier Subordinate Bonds will be on deposit in the Second Tier Subordinate Bonds Debt Service Account on or prior to all Debt Service Payment Dates; and</w:t>
      </w:r>
    </w:p>
    <w:p w:rsidR="00F337C0" w:rsidRDefault="00F337C0" w:rsidP="00F337C0">
      <w:pPr>
        <w:pStyle w:val="BodyText"/>
        <w:ind w:left="2160"/>
      </w:pPr>
      <w:r>
        <w:t>(2)</w:t>
      </w:r>
      <w:r>
        <w:tab/>
        <w:t xml:space="preserve">one-twelfth of the principal or Maturity Value due (including the principal component of the Redemption Price due on any Current Interest Bond and the Redemption Price due on any Capital Appreciation Bond in connection with any Scheduled Mandatory Redemption or Purchase) on any Series of Second Tier Subordinate Bonds on any Debt Service Payment Date for such Series of Second Tier Subordinate Bonds that occurs on or within twelve months after the first day of the immediately succeeding calendar month, provided that sufficient amounts will be transferred or disbursed to the Second Tier Subordinate Bonds Debt Service Account so that at least the full amount of the principal or Maturity Value due (including the principal component of the Redemption Price due on any Current Interest Bond and the Redemption Price due on any Capital Appreciation Bond in connection with any Scheduled Mandatory Redemption or Purchase) on any Series of Second Tier Subordinate Bonds will be on deposit in the Second Tier Subordinate Bonds Debt Service Account on or prior to all Debt Service Payment Dates; </w:t>
      </w:r>
    </w:p>
    <w:p w:rsidR="00F337C0" w:rsidRDefault="00F337C0" w:rsidP="00F337C0">
      <w:pPr>
        <w:pStyle w:val="BodyText"/>
        <w:ind w:left="1440"/>
      </w:pPr>
      <w:r>
        <w:t>(B)</w:t>
      </w:r>
      <w:r>
        <w:tab/>
      </w:r>
      <w:r w:rsidRPr="00A33F9B">
        <w:rPr>
          <w:u w:val="single"/>
        </w:rPr>
        <w:t>If the Central 70 Note is not Outstanding</w:t>
      </w:r>
      <w:r>
        <w:t>, unless otherwise provided in a Supplemental Indenture:</w:t>
      </w:r>
    </w:p>
    <w:p w:rsidR="00F337C0" w:rsidRDefault="00F337C0" w:rsidP="00F337C0">
      <w:pPr>
        <w:pStyle w:val="BodyText"/>
        <w:ind w:left="2160"/>
      </w:pPr>
      <w:r>
        <w:t>(1)</w:t>
      </w:r>
      <w:r>
        <w:tab/>
        <w:t>one-sixth of the difference of (y) the interest due (including the interest component of the Redemption Price due in connection with any Scheduled Mandatory Redemption or Purchase) on any Series of Second Tier Subordinate Bonds on all Debt Service Payment Dates for such Series of Second Tier Subordinate Bonds that occur on or within six months after the first day of the immediately succeeding calendar month, minus (z) any Second Tier Subordinate Capitalized Interest Deposit to be made to the Second Tier Subordinate Bonds Debt Service Account on or prior to all Debt Service Payment Dates that occur on or within six months after the first day of the immediately succeeding calendar month, provided that sufficient amounts will be transferred or disbursed to the Second Tier Subordinate Bonds Debt Service Account so that at least the full amount of interest due (including the interest component of the Redemption Price due in connection with any Scheduled Mandatory Redemption or Purchase) on any Series of Second Tier Subordinate Bonds will be on deposit in the Second Tier Subordinate Bonds Debt Service Account on or prior to all Debt Service Payment Dates; and</w:t>
      </w:r>
    </w:p>
    <w:p w:rsidR="00F337C0" w:rsidRDefault="00F337C0" w:rsidP="00F337C0">
      <w:pPr>
        <w:pStyle w:val="BodyText"/>
        <w:ind w:left="2160"/>
      </w:pPr>
      <w:r>
        <w:t>(2)</w:t>
      </w:r>
      <w:r>
        <w:tab/>
        <w:t>one-twelfth of the principal or Maturity Value due (including the principal component of the Redemption Price due on any Current Interest Bond and the Redemption Price due on any Capital Appreciation Bond in connection with any Scheduled Mandatory Redemption or Purchase) on any Series of Second Tier Subordinate Bonds on any Debt Service Payment Date for such Series of Second Tier Subordinate Bonds that occurs on or within twelve months after the first day of the immediately succeeding calendar month, provided that sufficient amounts will be transferred or disbursed to the Second Tier Subordinate Bonds Debt Service Account so that at least the full amount of the principal or Maturity Value due (including the principal component of the Redemption Price due on any Current Interest Bond and the Redemption Price due on any Capital Appreciation Bond in connection with any Scheduled Mandatory Redemption or Purchase) on any Series of Second Tier Subordinate Bonds will be on deposit in the Second Tier Subordinate Bonds Debt Service Account on or prior to all Debt Service Payment Dates; and</w:t>
      </w:r>
    </w:p>
    <w:p w:rsidR="00F337C0" w:rsidRDefault="00F337C0" w:rsidP="00F337C0">
      <w:pPr>
        <w:pStyle w:val="BodyText"/>
        <w:ind w:left="720"/>
      </w:pPr>
      <w:r>
        <w:t>(iv)</w:t>
      </w:r>
      <w:r>
        <w:tab/>
      </w:r>
      <w:r w:rsidRPr="00F337C0">
        <w:rPr>
          <w:i/>
        </w:rPr>
        <w:t>fourth</w:t>
      </w:r>
      <w:r>
        <w:t xml:space="preserve">, to the Rebate Account in an amount which, together with any amounts then on deposit in such Account, equals the amount required to be on deposit in such Account pursuant to </w:t>
      </w:r>
      <w:r w:rsidR="009522D1">
        <w:t xml:space="preserve">the Master Indenture </w:t>
      </w:r>
      <w:r>
        <w:t>and the Tax Compliance Certificates.</w:t>
      </w:r>
    </w:p>
    <w:p w:rsidR="00F337C0" w:rsidRDefault="00F337C0" w:rsidP="00F337C0">
      <w:pPr>
        <w:pStyle w:val="BodyText"/>
      </w:pPr>
      <w:r>
        <w:t xml:space="preserve">On or before the tenth Business Day prior to the last day of each calendar month (or such other date as specified in a Supplemental Indenture), the Trustee will provide written notice to the Bridge Enterprise as to the amounts that the State Treasurer should be transferring or disbursing from the General Account to the Accounts described in clauses (i) through (iv) above on the last day of the calendar month (or such other date as specified in a Supplemental Indenture). </w:t>
      </w:r>
    </w:p>
    <w:p w:rsidR="00F337C0" w:rsidRDefault="00F337C0" w:rsidP="00F337C0">
      <w:pPr>
        <w:pStyle w:val="BodyText"/>
      </w:pPr>
      <w:r>
        <w:t>On or before the fifth Business Day prior to the last day of each calendar month (or such other date as specified in a Supplemental Indenture), the Bridge Enterprise will provide written notice to the State Treasurer as to the amounts that are required to be transferred or disbursed from the General Account to the Accounts described in clauses (i) through (iv) above on the last day of the calendar month (or such other date as specified in a Supplemental Indenture).</w:t>
      </w:r>
    </w:p>
    <w:p w:rsidR="00F337C0" w:rsidRDefault="00F337C0" w:rsidP="00F337C0">
      <w:pPr>
        <w:pStyle w:val="BodyText"/>
      </w:pPr>
      <w:r>
        <w:t xml:space="preserve">On or before the second Business Day prior to a Payment Date for Central 70 Net Payments, the Bridge Enterprise will provide written notice to the Trustee as to the Central 70 Net Payment required to be made to the Central 70 Developer on such Payment Date for Central 70 Net Payments.  On the Payment Date for Central 70 Net Payments, the Trustee will make or cause to be made to the Central 70 Developer the Central 70 Net Payment due on such Payment Date for Central 70 Net Payments.  </w:t>
      </w:r>
    </w:p>
    <w:p w:rsidR="002E4A0D" w:rsidRDefault="002E4A0D" w:rsidP="002E4A0D">
      <w:pPr>
        <w:pStyle w:val="BodyText"/>
      </w:pPr>
      <w:r>
        <w:t xml:space="preserve">To the extent moneys in the General Account are not required to be transferred to the accounts of the Debt Service Account as described </w:t>
      </w:r>
      <w:r w:rsidR="00AA5028">
        <w:t>above</w:t>
      </w:r>
      <w:r>
        <w:t>, the Bridge Enterprise is required to cause the State Treasurer to transfer or disburse available moneys from the General Account (</w:t>
      </w:r>
      <w:r w:rsidR="001E741A">
        <w:t>a</w:t>
      </w:r>
      <w:r>
        <w:t>) for any purpose for which the moneys in the Bridge Special Fund may be used under FASTER (provided no Event of Default then exists), including, among other matters, payment of operation and maintenance expenses of the Designated Bridges as to which ownership has been transferred to the Bridge Enterprise (see “THE BRIDGE ENTERPRISE</w:t>
      </w:r>
      <w:r w:rsidR="002E5EAF">
        <w:t>—</w:t>
      </w:r>
      <w:r>
        <w:t>Material Agreements</w:t>
      </w:r>
      <w:r w:rsidR="002E5EAF">
        <w:t>—</w:t>
      </w:r>
      <w:r>
        <w:t>Bridge Maintenance Agreement”)</w:t>
      </w:r>
      <w:r w:rsidR="001E741A">
        <w:t>;</w:t>
      </w:r>
      <w:r>
        <w:t xml:space="preserve"> (</w:t>
      </w:r>
      <w:r w:rsidR="001E741A">
        <w:t>b</w:t>
      </w:r>
      <w:r>
        <w:t>) to pay the Debt Service on or Redemption Price of Bonds of the same Tier of Bonds if moneys on deposit in the Debt Service Account for such Tier of Bonds are insufficient for such purpose</w:t>
      </w:r>
      <w:r w:rsidR="001E741A">
        <w:t>;</w:t>
      </w:r>
      <w:r>
        <w:t xml:space="preserve"> and (</w:t>
      </w:r>
      <w:r w:rsidR="001E741A">
        <w:t>c</w:t>
      </w:r>
      <w:r>
        <w:t>) if an Event of Default has occurred and is continuing, to the Debt Service Accounts as provided in the provisions of the Master Indenture governing the application of moneys in the Event of Default</w:t>
      </w:r>
      <w:r w:rsidR="009F27D6">
        <w:t xml:space="preserve">.  </w:t>
      </w:r>
      <w:r>
        <w:t xml:space="preserve">See </w:t>
      </w:r>
      <w:r w:rsidR="001E741A">
        <w:t xml:space="preserve">“APPENDIX </w:t>
      </w:r>
      <w:r w:rsidR="00AA5028">
        <w:t>D</w:t>
      </w:r>
      <w:r w:rsidR="001E741A">
        <w:t>—</w:t>
      </w:r>
      <w:r w:rsidR="000B3B31">
        <w:t xml:space="preserve">SUMMARY OF CERTAIN PROVISIONS OF THE </w:t>
      </w:r>
      <w:r w:rsidR="00AA5028">
        <w:t>INDENTURE</w:t>
      </w:r>
      <w:r w:rsidR="001E741A">
        <w:t>—FUNDS AND ACCOUNTS”</w:t>
      </w:r>
      <w:r>
        <w:t xml:space="preserve"> hereto.</w:t>
      </w:r>
    </w:p>
    <w:p w:rsidR="00744074" w:rsidRDefault="00744074">
      <w:pPr>
        <w:spacing w:after="200" w:line="276" w:lineRule="auto"/>
        <w:jc w:val="left"/>
      </w:pPr>
      <w:r>
        <w:br w:type="page"/>
      </w:r>
    </w:p>
    <w:p w:rsidR="00744074" w:rsidRDefault="00744074" w:rsidP="00744074">
      <w:pPr>
        <w:pStyle w:val="BodyText"/>
      </w:pPr>
      <w:r>
        <w:t>Following is a graphic description of the flow of funds described above.</w:t>
      </w:r>
    </w:p>
    <w:p w:rsidR="00744074" w:rsidRPr="004278BA" w:rsidRDefault="00744074" w:rsidP="00744074">
      <w:pPr>
        <w:pStyle w:val="Centered"/>
        <w:rPr>
          <w:b/>
          <w:sz w:val="20"/>
        </w:rPr>
      </w:pPr>
      <w:r>
        <w:rPr>
          <w:b/>
          <w:sz w:val="20"/>
        </w:rPr>
        <w:t>Colorado Bridge Enterprise</w:t>
      </w:r>
      <w:r w:rsidRPr="004278BA">
        <w:rPr>
          <w:b/>
          <w:sz w:val="20"/>
        </w:rPr>
        <w:br/>
        <w:t xml:space="preserve">Flow </w:t>
      </w:r>
      <w:r w:rsidR="00CC5E58">
        <w:rPr>
          <w:b/>
          <w:sz w:val="20"/>
        </w:rPr>
        <w:t>o</w:t>
      </w:r>
      <w:r w:rsidRPr="004278BA">
        <w:rPr>
          <w:b/>
          <w:sz w:val="20"/>
        </w:rPr>
        <w:t>f Funds</w:t>
      </w:r>
    </w:p>
    <w:p w:rsidR="00744074" w:rsidRPr="004278BA" w:rsidRDefault="003D6B1D" w:rsidP="00744074">
      <w:pPr>
        <w:tabs>
          <w:tab w:val="left" w:pos="1700"/>
          <w:tab w:val="left" w:pos="7100"/>
        </w:tabs>
        <w:jc w:val="center"/>
        <w:rPr>
          <w:sz w:val="20"/>
        </w:rPr>
      </w:pPr>
      <w:r w:rsidRPr="003627F8">
        <w:rPr>
          <w:b/>
          <w:noProof/>
        </w:rPr>
        <mc:AlternateContent>
          <mc:Choice Requires="wps">
            <w:drawing>
              <wp:anchor distT="0" distB="0" distL="114300" distR="114300" simplePos="0" relativeHeight="251691008" behindDoc="0" locked="0" layoutInCell="1" allowOverlap="1" wp14:anchorId="257F528E" wp14:editId="208EDB8B">
                <wp:simplePos x="0" y="0"/>
                <wp:positionH relativeFrom="column">
                  <wp:posOffset>2962275</wp:posOffset>
                </wp:positionH>
                <wp:positionV relativeFrom="paragraph">
                  <wp:posOffset>2891155</wp:posOffset>
                </wp:positionV>
                <wp:extent cx="0" cy="172720"/>
                <wp:effectExtent l="57150" t="8255" r="571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2F1D" id="Straight Connector 4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227.65pt" to="233.25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">
                <v:stroke endarrow="block"/>
              </v:line>
            </w:pict>
          </mc:Fallback>
        </mc:AlternateContent>
      </w:r>
      <w:r w:rsidRPr="003627F8">
        <w:rPr>
          <w:b/>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2042961</wp:posOffset>
                </wp:positionV>
                <wp:extent cx="2984500" cy="806450"/>
                <wp:effectExtent l="0" t="0" r="25400" b="1270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806450"/>
                        </a:xfrm>
                        <a:prstGeom prst="rect">
                          <a:avLst/>
                        </a:prstGeom>
                        <a:solidFill>
                          <a:srgbClr val="FFFFFF"/>
                        </a:solidFill>
                        <a:ln w="9525">
                          <a:solidFill>
                            <a:srgbClr val="000000"/>
                          </a:solidFill>
                          <a:miter lim="800000"/>
                          <a:headEnd/>
                          <a:tailEnd/>
                        </a:ln>
                      </wps:spPr>
                      <wps:txbx>
                        <w:txbxContent>
                          <w:p w:rsidR="006F2318" w:rsidRDefault="006F2318" w:rsidP="00744074">
                            <w:pPr>
                              <w:spacing w:before="120"/>
                              <w:jc w:val="center"/>
                              <w:rPr>
                                <w:sz w:val="20"/>
                              </w:rPr>
                            </w:pPr>
                            <w:r>
                              <w:rPr>
                                <w:b/>
                                <w:sz w:val="20"/>
                              </w:rPr>
                              <w:t>First Tier Subordinate Bonds</w:t>
                            </w:r>
                            <w:r>
                              <w:rPr>
                                <w:b/>
                                <w:sz w:val="20"/>
                              </w:rPr>
                              <w:br/>
                              <w:t>Debt Service Account</w:t>
                            </w:r>
                          </w:p>
                          <w:p w:rsidR="006F2318" w:rsidRPr="007C39FA" w:rsidRDefault="006F2318" w:rsidP="003627F8">
                            <w:pPr>
                              <w:spacing w:before="120"/>
                              <w:jc w:val="center"/>
                              <w:rPr>
                                <w:sz w:val="18"/>
                              </w:rPr>
                            </w:pPr>
                            <w:r>
                              <w:rPr>
                                <w:sz w:val="18"/>
                              </w:rPr>
                              <w:t>To pay principal and interest on the First Tier Subordinate Bonds (Central 70 Note)</w:t>
                            </w:r>
                          </w:p>
                          <w:p w:rsidR="006F2318" w:rsidRPr="007C39FA" w:rsidRDefault="006F2318" w:rsidP="0074407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0;margin-top:160.85pt;width:235pt;height:63.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">
                <v:textbox>
                  <w:txbxContent>
                    <w:p w:rsidR="006F2318" w:rsidRDefault="006F2318" w:rsidP="00744074">
                      <w:pPr>
                        <w:spacing w:before="120"/>
                        <w:jc w:val="center"/>
                        <w:rPr>
                          <w:sz w:val="20"/>
                        </w:rPr>
                      </w:pPr>
                      <w:r>
                        <w:rPr>
                          <w:b/>
                          <w:sz w:val="20"/>
                        </w:rPr>
                        <w:t>First Tier Subordinate Bonds</w:t>
                      </w:r>
                      <w:r>
                        <w:rPr>
                          <w:b/>
                          <w:sz w:val="20"/>
                        </w:rPr>
                        <w:br/>
                        <w:t>Debt Service Account</w:t>
                      </w:r>
                    </w:p>
                    <w:p w:rsidR="006F2318" w:rsidRPr="007C39FA" w:rsidRDefault="006F2318" w:rsidP="003627F8">
                      <w:pPr>
                        <w:spacing w:before="120"/>
                        <w:jc w:val="center"/>
                        <w:rPr>
                          <w:sz w:val="18"/>
                        </w:rPr>
                      </w:pPr>
                      <w:r>
                        <w:rPr>
                          <w:sz w:val="18"/>
                        </w:rPr>
                        <w:t>To pay principal and interest on the First Tier Subordinate Bonds (Central 70 Note)</w:t>
                      </w:r>
                    </w:p>
                    <w:p w:rsidR="006F2318" w:rsidRPr="007C39FA" w:rsidRDefault="006F2318" w:rsidP="00744074">
                      <w:pPr>
                        <w:jc w:val="center"/>
                        <w:rPr>
                          <w:b/>
                        </w:rPr>
                      </w:pPr>
                    </w:p>
                  </w:txbxContent>
                </v:textbox>
                <w10:wrap anchorx="margin"/>
              </v:shape>
            </w:pict>
          </mc:Fallback>
        </mc:AlternateContent>
      </w:r>
      <w:r w:rsidRPr="003627F8">
        <w:rPr>
          <w:b/>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3077845</wp:posOffset>
                </wp:positionV>
                <wp:extent cx="2984500" cy="850789"/>
                <wp:effectExtent l="0" t="0" r="25400" b="260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850789"/>
                        </a:xfrm>
                        <a:prstGeom prst="rect">
                          <a:avLst/>
                        </a:prstGeom>
                        <a:solidFill>
                          <a:srgbClr val="FFFFFF"/>
                        </a:solidFill>
                        <a:ln w="9525">
                          <a:solidFill>
                            <a:srgbClr val="000000"/>
                          </a:solidFill>
                          <a:miter lim="800000"/>
                          <a:headEnd/>
                          <a:tailEnd/>
                        </a:ln>
                      </wps:spPr>
                      <wps:txbx>
                        <w:txbxContent>
                          <w:p w:rsidR="006F2318" w:rsidRPr="004278BA" w:rsidRDefault="006F2318" w:rsidP="00744074">
                            <w:pPr>
                              <w:spacing w:before="120"/>
                              <w:jc w:val="center"/>
                              <w:rPr>
                                <w:b/>
                                <w:sz w:val="20"/>
                              </w:rPr>
                            </w:pPr>
                            <w:r>
                              <w:rPr>
                                <w:b/>
                                <w:sz w:val="20"/>
                              </w:rPr>
                              <w:t>Second Tier Subordinate Bonds</w:t>
                            </w:r>
                            <w:r>
                              <w:rPr>
                                <w:b/>
                                <w:sz w:val="20"/>
                              </w:rPr>
                              <w:br/>
                              <w:t>Debt Service Account</w:t>
                            </w:r>
                          </w:p>
                          <w:p w:rsidR="006F2318" w:rsidRPr="007C39FA" w:rsidRDefault="006F2318" w:rsidP="003627F8">
                            <w:pPr>
                              <w:spacing w:before="120"/>
                              <w:jc w:val="center"/>
                              <w:rPr>
                                <w:sz w:val="18"/>
                              </w:rPr>
                            </w:pPr>
                            <w:r>
                              <w:rPr>
                                <w:sz w:val="18"/>
                              </w:rPr>
                              <w:t>To pay principal and interest on the Second Tier Subordinate Bonds (No Second Tier Subordinate Bonds are Outstanding)</w:t>
                            </w:r>
                          </w:p>
                          <w:p w:rsidR="006F2318" w:rsidRPr="00A43964" w:rsidRDefault="006F2318" w:rsidP="00744074">
                            <w:pPr>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0;margin-top:242.35pt;width:235pt;height:6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">
                <v:textbox>
                  <w:txbxContent>
                    <w:p w:rsidR="006F2318" w:rsidRPr="004278BA" w:rsidRDefault="006F2318" w:rsidP="00744074">
                      <w:pPr>
                        <w:spacing w:before="120"/>
                        <w:jc w:val="center"/>
                        <w:rPr>
                          <w:b/>
                          <w:sz w:val="20"/>
                        </w:rPr>
                      </w:pPr>
                      <w:r>
                        <w:rPr>
                          <w:b/>
                          <w:sz w:val="20"/>
                        </w:rPr>
                        <w:t>Second Tier Subordinate Bonds</w:t>
                      </w:r>
                      <w:r>
                        <w:rPr>
                          <w:b/>
                          <w:sz w:val="20"/>
                        </w:rPr>
                        <w:br/>
                        <w:t>Debt Service Account</w:t>
                      </w:r>
                    </w:p>
                    <w:p w:rsidR="006F2318" w:rsidRPr="007C39FA" w:rsidRDefault="006F2318" w:rsidP="003627F8">
                      <w:pPr>
                        <w:spacing w:before="120"/>
                        <w:jc w:val="center"/>
                        <w:rPr>
                          <w:sz w:val="18"/>
                        </w:rPr>
                      </w:pPr>
                      <w:r>
                        <w:rPr>
                          <w:sz w:val="18"/>
                        </w:rPr>
                        <w:t>To pay principal and interest on the Second Tier Subordinate Bonds (No Second Tier Subordinate Bonds are Outstanding)</w:t>
                      </w:r>
                    </w:p>
                    <w:p w:rsidR="006F2318" w:rsidRPr="00A43964" w:rsidRDefault="006F2318" w:rsidP="00744074">
                      <w:pPr>
                        <w:jc w:val="center"/>
                        <w:rPr>
                          <w:sz w:val="18"/>
                        </w:rPr>
                      </w:pPr>
                    </w:p>
                  </w:txbxContent>
                </v:textbox>
                <w10:wrap anchorx="margin"/>
              </v:shape>
            </w:pict>
          </mc:Fallback>
        </mc:AlternateContent>
      </w:r>
      <w:r w:rsidR="00466579" w:rsidRPr="003627F8">
        <w:rPr>
          <w:b/>
          <w:noProof/>
        </w:rPr>
        <mc:AlternateContent>
          <mc:Choice Requires="wps">
            <w:drawing>
              <wp:anchor distT="0" distB="0" distL="114300" distR="114300" simplePos="0" relativeHeight="251688960" behindDoc="0" locked="0" layoutInCell="1" allowOverlap="1" wp14:anchorId="257F528E" wp14:editId="208EDB8B">
                <wp:simplePos x="0" y="0"/>
                <wp:positionH relativeFrom="column">
                  <wp:posOffset>2952695</wp:posOffset>
                </wp:positionH>
                <wp:positionV relativeFrom="paragraph">
                  <wp:posOffset>1832334</wp:posOffset>
                </wp:positionV>
                <wp:extent cx="0" cy="172720"/>
                <wp:effectExtent l="57150" t="8255" r="571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BB69B" id="Straight Connector 4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44.3pt" to="232.5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">
                <v:stroke endarrow="block"/>
              </v:line>
            </w:pict>
          </mc:Fallback>
        </mc:AlternateContent>
      </w:r>
      <w:r w:rsidR="003627F8" w:rsidRPr="003627F8">
        <w:rPr>
          <w:b/>
          <w:noProof/>
        </w:rPr>
        <mc:AlternateContent>
          <mc:Choice Requires="wps">
            <w:drawing>
              <wp:anchor distT="0" distB="0" distL="114300" distR="114300" simplePos="0" relativeHeight="251683840" behindDoc="0" locked="0" layoutInCell="1" allowOverlap="1">
                <wp:simplePos x="0" y="0"/>
                <wp:positionH relativeFrom="column">
                  <wp:posOffset>2947615</wp:posOffset>
                </wp:positionH>
                <wp:positionV relativeFrom="paragraph">
                  <wp:posOffset>865367</wp:posOffset>
                </wp:positionV>
                <wp:extent cx="0" cy="172720"/>
                <wp:effectExtent l="57150" t="8255" r="571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33F9C" id="Straight Connector 3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pt,68.15pt" to="232.1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B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">
                <v:stroke endarrow="block"/>
              </v:line>
            </w:pict>
          </mc:Fallback>
        </mc:AlternateContent>
      </w:r>
      <w:r w:rsidR="003627F8" w:rsidRPr="003627F8">
        <w:rPr>
          <w:b/>
          <w:noProof/>
        </w:rPr>
        <mc:AlternateContent>
          <mc:Choice Requires="wps">
            <w:drawing>
              <wp:anchor distT="0" distB="0" distL="114300" distR="114300" simplePos="0" relativeHeight="251682816" behindDoc="0" locked="0" layoutInCell="1" allowOverlap="1">
                <wp:simplePos x="0" y="0"/>
                <wp:positionH relativeFrom="column">
                  <wp:posOffset>2928841</wp:posOffset>
                </wp:positionH>
                <wp:positionV relativeFrom="paragraph">
                  <wp:posOffset>153118</wp:posOffset>
                </wp:positionV>
                <wp:extent cx="0" cy="172720"/>
                <wp:effectExtent l="52705" t="6985" r="61595" b="203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0BDE" id="Straight Connector 3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pt,12.05pt" to="230.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4Z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gBOqVI&#10;Bz3aeUvEofWo0kqBgtoicIJSvXEFJFRqa0Ot9Kx25lnTbw4pXbVEHXhk/HIxgJKFjORNStg4A/ft&#10;+0+aQQw5eh1lOze2C5AgCDrH7lzu3eFnj+hwSOE0e5w8TmL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">
                <v:stroke endarrow="block"/>
              </v:line>
            </w:pict>
          </mc:Fallback>
        </mc:AlternateContent>
      </w:r>
      <w:r w:rsidR="003627F8" w:rsidRPr="003627F8">
        <w:rPr>
          <w:b/>
          <w:noProof/>
          <w:sz w:val="20"/>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1094105</wp:posOffset>
                </wp:positionV>
                <wp:extent cx="2984500" cy="683812"/>
                <wp:effectExtent l="0" t="0" r="25400" b="215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683812"/>
                        </a:xfrm>
                        <a:prstGeom prst="rect">
                          <a:avLst/>
                        </a:prstGeom>
                        <a:solidFill>
                          <a:srgbClr val="FFFFFF"/>
                        </a:solidFill>
                        <a:ln w="9525">
                          <a:solidFill>
                            <a:srgbClr val="000000"/>
                          </a:solidFill>
                          <a:miter lim="800000"/>
                          <a:headEnd/>
                          <a:tailEnd/>
                        </a:ln>
                      </wps:spPr>
                      <wps:txbx>
                        <w:txbxContent>
                          <w:p w:rsidR="006F2318" w:rsidRDefault="006F2318" w:rsidP="00744074">
                            <w:pPr>
                              <w:spacing w:before="120"/>
                              <w:jc w:val="center"/>
                              <w:rPr>
                                <w:sz w:val="20"/>
                              </w:rPr>
                            </w:pPr>
                            <w:r>
                              <w:rPr>
                                <w:b/>
                                <w:sz w:val="20"/>
                              </w:rPr>
                              <w:t>Senior Bonds Debt Service Account</w:t>
                            </w:r>
                          </w:p>
                          <w:p w:rsidR="006F2318" w:rsidRPr="007C39FA" w:rsidRDefault="006F2318" w:rsidP="003627F8">
                            <w:pPr>
                              <w:spacing w:before="120"/>
                              <w:jc w:val="center"/>
                              <w:rPr>
                                <w:sz w:val="18"/>
                              </w:rPr>
                            </w:pPr>
                            <w:r>
                              <w:rPr>
                                <w:sz w:val="18"/>
                              </w:rPr>
                              <w:t>To pay principal and interest on the Senior Bonds</w:t>
                            </w:r>
                            <w:r>
                              <w:rPr>
                                <w:sz w:val="18"/>
                              </w:rPr>
                              <w:br/>
                              <w:t>(Series 2019A Senior Bonds and Series 2010 Senior Bonds)</w:t>
                            </w:r>
                            <w:r w:rsidRPr="00833ABF">
                              <w:rPr>
                                <w:sz w:val="18"/>
                                <w:vertAlign w:val="superscript"/>
                              </w:rPr>
                              <w:t>1</w:t>
                            </w:r>
                          </w:p>
                          <w:p w:rsidR="006F2318" w:rsidRPr="007C39FA" w:rsidRDefault="006F2318" w:rsidP="003627F8">
                            <w:pPr>
                              <w:spacing w:before="120"/>
                              <w:jc w:val="cente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0;margin-top:86.15pt;width:235pt;height:53.8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">
                <v:textbox>
                  <w:txbxContent>
                    <w:p w:rsidR="006F2318" w:rsidRDefault="006F2318" w:rsidP="00744074">
                      <w:pPr>
                        <w:spacing w:before="120"/>
                        <w:jc w:val="center"/>
                        <w:rPr>
                          <w:sz w:val="20"/>
                        </w:rPr>
                      </w:pPr>
                      <w:r>
                        <w:rPr>
                          <w:b/>
                          <w:sz w:val="20"/>
                        </w:rPr>
                        <w:t>Senior Bonds Debt Service Account</w:t>
                      </w:r>
                    </w:p>
                    <w:p w:rsidR="006F2318" w:rsidRPr="007C39FA" w:rsidRDefault="006F2318" w:rsidP="003627F8">
                      <w:pPr>
                        <w:spacing w:before="120"/>
                        <w:jc w:val="center"/>
                        <w:rPr>
                          <w:sz w:val="18"/>
                        </w:rPr>
                      </w:pPr>
                      <w:r>
                        <w:rPr>
                          <w:sz w:val="18"/>
                        </w:rPr>
                        <w:t>To pay principal and interest on the Senior Bonds</w:t>
                      </w:r>
                      <w:r>
                        <w:rPr>
                          <w:sz w:val="18"/>
                        </w:rPr>
                        <w:br/>
                        <w:t>(Series 2019A Senior Bonds and Series 2010 Senior Bonds)</w:t>
                      </w:r>
                      <w:r w:rsidRPr="00833ABF">
                        <w:rPr>
                          <w:sz w:val="18"/>
                          <w:vertAlign w:val="superscript"/>
                        </w:rPr>
                        <w:t>1</w:t>
                      </w:r>
                    </w:p>
                    <w:p w:rsidR="006F2318" w:rsidRPr="007C39FA" w:rsidRDefault="006F2318" w:rsidP="003627F8">
                      <w:pPr>
                        <w:spacing w:before="120"/>
                        <w:jc w:val="center"/>
                        <w:rPr>
                          <w:sz w:val="18"/>
                        </w:rPr>
                      </w:pPr>
                    </w:p>
                  </w:txbxContent>
                </v:textbox>
                <w10:wrap anchorx="margin"/>
              </v:shape>
            </w:pict>
          </mc:Fallback>
        </mc:AlternateContent>
      </w:r>
      <w:r w:rsidR="00744074" w:rsidRPr="003627F8">
        <w:rPr>
          <w:b/>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358940</wp:posOffset>
                </wp:positionV>
                <wp:extent cx="2921000" cy="431800"/>
                <wp:effectExtent l="0" t="0" r="12700" b="254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431800"/>
                        </a:xfrm>
                        <a:prstGeom prst="rect">
                          <a:avLst/>
                        </a:prstGeom>
                        <a:solidFill>
                          <a:srgbClr val="FFFFFF"/>
                        </a:solidFill>
                        <a:ln w="9525">
                          <a:solidFill>
                            <a:srgbClr val="000000"/>
                          </a:solidFill>
                          <a:miter lim="800000"/>
                          <a:headEnd/>
                          <a:tailEnd/>
                        </a:ln>
                      </wps:spPr>
                      <wps:txbx>
                        <w:txbxContent>
                          <w:p w:rsidR="006F2318" w:rsidRPr="00FA49C8" w:rsidRDefault="006F2318" w:rsidP="00744074">
                            <w:pPr>
                              <w:spacing w:before="120"/>
                              <w:jc w:val="center"/>
                              <w:rPr>
                                <w:b/>
                                <w:sz w:val="20"/>
                              </w:rPr>
                            </w:pPr>
                            <w:r>
                              <w:rPr>
                                <w:b/>
                                <w:sz w:val="20"/>
                              </w:rPr>
                              <w:t xml:space="preserve">General </w:t>
                            </w:r>
                            <w:r w:rsidRPr="00FA49C8">
                              <w:rPr>
                                <w:b/>
                                <w:sz w:val="20"/>
                              </w:rPr>
                              <w:t>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0;margin-top:28.25pt;width:230pt;height:3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">
                <v:textbox>
                  <w:txbxContent>
                    <w:p w:rsidR="006F2318" w:rsidRPr="00FA49C8" w:rsidRDefault="006F2318" w:rsidP="00744074">
                      <w:pPr>
                        <w:spacing w:before="120"/>
                        <w:jc w:val="center"/>
                        <w:rPr>
                          <w:b/>
                          <w:sz w:val="20"/>
                        </w:rPr>
                      </w:pPr>
                      <w:r>
                        <w:rPr>
                          <w:b/>
                          <w:sz w:val="20"/>
                        </w:rPr>
                        <w:t xml:space="preserve">General </w:t>
                      </w:r>
                      <w:r w:rsidRPr="00FA49C8">
                        <w:rPr>
                          <w:b/>
                          <w:sz w:val="20"/>
                        </w:rPr>
                        <w:t>Account</w:t>
                      </w:r>
                    </w:p>
                  </w:txbxContent>
                </v:textbox>
                <w10:wrap anchorx="margin"/>
              </v:shape>
            </w:pict>
          </mc:Fallback>
        </mc:AlternateContent>
      </w:r>
      <w:r w:rsidR="003627F8" w:rsidRPr="003627F8">
        <w:rPr>
          <w:b/>
          <w:sz w:val="20"/>
        </w:rPr>
        <w:t>REVENUES</w:t>
      </w:r>
      <w:r w:rsidR="00744074">
        <w:rPr>
          <w:noProof/>
          <w:sz w:val="20"/>
        </w:rPr>
        <mc:AlternateContent>
          <mc:Choice Requires="wps">
            <w:drawing>
              <wp:inline distT="0" distB="0" distL="0" distR="0">
                <wp:extent cx="5908040" cy="345884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8040" cy="345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7A95A" id="Rectangle 3" o:spid="_x0000_s1026" style="width:465.2pt;height:2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" filled="f" stroked="f">
                <o:lock v:ext="edit" aspectratio="t"/>
                <w10:anchorlock/>
              </v:rect>
            </w:pict>
          </mc:Fallback>
        </mc:AlternateContent>
      </w:r>
    </w:p>
    <w:p w:rsidR="00466579" w:rsidRDefault="00466579" w:rsidP="00744074">
      <w:pPr>
        <w:pStyle w:val="BodyText"/>
      </w:pPr>
    </w:p>
    <w:p w:rsidR="00744074" w:rsidRPr="004278BA" w:rsidRDefault="0019477E" w:rsidP="00744074">
      <w:pPr>
        <w:pStyle w:val="BodyText"/>
      </w:pPr>
      <w:r w:rsidRPr="003627F8">
        <w:rPr>
          <w:b/>
          <w:noProof/>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55245</wp:posOffset>
                </wp:positionV>
                <wp:extent cx="0" cy="172720"/>
                <wp:effectExtent l="76200" t="0" r="57150" b="558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3B655" id="Straight Connector 23" o:spid="_x0000_s1026" style="position:absolute;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5pt" to="0,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">
                <v:stroke endarrow="block"/>
                <w10:wrap anchorx="margin"/>
              </v:line>
            </w:pict>
          </mc:Fallback>
        </mc:AlternateContent>
      </w:r>
    </w:p>
    <w:p w:rsidR="00744074" w:rsidRPr="004278BA" w:rsidRDefault="003D6B1D" w:rsidP="00744074">
      <w:pPr>
        <w:pStyle w:val="BodyText"/>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10160</wp:posOffset>
                </wp:positionV>
                <wp:extent cx="2984500" cy="445135"/>
                <wp:effectExtent l="0" t="0" r="2540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445135"/>
                        </a:xfrm>
                        <a:prstGeom prst="rect">
                          <a:avLst/>
                        </a:prstGeom>
                        <a:solidFill>
                          <a:srgbClr val="FFFFFF"/>
                        </a:solidFill>
                        <a:ln w="9525">
                          <a:solidFill>
                            <a:srgbClr val="000000"/>
                          </a:solidFill>
                          <a:miter lim="800000"/>
                          <a:headEnd/>
                          <a:tailEnd/>
                        </a:ln>
                      </wps:spPr>
                      <wps:txbx>
                        <w:txbxContent>
                          <w:p w:rsidR="006F2318" w:rsidRPr="004278BA" w:rsidRDefault="006F2318" w:rsidP="00744074">
                            <w:pPr>
                              <w:spacing w:before="120"/>
                              <w:jc w:val="center"/>
                              <w:rPr>
                                <w:b/>
                                <w:sz w:val="20"/>
                              </w:rPr>
                            </w:pPr>
                            <w:r>
                              <w:rPr>
                                <w:b/>
                                <w:sz w:val="20"/>
                              </w:rPr>
                              <w:t>Rebate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0;margin-top:.8pt;width:235pt;height:35.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">
                <v:textbox>
                  <w:txbxContent>
                    <w:p w:rsidR="006F2318" w:rsidRPr="004278BA" w:rsidRDefault="006F2318" w:rsidP="00744074">
                      <w:pPr>
                        <w:spacing w:before="120"/>
                        <w:jc w:val="center"/>
                        <w:rPr>
                          <w:b/>
                          <w:sz w:val="20"/>
                        </w:rPr>
                      </w:pPr>
                      <w:r>
                        <w:rPr>
                          <w:b/>
                          <w:sz w:val="20"/>
                        </w:rPr>
                        <w:t>Rebate Account</w:t>
                      </w:r>
                    </w:p>
                  </w:txbxContent>
                </v:textbox>
                <w10:wrap anchorx="margin"/>
              </v:shape>
            </w:pict>
          </mc:Fallback>
        </mc:AlternateContent>
      </w:r>
    </w:p>
    <w:p w:rsidR="00744074" w:rsidRDefault="00466579" w:rsidP="00744074">
      <w:pPr>
        <w:pStyle w:val="BodyText"/>
      </w:pPr>
      <w:r w:rsidRPr="003627F8">
        <w:rPr>
          <w:b/>
          <w:noProof/>
        </w:rPr>
        <mc:AlternateContent>
          <mc:Choice Requires="wps">
            <w:drawing>
              <wp:anchor distT="0" distB="0" distL="114300" distR="114300" simplePos="0" relativeHeight="251685888" behindDoc="0" locked="0" layoutInCell="1" allowOverlap="1">
                <wp:simplePos x="0" y="0"/>
                <wp:positionH relativeFrom="margin">
                  <wp:posOffset>2981325</wp:posOffset>
                </wp:positionH>
                <wp:positionV relativeFrom="paragraph">
                  <wp:posOffset>222885</wp:posOffset>
                </wp:positionV>
                <wp:extent cx="0" cy="172720"/>
                <wp:effectExtent l="76200" t="0" r="57150" b="5588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5843B" id="Straight Connector 40"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4.75pt,17.55pt" to="234.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">
                <v:stroke endarrow="block"/>
                <w10:wrap anchorx="margin"/>
              </v:line>
            </w:pict>
          </mc:Fallback>
        </mc:AlternateContent>
      </w:r>
    </w:p>
    <w:p w:rsidR="00466579" w:rsidRPr="004278BA" w:rsidRDefault="00466579" w:rsidP="00744074">
      <w:pPr>
        <w:pStyle w:val="BodyText"/>
      </w:pPr>
      <w:r>
        <w:rPr>
          <w:noProof/>
        </w:rPr>
        <mc:AlternateContent>
          <mc:Choice Requires="wps">
            <w:drawing>
              <wp:anchor distT="0" distB="0" distL="114300" distR="114300" simplePos="0" relativeHeight="251693056" behindDoc="0" locked="0" layoutInCell="1" allowOverlap="1" wp14:anchorId="68DC2402" wp14:editId="605E5504">
                <wp:simplePos x="0" y="0"/>
                <wp:positionH relativeFrom="margin">
                  <wp:align>center</wp:align>
                </wp:positionH>
                <wp:positionV relativeFrom="paragraph">
                  <wp:posOffset>162560</wp:posOffset>
                </wp:positionV>
                <wp:extent cx="2984500" cy="516835"/>
                <wp:effectExtent l="0" t="0" r="25400" b="171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516835"/>
                        </a:xfrm>
                        <a:prstGeom prst="rect">
                          <a:avLst/>
                        </a:prstGeom>
                        <a:solidFill>
                          <a:srgbClr val="FFFFFF"/>
                        </a:solidFill>
                        <a:ln w="9525">
                          <a:solidFill>
                            <a:srgbClr val="000000"/>
                          </a:solidFill>
                          <a:miter lim="800000"/>
                          <a:headEnd/>
                          <a:tailEnd/>
                        </a:ln>
                      </wps:spPr>
                      <wps:txbx>
                        <w:txbxContent>
                          <w:p w:rsidR="006F2318" w:rsidRDefault="006F2318" w:rsidP="00466579">
                            <w:pPr>
                              <w:jc w:val="center"/>
                            </w:pPr>
                            <w:r>
                              <w:rPr>
                                <w:b/>
                                <w:sz w:val="20"/>
                              </w:rPr>
                              <w:t>Any Lawful Purpose as Provided in FASTER</w:t>
                            </w:r>
                            <w:r>
                              <w:rPr>
                                <w:b/>
                                <w:sz w:val="20"/>
                              </w:rPr>
                              <w:br/>
                              <w:t>and the Indenture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2402" id="Text Box 46" o:spid="_x0000_s1033" type="#_x0000_t202" style="position:absolute;left:0;text-align:left;margin-left:0;margin-top:12.8pt;width:235pt;height:40.7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">
                <v:textbox>
                  <w:txbxContent>
                    <w:p w:rsidR="006F2318" w:rsidRDefault="006F2318" w:rsidP="00466579">
                      <w:pPr>
                        <w:jc w:val="center"/>
                      </w:pPr>
                      <w:r>
                        <w:rPr>
                          <w:b/>
                          <w:sz w:val="20"/>
                        </w:rPr>
                        <w:t>Any Lawful Purpose as Provided in FASTER</w:t>
                      </w:r>
                      <w:r>
                        <w:rPr>
                          <w:b/>
                          <w:sz w:val="20"/>
                        </w:rPr>
                        <w:br/>
                        <w:t>and the Indenture</w:t>
                      </w:r>
                    </w:p>
                  </w:txbxContent>
                </v:textbox>
                <w10:wrap anchorx="margin"/>
              </v:shape>
            </w:pict>
          </mc:Fallback>
        </mc:AlternateContent>
      </w:r>
    </w:p>
    <w:p w:rsidR="00744074" w:rsidRDefault="00744074" w:rsidP="00744074">
      <w:pPr>
        <w:pStyle w:val="BodyText"/>
        <w:spacing w:after="0"/>
      </w:pPr>
    </w:p>
    <w:p w:rsidR="00CC5E58" w:rsidRDefault="00CC5E58" w:rsidP="00744074">
      <w:pPr>
        <w:pStyle w:val="BodyText"/>
        <w:spacing w:after="0"/>
      </w:pPr>
    </w:p>
    <w:p w:rsidR="00CC5E58" w:rsidRDefault="00CC5E58" w:rsidP="00744074">
      <w:pPr>
        <w:pStyle w:val="BodyText"/>
        <w:spacing w:after="0"/>
      </w:pPr>
    </w:p>
    <w:p w:rsidR="00CC5E58" w:rsidRPr="00833ABF" w:rsidRDefault="00833ABF" w:rsidP="00833ABF">
      <w:pPr>
        <w:pStyle w:val="BodyText"/>
        <w:spacing w:after="0"/>
        <w:ind w:left="1440" w:firstLine="0"/>
        <w:rPr>
          <w:sz w:val="20"/>
          <w:u w:val="single"/>
        </w:rPr>
      </w:pPr>
      <w:r w:rsidRPr="00833ABF">
        <w:rPr>
          <w:sz w:val="20"/>
          <w:u w:val="single"/>
        </w:rPr>
        <w:tab/>
      </w:r>
      <w:r w:rsidRPr="00833ABF">
        <w:rPr>
          <w:sz w:val="20"/>
          <w:u w:val="single"/>
        </w:rPr>
        <w:tab/>
      </w:r>
      <w:r w:rsidRPr="00833ABF">
        <w:rPr>
          <w:sz w:val="20"/>
          <w:u w:val="single"/>
        </w:rPr>
        <w:tab/>
      </w:r>
    </w:p>
    <w:p w:rsidR="00833ABF" w:rsidRPr="00833ABF" w:rsidRDefault="00833ABF" w:rsidP="00833ABF">
      <w:pPr>
        <w:pStyle w:val="BodyText"/>
        <w:spacing w:after="0"/>
        <w:ind w:left="1620" w:hanging="180"/>
        <w:rPr>
          <w:sz w:val="20"/>
        </w:rPr>
      </w:pPr>
      <w:r w:rsidRPr="00833ABF">
        <w:rPr>
          <w:sz w:val="20"/>
          <w:vertAlign w:val="superscript"/>
        </w:rPr>
        <w:t>1</w:t>
      </w:r>
      <w:r>
        <w:rPr>
          <w:sz w:val="20"/>
        </w:rPr>
        <w:t xml:space="preserve"> </w:t>
      </w:r>
      <w:r>
        <w:rPr>
          <w:sz w:val="20"/>
        </w:rPr>
        <w:tab/>
        <w:t>T</w:t>
      </w:r>
      <w:r w:rsidRPr="00833ABF">
        <w:rPr>
          <w:sz w:val="20"/>
        </w:rPr>
        <w:t>he Master Indenture generally requires that an amount equal to interest due on the Senior Bonds in the next 18 months plus principal due on the Senior Bonds in the next 24 months be on deposit at all times in the Senior Bonds Debt Service Account</w:t>
      </w:r>
    </w:p>
    <w:p w:rsidR="00CC5E58" w:rsidRPr="004278BA" w:rsidRDefault="00CC5E58" w:rsidP="00744074">
      <w:pPr>
        <w:pStyle w:val="BodyText"/>
        <w:spacing w:after="0"/>
      </w:pPr>
    </w:p>
    <w:p w:rsidR="002E4A0D" w:rsidRDefault="002E4A0D" w:rsidP="001E741A">
      <w:pPr>
        <w:pStyle w:val="Kutak1L2"/>
      </w:pPr>
      <w:bookmarkStart w:id="48" w:name="_Toc21694920"/>
      <w:r>
        <w:t>Investment of Moneys</w:t>
      </w:r>
      <w:bookmarkEnd w:id="48"/>
    </w:p>
    <w:p w:rsidR="002E4A0D" w:rsidRDefault="002E4A0D" w:rsidP="002E4A0D">
      <w:pPr>
        <w:pStyle w:val="BodyText"/>
      </w:pPr>
      <w:r>
        <w:t>The Master Indenture requires all moneys held as part of any Account created under the Indenture to be deposited, invested and reinvested in Permitted Investments in accordance with FASTER, subject to any restrictions set forth in any Tax Compliance Certificate</w:t>
      </w:r>
      <w:r w:rsidR="009F27D6">
        <w:t xml:space="preserve">.  </w:t>
      </w:r>
      <w:r>
        <w:t xml:space="preserve">The investment and reinvestment of moneys as part of any Account held by the State Treasurer </w:t>
      </w:r>
      <w:r w:rsidR="00F337C0">
        <w:t>will</w:t>
      </w:r>
      <w:r>
        <w:t xml:space="preserve"> be invested and reinvested by the State Treasurer</w:t>
      </w:r>
      <w:r w:rsidR="009F27D6">
        <w:t xml:space="preserve">.  </w:t>
      </w:r>
      <w:r>
        <w:t xml:space="preserve">The investment and reinvestment of moneys as part of any Account held by the Trustee </w:t>
      </w:r>
      <w:r w:rsidR="00F337C0">
        <w:t>will</w:t>
      </w:r>
      <w:r>
        <w:t xml:space="preserve"> be invested and reinvested by the Trustee as directed in writing by the Bridge Enterprise, which direction may include a direction to invest such moneys with the State Treasurer</w:t>
      </w:r>
      <w:r w:rsidR="009F27D6">
        <w:t xml:space="preserve">.  </w:t>
      </w:r>
      <w:r>
        <w:t xml:space="preserve">Earnings from the investment of moneys held in any Account </w:t>
      </w:r>
      <w:r w:rsidR="00F337C0">
        <w:t>will</w:t>
      </w:r>
      <w:r>
        <w:t xml:space="preserve"> be transferred to the General Account and losses from the investment of moneys held in any Account </w:t>
      </w:r>
      <w:r w:rsidR="00F337C0">
        <w:t>will</w:t>
      </w:r>
      <w:r>
        <w:t xml:space="preserve"> be charged against the Account in which they were realized, with the following exceptions: (</w:t>
      </w:r>
      <w:r w:rsidR="001E741A">
        <w:t>a</w:t>
      </w:r>
      <w:r>
        <w:t xml:space="preserve">) earnings from the investment of moneys in the Bond Proceeds Account </w:t>
      </w:r>
      <w:r w:rsidR="00F337C0">
        <w:t>will</w:t>
      </w:r>
      <w:r>
        <w:t xml:space="preserve"> remain in the Bond Proceeds Account</w:t>
      </w:r>
      <w:r w:rsidR="001E741A">
        <w:t>;</w:t>
      </w:r>
      <w:r>
        <w:t xml:space="preserve"> (</w:t>
      </w:r>
      <w:r w:rsidR="001E741A">
        <w:t>b</w:t>
      </w:r>
      <w:r>
        <w:t xml:space="preserve">) earnings from the investment of moneys in each Capitalized Interest Account, if any, </w:t>
      </w:r>
      <w:r w:rsidR="00F337C0">
        <w:t>will</w:t>
      </w:r>
      <w:r>
        <w:t xml:space="preserve"> remain in such Account</w:t>
      </w:r>
      <w:r w:rsidR="001E741A">
        <w:t>;</w:t>
      </w:r>
      <w:r>
        <w:t xml:space="preserve"> and (</w:t>
      </w:r>
      <w:r w:rsidR="001E741A">
        <w:t>c</w:t>
      </w:r>
      <w:r>
        <w:t xml:space="preserve">) earnings and losses from the investment of moneys held in any Defeasance Escrow Account </w:t>
      </w:r>
      <w:r w:rsidR="00F337C0">
        <w:t>will</w:t>
      </w:r>
      <w:r>
        <w:t xml:space="preserve"> be deposited or charged as provided in the escrow agreement governing such Account.</w:t>
      </w:r>
    </w:p>
    <w:p w:rsidR="002E4A0D" w:rsidRDefault="002E4A0D" w:rsidP="002E4A0D">
      <w:pPr>
        <w:pStyle w:val="BodyText"/>
      </w:pPr>
      <w:r>
        <w:t xml:space="preserve">The Trustee </w:t>
      </w:r>
      <w:r w:rsidR="00F337C0">
        <w:t>will</w:t>
      </w:r>
      <w:r>
        <w:t xml:space="preserve"> sell and reduce to cash a sufficient amount of the investments held in any Fund or Account whenever the cash balance therein is insufficient to make any payment to be made therefrom</w:t>
      </w:r>
      <w:r w:rsidR="009F27D6">
        <w:t xml:space="preserve">.  </w:t>
      </w:r>
      <w:r>
        <w:t xml:space="preserve">In computing the amount in any Fund or Account for any purpose under the Indenture, investments </w:t>
      </w:r>
      <w:r w:rsidR="00F337C0">
        <w:t>will</w:t>
      </w:r>
      <w:r>
        <w:t xml:space="preserve"> be valued at Fair Market Value.</w:t>
      </w:r>
    </w:p>
    <w:p w:rsidR="002E4A0D" w:rsidRDefault="002E4A0D" w:rsidP="001E741A">
      <w:pPr>
        <w:pStyle w:val="Kutak1L2"/>
      </w:pPr>
      <w:bookmarkStart w:id="49" w:name="_Toc21694921"/>
      <w:r>
        <w:t>Issuance of Additional Bonds</w:t>
      </w:r>
      <w:bookmarkEnd w:id="49"/>
    </w:p>
    <w:p w:rsidR="002E4A0D" w:rsidRDefault="002E4A0D" w:rsidP="002E4A0D">
      <w:pPr>
        <w:pStyle w:val="BodyText"/>
      </w:pPr>
      <w:r>
        <w:t>No Bonds may be issued under the Indenture unless the following requirements are satisfied</w:t>
      </w:r>
      <w:r w:rsidR="009F27D6">
        <w:t xml:space="preserve">.  </w:t>
      </w:r>
      <w:r>
        <w:t xml:space="preserve">Certain additional requirements for the issuance of new Bonds are described in </w:t>
      </w:r>
      <w:r w:rsidR="001E741A">
        <w:t xml:space="preserve">“APPENDIX </w:t>
      </w:r>
      <w:r w:rsidR="00C5111D">
        <w:t>D</w:t>
      </w:r>
      <w:r w:rsidR="001E741A">
        <w:t>—</w:t>
      </w:r>
      <w:r w:rsidR="000B3B31">
        <w:t xml:space="preserve">SUMMARY OF CERTAIN PROVISIONS OF THE </w:t>
      </w:r>
      <w:r w:rsidR="00C5111D">
        <w:t>INDENTURE</w:t>
      </w:r>
      <w:r w:rsidR="001E741A">
        <w:t>—AUTHORIZATION, ISSUANCE AND DELIVERY OF BONDS—Conditions to Issuance of Bonds”</w:t>
      </w:r>
      <w:r>
        <w:t xml:space="preserve"> hereto.</w:t>
      </w:r>
    </w:p>
    <w:p w:rsidR="00C5111D" w:rsidRDefault="00C5111D" w:rsidP="00C5111D">
      <w:pPr>
        <w:pStyle w:val="BodyText"/>
        <w:ind w:left="720"/>
      </w:pPr>
      <w:r>
        <w:t>(a)</w:t>
      </w:r>
      <w:r>
        <w:tab/>
        <w:t>If the new Bonds are New Money Bonds and are not issued on the first date on which Bonds are issued, a Bridge Enterprise Representative certifies that:</w:t>
      </w:r>
    </w:p>
    <w:p w:rsidR="00C5111D" w:rsidRDefault="00C5111D" w:rsidP="00C5111D">
      <w:pPr>
        <w:pStyle w:val="BodyText"/>
        <w:ind w:left="1440"/>
      </w:pPr>
      <w:r>
        <w:t>(i)</w:t>
      </w:r>
      <w:r>
        <w:tab/>
        <w:t>the actual ABT Revenues during any 12 consecutive month period out of the 15 calendar month period ending on the last day of the calendar month immediately preceding the date of issuance of such new Bonds (the “historical 12-month test period”), plus the estimated amount (based on assumptions set forth in the certification) of any additional ABT Revenues resulting from increases in Bridge Surcharge rates that would have been received during the 12-month historical test period if an action taken during the 12-month historical test period that increased ABT Revenues resulting from increases in Bridge Surcharge rates would have been taken on the first day of the historical test period, were at least:</w:t>
      </w:r>
    </w:p>
    <w:p w:rsidR="00C5111D" w:rsidRDefault="00C5111D" w:rsidP="00C5111D">
      <w:pPr>
        <w:pStyle w:val="BodyText"/>
        <w:ind w:left="2160"/>
      </w:pPr>
      <w:r>
        <w:t>(A)</w:t>
      </w:r>
      <w:r>
        <w:tab/>
        <w:t>if the new Bonds are Senior Bonds, 200% of the maximum Debt Service payable on such Bonds and all Outstanding Senior Bonds during any Fiscal Year;</w:t>
      </w:r>
    </w:p>
    <w:p w:rsidR="00C5111D" w:rsidRDefault="00C5111D" w:rsidP="00C5111D">
      <w:pPr>
        <w:pStyle w:val="BodyText"/>
        <w:ind w:left="2160"/>
      </w:pPr>
      <w:r>
        <w:t>(B)</w:t>
      </w:r>
      <w:r>
        <w:tab/>
        <w:t>if the new Bonds are First Tier Subordinate Bonds and the Central 70 Note is not Outstanding, the percentage of the maximum Debt Service payable on the new Bonds and all Outstanding Senior Bonds and First Tier Subordinate Bonds during any Fiscal Year set forth in a Supplemental Indenture; and</w:t>
      </w:r>
    </w:p>
    <w:p w:rsidR="00C5111D" w:rsidRDefault="00C5111D" w:rsidP="00C5111D">
      <w:pPr>
        <w:pStyle w:val="BodyText"/>
        <w:ind w:left="2160"/>
      </w:pPr>
      <w:r>
        <w:t>(C)</w:t>
      </w:r>
      <w:r>
        <w:tab/>
        <w:t>if the new Bonds are Second Tier Subordinate Bonds, the percentage of the maximum Debt Service payable on the new Bonds and all Outstanding Senior Bonds, First Tier Subordinate Bonds and Second Tier Subordinate Bonds during any Fiscal Year set forth in a Supplemental Indenture; and</w:t>
      </w:r>
    </w:p>
    <w:p w:rsidR="00C5111D" w:rsidRDefault="00C5111D" w:rsidP="00C5111D">
      <w:pPr>
        <w:pStyle w:val="BodyText"/>
        <w:ind w:left="1440"/>
      </w:pPr>
      <w:r>
        <w:t>(ii)</w:t>
      </w:r>
      <w:r>
        <w:tab/>
        <w:t>if the new Bonds are Senior Bonds and the Central 70 Note is Outstanding, the “Projected Bridge Surcharges for each Fiscal Year” (or “</w:t>
      </w:r>
      <w:proofErr w:type="spellStart"/>
      <w:r>
        <w:t>PBSFYn</w:t>
      </w:r>
      <w:proofErr w:type="spellEnd"/>
      <w:r>
        <w:t>”) (as calculated pursuant to the formula set forth below in this clause (ii), with any given Fiscal Year being designated “</w:t>
      </w:r>
      <w:proofErr w:type="spellStart"/>
      <w:r>
        <w:t>PBSFYn</w:t>
      </w:r>
      <w:proofErr w:type="spellEnd"/>
      <w:r>
        <w:t>” for purposes of such formula) during which the Senior Bonds (including the new Senior Bonds) and the Central 70 Note are Outstanding are at least 125% for each Fiscal Year of the sum of (A) Debt Service payable on such Bonds and all Outstanding Senior Bonds during each such Fiscal Year, plus (B) the Central 70 Gross Payments due and payable during each such Fiscal Year.</w:t>
      </w:r>
    </w:p>
    <w:p w:rsidR="00C5111D" w:rsidRDefault="00C5111D" w:rsidP="00C5111D">
      <w:pPr>
        <w:pStyle w:val="BodyText"/>
        <w:ind w:left="1440"/>
      </w:pPr>
      <w:r>
        <w:t>“</w:t>
      </w:r>
      <w:r w:rsidRPr="009522D1">
        <w:rPr>
          <w:i/>
        </w:rPr>
        <w:t>Projected Bridge Surcharges for each Fiscal Year</w:t>
      </w:r>
      <w:r>
        <w:t>” (or “</w:t>
      </w:r>
      <w:proofErr w:type="spellStart"/>
      <w:r w:rsidRPr="0033516A">
        <w:rPr>
          <w:i/>
        </w:rPr>
        <w:t>PBSFYn</w:t>
      </w:r>
      <w:proofErr w:type="spellEnd"/>
      <w:r>
        <w:t>”) shall be calculated as follows:</w:t>
      </w:r>
    </w:p>
    <w:p w:rsidR="00C5111D" w:rsidRPr="00C5111D" w:rsidRDefault="00C5111D" w:rsidP="004F3C05">
      <w:pPr>
        <w:pStyle w:val="BodyText"/>
        <w:ind w:left="720"/>
        <w:jc w:val="center"/>
        <w:rPr>
          <w:b/>
          <w:i/>
        </w:rPr>
      </w:pPr>
      <w:proofErr w:type="spellStart"/>
      <w:r w:rsidRPr="00C5111D">
        <w:rPr>
          <w:b/>
          <w:i/>
        </w:rPr>
        <w:t>PBSFYn</w:t>
      </w:r>
      <w:proofErr w:type="spellEnd"/>
      <w:r w:rsidRPr="00C5111D">
        <w:rPr>
          <w:b/>
          <w:i/>
        </w:rPr>
        <w:t xml:space="preserve"> = PBSFYn-1  x  </w:t>
      </w:r>
      <w:proofErr w:type="spellStart"/>
      <w:r w:rsidRPr="00C5111D">
        <w:rPr>
          <w:b/>
          <w:i/>
        </w:rPr>
        <w:t>RATEFYn</w:t>
      </w:r>
      <w:proofErr w:type="spellEnd"/>
    </w:p>
    <w:p w:rsidR="00C5111D" w:rsidRDefault="00C5111D" w:rsidP="00C5111D">
      <w:pPr>
        <w:pStyle w:val="BodyText"/>
        <w:ind w:left="720"/>
      </w:pPr>
      <w:r>
        <w:t>Where:</w:t>
      </w:r>
    </w:p>
    <w:p w:rsidR="00C5111D" w:rsidRDefault="00C5111D" w:rsidP="00C5111D">
      <w:pPr>
        <w:pStyle w:val="BodyText"/>
        <w:ind w:left="1440" w:firstLine="0"/>
      </w:pPr>
      <w:r w:rsidRPr="00D87B72">
        <w:rPr>
          <w:i/>
        </w:rPr>
        <w:t>PBSFYn-1</w:t>
      </w:r>
      <w:r>
        <w:t xml:space="preserve"> = the projected Bridge Surcharges for FYn-1; provided that when </w:t>
      </w:r>
      <w:proofErr w:type="spellStart"/>
      <w:r>
        <w:t>PBSFYn</w:t>
      </w:r>
      <w:proofErr w:type="spellEnd"/>
      <w:r>
        <w:t xml:space="preserve"> is calculated for the first projected Fiscal Year in the formula, PBSFYn-1 shall equal the Base Bridge Surcharges.</w:t>
      </w:r>
    </w:p>
    <w:p w:rsidR="00C5111D" w:rsidRDefault="00C5111D" w:rsidP="00C5111D">
      <w:pPr>
        <w:pStyle w:val="BodyText"/>
        <w:ind w:left="1440" w:firstLine="0"/>
      </w:pPr>
      <w:r w:rsidRPr="0033516A">
        <w:rPr>
          <w:i/>
        </w:rPr>
        <w:t>Base Bridge Surcharges</w:t>
      </w:r>
      <w:r>
        <w:t xml:space="preserve"> = Bridge Surcharges received by the Bridge Enterprise for the most recently completed Fiscal Year immediately prior to the applicable computation date with respect to the test set forth in </w:t>
      </w:r>
      <w:r w:rsidR="0033516A">
        <w:t xml:space="preserve">paragraph </w:t>
      </w:r>
      <w:r>
        <w:t>(ii)</w:t>
      </w:r>
      <w:r w:rsidR="009522D1">
        <w:t xml:space="preserve"> above</w:t>
      </w:r>
      <w:r>
        <w:t>.  When determining Bridge Surcharges in connection with the issuance of any proposed Senior Bonds, the Bridge Enterprise Representative shall be allowed to adjust Base Bridge Surcharges arising from any increase in Bridge Surcharge rates (i.e., legislative change) which has become effective prior to the issuance of such proposed Senior Bonds but which, during the most recently completed Fiscal Year, was not in effect, in an amount equal to the amount by which the Base Bridge Surcharges would have been increased if such increase in Bridge Surcharge rates had been in effect during the whole of the most recently completed Fiscal Year, as shown by the certificate of the Bridge Enterprise Representative.</w:t>
      </w:r>
    </w:p>
    <w:p w:rsidR="00C5111D" w:rsidRDefault="00C5111D" w:rsidP="00C5111D">
      <w:pPr>
        <w:pStyle w:val="BodyText"/>
        <w:ind w:left="1440" w:firstLine="0"/>
      </w:pPr>
      <w:proofErr w:type="spellStart"/>
      <w:r w:rsidRPr="00D87B72">
        <w:rPr>
          <w:i/>
        </w:rPr>
        <w:t>FYn</w:t>
      </w:r>
      <w:proofErr w:type="spellEnd"/>
      <w:r>
        <w:t xml:space="preserve"> = the applicable Fiscal Year.</w:t>
      </w:r>
    </w:p>
    <w:p w:rsidR="00C5111D" w:rsidRDefault="00C5111D" w:rsidP="00C5111D">
      <w:pPr>
        <w:pStyle w:val="BodyText"/>
        <w:ind w:left="1440" w:firstLine="0"/>
      </w:pPr>
      <w:r w:rsidRPr="00D87B72">
        <w:rPr>
          <w:i/>
        </w:rPr>
        <w:t>FYn-1</w:t>
      </w:r>
      <w:r>
        <w:t xml:space="preserve"> = the Fiscal Year immediately prior to </w:t>
      </w:r>
      <w:proofErr w:type="spellStart"/>
      <w:r>
        <w:t>FYn</w:t>
      </w:r>
      <w:proofErr w:type="spellEnd"/>
      <w:r>
        <w:t>.</w:t>
      </w:r>
    </w:p>
    <w:p w:rsidR="00C5111D" w:rsidRDefault="00C5111D" w:rsidP="00C5111D">
      <w:pPr>
        <w:pStyle w:val="BodyText"/>
        <w:ind w:left="1440" w:firstLine="0"/>
      </w:pPr>
      <w:proofErr w:type="spellStart"/>
      <w:r w:rsidRPr="00D87B72">
        <w:rPr>
          <w:i/>
        </w:rPr>
        <w:t>RATEFYn</w:t>
      </w:r>
      <w:proofErr w:type="spellEnd"/>
      <w:r>
        <w:t xml:space="preserve"> = the lesser of ARATE and </w:t>
      </w:r>
      <w:proofErr w:type="spellStart"/>
      <w:r>
        <w:t>PRATEFYn</w:t>
      </w:r>
      <w:proofErr w:type="spellEnd"/>
      <w:r>
        <w:t>.</w:t>
      </w:r>
    </w:p>
    <w:p w:rsidR="00C5111D" w:rsidRDefault="00C5111D" w:rsidP="00C5111D">
      <w:pPr>
        <w:pStyle w:val="BodyText"/>
        <w:ind w:left="1440" w:firstLine="0"/>
      </w:pPr>
      <w:r w:rsidRPr="00D87B72">
        <w:rPr>
          <w:i/>
        </w:rPr>
        <w:t>ARATE</w:t>
      </w:r>
      <w:r>
        <w:t xml:space="preserve"> = the average rate of growth (or decline) of Bridge Surcharges for the three most recently completed Fiscal Years (in the case of each such Fiscal Year, calculated relative to the immediately prior Fiscal Year) occurring prior to the applicable computation date with respect to the test set forth in </w:t>
      </w:r>
      <w:r w:rsidR="0033516A">
        <w:t xml:space="preserve">paragraph </w:t>
      </w:r>
      <w:r>
        <w:t xml:space="preserve">(ii) </w:t>
      </w:r>
      <w:r w:rsidR="0033516A">
        <w:t>above</w:t>
      </w:r>
      <w:r>
        <w:t>.  When calculating ARATE in connection with the issuance of any proposed Senior Bonds, the Bridge Enterprise Representative shall be allowed to adjust Bridge Surcharges arising from any increase in Bridge Surcharge rates (i.e., legislative change) which has become effective prior to the issuance of such proposed Senior Bonds but which, during the three most recently completed Fiscal Years, was not in effect, in an amount equal to the amount by which the Bridge Surcharges would have been increased if such increase in Bridge Surcharge rates had been in effect during the whole of the three most recently completed Fiscal Years, as shown by the certificate of the Bridge Enterprise Representative.</w:t>
      </w:r>
    </w:p>
    <w:p w:rsidR="00C5111D" w:rsidRDefault="00C5111D" w:rsidP="00C5111D">
      <w:pPr>
        <w:pStyle w:val="BodyText"/>
        <w:ind w:left="1440" w:firstLine="0"/>
      </w:pPr>
      <w:proofErr w:type="spellStart"/>
      <w:r w:rsidRPr="00D87B72">
        <w:rPr>
          <w:i/>
        </w:rPr>
        <w:t>PRATEFYn</w:t>
      </w:r>
      <w:proofErr w:type="spellEnd"/>
      <w:r w:rsidRPr="00D87B72">
        <w:rPr>
          <w:i/>
        </w:rPr>
        <w:t xml:space="preserve"> </w:t>
      </w:r>
      <w:r>
        <w:t xml:space="preserve">= the rate of growth (or decline) of Bridge Surcharges for the applicable Fiscal Year relative to the immediately prior Fiscal Year, as set forth in the Revenue Forecast most recently delivered pursuant to </w:t>
      </w:r>
      <w:r w:rsidR="0033516A">
        <w:t>the Master Indenture</w:t>
      </w:r>
      <w:r>
        <w:t>.</w:t>
      </w:r>
    </w:p>
    <w:p w:rsidR="002E4A0D" w:rsidRDefault="007F12A6" w:rsidP="007F12A6">
      <w:pPr>
        <w:pStyle w:val="Kutak1L4"/>
        <w:numPr>
          <w:ilvl w:val="0"/>
          <w:numId w:val="0"/>
        </w:numPr>
        <w:ind w:left="720" w:firstLine="720"/>
      </w:pPr>
      <w:r>
        <w:t>(b)</w:t>
      </w:r>
      <w:r>
        <w:tab/>
      </w:r>
      <w:r w:rsidR="002E4A0D">
        <w:t xml:space="preserve">If the new Bonds are Refunding Bonds and the proceeds of the new Bonds are to be used to pay or </w:t>
      </w:r>
      <w:proofErr w:type="spellStart"/>
      <w:r w:rsidR="002E4A0D">
        <w:t>defease</w:t>
      </w:r>
      <w:proofErr w:type="spellEnd"/>
      <w:r w:rsidR="002E4A0D">
        <w:t xml:space="preserve"> Outstanding Bonds:</w:t>
      </w:r>
    </w:p>
    <w:p w:rsidR="002E4A0D" w:rsidRDefault="002E4A0D" w:rsidP="00CB006D">
      <w:pPr>
        <w:pStyle w:val="Kutak1L5"/>
      </w:pPr>
      <w:r>
        <w:t>if any of the Outstanding Bonds to be refunded are to be paid on a date following the date of issuance of the Refunding Bonds, the Trustee has received a form of defeasance escrow agreement and the other items required by the Master Indenture; and</w:t>
      </w:r>
    </w:p>
    <w:p w:rsidR="002E4A0D" w:rsidRDefault="002E4A0D" w:rsidP="00CB006D">
      <w:pPr>
        <w:pStyle w:val="Kutak1L5"/>
      </w:pPr>
      <w:r>
        <w:t>if any of the Outstanding Bonds to be refunded are to be redeemed prior to their scheduled maturity date, the Bridge Enterprise has directed the Trustee to deliver redemption notices and to redeem the Outstanding Bonds to be refunded in accordance with the provisions of the Indenture and any applicable provisions of any Supplemental Indenture.</w:t>
      </w:r>
    </w:p>
    <w:p w:rsidR="002E4A0D" w:rsidRDefault="007F12A6" w:rsidP="007F12A6">
      <w:pPr>
        <w:pStyle w:val="Kutak1L4"/>
        <w:numPr>
          <w:ilvl w:val="0"/>
          <w:numId w:val="0"/>
        </w:numPr>
        <w:ind w:left="720" w:firstLine="720"/>
      </w:pPr>
      <w:r>
        <w:t>(c)</w:t>
      </w:r>
      <w:r>
        <w:tab/>
      </w:r>
      <w:r w:rsidR="002E4A0D">
        <w:t>A Bridge Enterprise Representative certifies that, as of the date of issuance of new Bonds either:</w:t>
      </w:r>
    </w:p>
    <w:p w:rsidR="002E4A0D" w:rsidRDefault="007F12A6" w:rsidP="007F12A6">
      <w:pPr>
        <w:pStyle w:val="Kutak1L5"/>
        <w:numPr>
          <w:ilvl w:val="0"/>
          <w:numId w:val="0"/>
        </w:numPr>
        <w:ind w:left="2160"/>
      </w:pPr>
      <w:r>
        <w:t>(i)</w:t>
      </w:r>
      <w:r>
        <w:tab/>
      </w:r>
      <w:r w:rsidR="002E4A0D">
        <w:t>there is no Event of Default under the Master Indenture; or</w:t>
      </w:r>
    </w:p>
    <w:p w:rsidR="002E4A0D" w:rsidRDefault="007F12A6" w:rsidP="007F12A6">
      <w:pPr>
        <w:pStyle w:val="Kutak1L5"/>
        <w:numPr>
          <w:ilvl w:val="0"/>
          <w:numId w:val="0"/>
        </w:numPr>
        <w:ind w:left="2160"/>
      </w:pPr>
      <w:r>
        <w:t>(ii)</w:t>
      </w:r>
      <w:r>
        <w:tab/>
      </w:r>
      <w:r w:rsidR="002E4A0D">
        <w:t>if there is an Event of Default under the Master Indenture, the Event of Default will be cured upon the issuance of the new Bonds and the application of the proceeds of the new Bonds in accordance with the Supplemental Indenture authorizing the issuance of the new Bonds.</w:t>
      </w:r>
    </w:p>
    <w:p w:rsidR="007F12A6" w:rsidRDefault="007F12A6" w:rsidP="007F12A6">
      <w:pPr>
        <w:pStyle w:val="Kutak1L4"/>
        <w:numPr>
          <w:ilvl w:val="0"/>
          <w:numId w:val="0"/>
        </w:numPr>
        <w:ind w:left="720" w:firstLine="720"/>
      </w:pPr>
      <w:r>
        <w:t>(d)</w:t>
      </w:r>
      <w:r>
        <w:tab/>
      </w:r>
      <w:r w:rsidR="002E4A0D">
        <w:t>The Bridge Enterprise and the Trustee enter into a Supplemental Indenture authorizing the issuance of new Bonds, which Supplemental Indenture specifies the provisions required under the Master Indenture and any other provisions deemed by the Bridge Enterprise to be advisable or desirable to be included in such Supplemental Indenture that do not violate and are not in conflict with the Master Indenture or any previous Supplemental Indenture.</w:t>
      </w:r>
    </w:p>
    <w:p w:rsidR="002E4A0D" w:rsidRDefault="007F12A6" w:rsidP="007F12A6">
      <w:pPr>
        <w:pStyle w:val="Kutak1L4"/>
        <w:numPr>
          <w:ilvl w:val="0"/>
          <w:numId w:val="0"/>
        </w:numPr>
        <w:ind w:left="720" w:firstLine="720"/>
      </w:pPr>
      <w:r>
        <w:t>(e)</w:t>
      </w:r>
      <w:r>
        <w:tab/>
      </w:r>
      <w:r w:rsidR="002E4A0D">
        <w:t>The Trustee has received the written opinion of Bond Counsel required by the Master Indenture.</w:t>
      </w:r>
    </w:p>
    <w:p w:rsidR="00505144" w:rsidRDefault="00505144" w:rsidP="00505144">
      <w:pPr>
        <w:pStyle w:val="BodyText"/>
      </w:pPr>
      <w:r>
        <w:t xml:space="preserve">[The Series 2019A Senior Bonds will be </w:t>
      </w:r>
      <w:r w:rsidR="005C434C">
        <w:t xml:space="preserve">issued as </w:t>
      </w:r>
      <w:r>
        <w:t xml:space="preserve">Refunding Bonds </w:t>
      </w:r>
      <w:r w:rsidR="005C434C">
        <w:t xml:space="preserve">in accordance with </w:t>
      </w:r>
      <w:r>
        <w:t>clause (b) above</w:t>
      </w:r>
      <w:r w:rsidR="005C434C">
        <w:t>.</w:t>
      </w:r>
    </w:p>
    <w:p w:rsidR="00505144" w:rsidRPr="00591BCF" w:rsidRDefault="00505144" w:rsidP="00505144">
      <w:pPr>
        <w:pStyle w:val="Kutak1L1"/>
        <w:keepNext w:val="0"/>
        <w:keepLines w:val="0"/>
        <w:numPr>
          <w:ilvl w:val="0"/>
          <w:numId w:val="23"/>
        </w:numPr>
      </w:pPr>
      <w:bookmarkStart w:id="50" w:name="_Toc21694922"/>
      <w:r w:rsidRPr="00591BCF">
        <w:t>OUTSTANDING OBLIGATIONS AND DEBT SERVICE SCHEDULE</w:t>
      </w:r>
      <w:bookmarkEnd w:id="50"/>
    </w:p>
    <w:p w:rsidR="00505144" w:rsidRPr="00591BCF" w:rsidRDefault="00505144" w:rsidP="00505144">
      <w:pPr>
        <w:pStyle w:val="Kutak1L2"/>
        <w:keepNext w:val="0"/>
        <w:keepLines w:val="0"/>
        <w:numPr>
          <w:ilvl w:val="1"/>
          <w:numId w:val="23"/>
        </w:numPr>
      </w:pPr>
      <w:bookmarkStart w:id="51" w:name="_Toc21694923"/>
      <w:r w:rsidRPr="00591BCF">
        <w:t>Outstanding Senior Bonds</w:t>
      </w:r>
      <w:bookmarkEnd w:id="51"/>
    </w:p>
    <w:p w:rsidR="00505144" w:rsidRDefault="00505144" w:rsidP="00505144">
      <w:pPr>
        <w:pStyle w:val="BodyText"/>
      </w:pPr>
      <w:r w:rsidRPr="00DD65F7">
        <w:t xml:space="preserve">Pursuant to </w:t>
      </w:r>
      <w:r>
        <w:t xml:space="preserve">FASTER, the Supplemental Securities Act, the Colorado Recovery Act, </w:t>
      </w:r>
      <w:r w:rsidRPr="00DD65F7">
        <w:t xml:space="preserve">the </w:t>
      </w:r>
      <w:r>
        <w:t xml:space="preserve">Master </w:t>
      </w:r>
      <w:r w:rsidRPr="00DD65F7">
        <w:t>Indenture</w:t>
      </w:r>
      <w:r>
        <w:t xml:space="preserve"> and the 2010 Supplemental Indenture</w:t>
      </w:r>
      <w:r w:rsidRPr="00DD65F7">
        <w:t xml:space="preserve">, the </w:t>
      </w:r>
      <w:r>
        <w:t xml:space="preserve">Bridge Enterprise </w:t>
      </w:r>
      <w:r w:rsidRPr="00DD65F7">
        <w:t xml:space="preserve">previously issued, and as of </w:t>
      </w:r>
      <w:r>
        <w:t>October </w:t>
      </w:r>
      <w:r w:rsidRPr="00DD65F7">
        <w:t>1, 2019, there was $</w:t>
      </w:r>
      <w:r>
        <w:t>300,000</w:t>
      </w:r>
      <w:r w:rsidRPr="00DD65F7">
        <w:t xml:space="preserve">,000 aggregate principal amount outstanding of </w:t>
      </w:r>
      <w:r>
        <w:t xml:space="preserve">the </w:t>
      </w:r>
      <w:r w:rsidRPr="00DD65F7">
        <w:t xml:space="preserve">Series 2010A </w:t>
      </w:r>
      <w:r>
        <w:t xml:space="preserve">Senior </w:t>
      </w:r>
      <w:r w:rsidRPr="00DD65F7">
        <w:t>Bonds.  A portion of the proceeds of the Series 2019</w:t>
      </w:r>
      <w:r>
        <w:t xml:space="preserve">A Senior </w:t>
      </w:r>
      <w:r w:rsidRPr="00DD65F7">
        <w:t xml:space="preserve">Bonds will be used to refund and </w:t>
      </w:r>
      <w:proofErr w:type="spellStart"/>
      <w:r w:rsidRPr="00DD65F7">
        <w:t>defease</w:t>
      </w:r>
      <w:proofErr w:type="spellEnd"/>
      <w:r w:rsidRPr="00DD65F7">
        <w:t xml:space="preserve"> the Series 2010</w:t>
      </w:r>
      <w:r>
        <w:t xml:space="preserve">A Senior </w:t>
      </w:r>
      <w:r w:rsidRPr="00DD65F7">
        <w:t>Bonds</w:t>
      </w:r>
      <w:r>
        <w:t xml:space="preserve"> maturing on December 1, 2027, which, as of October 1, 2019, </w:t>
      </w:r>
      <w:r w:rsidR="0007171B">
        <w:t>wer</w:t>
      </w:r>
      <w:r>
        <w:t>e outstanding in the aggregate principal amount of $42,820,000.  See “PLAN OF REFUNDING</w:t>
      </w:r>
      <w:r w:rsidRPr="00DD65F7">
        <w:t>.</w:t>
      </w:r>
      <w:r>
        <w:t>”</w:t>
      </w:r>
    </w:p>
    <w:p w:rsidR="00505144" w:rsidRDefault="00505144" w:rsidP="00505144">
      <w:pPr>
        <w:pStyle w:val="Kutak1L2"/>
      </w:pPr>
      <w:bookmarkStart w:id="52" w:name="_Toc21694924"/>
      <w:r>
        <w:t>First Tier Subordinate Bonds (Central 70 Note)</w:t>
      </w:r>
      <w:bookmarkEnd w:id="52"/>
    </w:p>
    <w:p w:rsidR="00505144" w:rsidRDefault="00505144" w:rsidP="00505144">
      <w:pPr>
        <w:pStyle w:val="BodyText"/>
      </w:pPr>
      <w:r>
        <w:t xml:space="preserve">On November 21, 2017, the Bridge Enterprise, </w:t>
      </w:r>
      <w:r w:rsidRPr="00053603">
        <w:t xml:space="preserve">HPTE, and </w:t>
      </w:r>
      <w:r>
        <w:t xml:space="preserve">the Central 70 Developer entered into the Central 70 </w:t>
      </w:r>
      <w:r w:rsidRPr="00053603">
        <w:t>Project Agreement</w:t>
      </w:r>
      <w:r>
        <w:t xml:space="preserve"> with respect to the Central 70 Project.  The Central 70 Project is being procured </w:t>
      </w:r>
      <w:r w:rsidRPr="00053603">
        <w:t>under an availability payment form of public-private partnership</w:t>
      </w:r>
      <w:r>
        <w:t xml:space="preserve">.  Pursuant to, and subject to the terms of, the Central </w:t>
      </w:r>
      <w:r w:rsidRPr="00E521EA">
        <w:t>70 Project Agreement and the Central 70 Project Intra-Agency Agreement</w:t>
      </w:r>
      <w:r>
        <w:t xml:space="preserve">, </w:t>
      </w:r>
      <w:r w:rsidRPr="00E521EA">
        <w:t xml:space="preserve">the Bridge Enterprise has agreed to make (a) milestone payments to the </w:t>
      </w:r>
      <w:r>
        <w:t xml:space="preserve">Central 70 </w:t>
      </w:r>
      <w:r w:rsidRPr="00E521EA">
        <w:t xml:space="preserve">Developer during construction of the Central 70 Project in the </w:t>
      </w:r>
      <w:r w:rsidR="002710F6">
        <w:t xml:space="preserve">aggregate </w:t>
      </w:r>
      <w:r w:rsidRPr="00E521EA">
        <w:t>amount of approximately $261 million</w:t>
      </w:r>
      <w:r>
        <w:t>,</w:t>
      </w:r>
      <w:r w:rsidRPr="00E521EA">
        <w:t xml:space="preserve"> and (b) capital performance payments to the </w:t>
      </w:r>
      <w:r w:rsidR="00077362">
        <w:t xml:space="preserve">Central 70 </w:t>
      </w:r>
      <w:r w:rsidRPr="00E521EA">
        <w:t>Developer for approximately 30 years after completion of the Central 70 Project</w:t>
      </w:r>
      <w:r>
        <w:t xml:space="preserve"> in the amounts described in “</w:t>
      </w:r>
      <w:r w:rsidR="009E2A7F">
        <w:t>—Debt Service Requirements” with respect to the Central 70 Note.</w:t>
      </w:r>
      <w:r w:rsidRPr="00E521EA">
        <w:t xml:space="preserve"> </w:t>
      </w:r>
    </w:p>
    <w:p w:rsidR="00505144" w:rsidRDefault="00505144" w:rsidP="00505144">
      <w:pPr>
        <w:pStyle w:val="BodyText"/>
      </w:pPr>
      <w:r w:rsidRPr="00BF0A1B">
        <w:t xml:space="preserve">In order to evidence its obligation under the </w:t>
      </w:r>
      <w:r w:rsidR="00077362">
        <w:t xml:space="preserve">Central 70 </w:t>
      </w:r>
      <w:r w:rsidRPr="00BF0A1B">
        <w:t xml:space="preserve">Project Agreement to </w:t>
      </w:r>
      <w:r w:rsidR="00077362">
        <w:t xml:space="preserve">make the </w:t>
      </w:r>
      <w:r w:rsidRPr="00BF0A1B">
        <w:t>Central 70 Net Payments</w:t>
      </w:r>
      <w:r w:rsidR="00077362">
        <w:t xml:space="preserve"> to the Central 70 Developer</w:t>
      </w:r>
      <w:r w:rsidRPr="00BF0A1B">
        <w:t xml:space="preserve">, </w:t>
      </w:r>
      <w:r>
        <w:t xml:space="preserve">the Bridge Enterprise issued </w:t>
      </w:r>
      <w:r w:rsidR="00077362">
        <w:t xml:space="preserve">the </w:t>
      </w:r>
      <w:r w:rsidRPr="00BF0A1B">
        <w:t xml:space="preserve">Central 70 Note to the </w:t>
      </w:r>
      <w:r w:rsidR="00077362">
        <w:t xml:space="preserve">Central 70 </w:t>
      </w:r>
      <w:r w:rsidRPr="00BF0A1B">
        <w:t xml:space="preserve">Developer.   The Central 70 Note </w:t>
      </w:r>
      <w:r>
        <w:t xml:space="preserve">was issued pursuant to FASTER, the Supplemental Securities Act, </w:t>
      </w:r>
      <w:r w:rsidRPr="00DD65F7">
        <w:t xml:space="preserve">the </w:t>
      </w:r>
      <w:r>
        <w:t xml:space="preserve">Master </w:t>
      </w:r>
      <w:r w:rsidRPr="00DD65F7">
        <w:t>Indenture</w:t>
      </w:r>
      <w:r>
        <w:t xml:space="preserve"> and the 2017 Supplemental Indenture</w:t>
      </w:r>
      <w:r w:rsidRPr="00BF0A1B">
        <w:t xml:space="preserve">. </w:t>
      </w:r>
      <w:r>
        <w:t xml:space="preserve"> The Central 70 Note was issued as a First Tier Subordinate Bond and is </w:t>
      </w:r>
      <w:r w:rsidRPr="000A58E9">
        <w:t xml:space="preserve">payable from, and secured by, a subordinate pledge of and lien on, the </w:t>
      </w:r>
      <w:r>
        <w:t>T</w:t>
      </w:r>
      <w:r w:rsidRPr="000A58E9">
        <w:t xml:space="preserve">rust Estate, subject to the prior pledge and lien securing the payment of debt service on the Senior Bonds (including the </w:t>
      </w:r>
      <w:r>
        <w:t>Series 2019A Senior Bonds</w:t>
      </w:r>
      <w:r w:rsidRPr="000A58E9">
        <w:t>) and any amounts owed to the providers of hedge agreements or credit facilities that have been granted a lien on the Trust Estate on parity with the</w:t>
      </w:r>
      <w:r>
        <w:t xml:space="preserve"> </w:t>
      </w:r>
      <w:r w:rsidRPr="000A58E9">
        <w:t>Senior Bonds</w:t>
      </w:r>
      <w:r>
        <w:t xml:space="preserve">.  </w:t>
      </w:r>
      <w:r w:rsidR="009E2A7F">
        <w:t>Pursuant to the terms of the Master Indenture, while the Central 70 Note is outstanding the Bridge Enterprise is not allowed to issue any additional First Tier Subordinate Bonds.</w:t>
      </w:r>
    </w:p>
    <w:p w:rsidR="00505144" w:rsidRDefault="00505144" w:rsidP="009B16D9">
      <w:pPr>
        <w:pStyle w:val="BodyText"/>
        <w:widowControl w:val="0"/>
      </w:pPr>
      <w:r w:rsidRPr="00BF0A1B">
        <w:t xml:space="preserve">The Central 70 Note does not secure </w:t>
      </w:r>
      <w:r>
        <w:t>the Bridge Enterprise’</w:t>
      </w:r>
      <w:r w:rsidRPr="00BF0A1B">
        <w:t xml:space="preserve">s obligation to make </w:t>
      </w:r>
      <w:r>
        <w:t>m</w:t>
      </w:r>
      <w:r w:rsidRPr="00BF0A1B">
        <w:t xml:space="preserve">ilestone </w:t>
      </w:r>
      <w:r>
        <w:t>p</w:t>
      </w:r>
      <w:r w:rsidRPr="00BF0A1B">
        <w:t xml:space="preserve">ayments or any termination payments under the </w:t>
      </w:r>
      <w:r w:rsidR="00077362">
        <w:t xml:space="preserve">Central 70 </w:t>
      </w:r>
      <w:r w:rsidRPr="00BF0A1B">
        <w:t>Project Agreement.</w:t>
      </w:r>
      <w:r>
        <w:t xml:space="preserve">  The Bridge Enterprise </w:t>
      </w:r>
      <w:r w:rsidRPr="000A58E9">
        <w:t xml:space="preserve">expects to pay </w:t>
      </w:r>
      <w:r>
        <w:t xml:space="preserve">the milestone payments to be made to the Developer during construction of the Central 70 Project, and, </w:t>
      </w:r>
      <w:r w:rsidRPr="000A58E9">
        <w:t xml:space="preserve">in the event a </w:t>
      </w:r>
      <w:r>
        <w:t>t</w:t>
      </w:r>
      <w:r w:rsidRPr="000A58E9">
        <w:t xml:space="preserve">ermination </w:t>
      </w:r>
      <w:r>
        <w:t>a</w:t>
      </w:r>
      <w:r w:rsidRPr="000A58E9">
        <w:t>mount is owed to the Developer</w:t>
      </w:r>
      <w:r>
        <w:t xml:space="preserve"> pursuant to the provisions of the Central 70 Project Agreement</w:t>
      </w:r>
      <w:r w:rsidRPr="000A58E9">
        <w:t xml:space="preserve">, any such </w:t>
      </w:r>
      <w:r>
        <w:t>t</w:t>
      </w:r>
      <w:r w:rsidRPr="000A58E9">
        <w:t xml:space="preserve">ermination </w:t>
      </w:r>
      <w:r>
        <w:t>a</w:t>
      </w:r>
      <w:r w:rsidRPr="000A58E9">
        <w:t>mount</w:t>
      </w:r>
      <w:r>
        <w:t xml:space="preserve">s payable by the Bridge Enterprise </w:t>
      </w:r>
      <w:r w:rsidRPr="00E521EA">
        <w:t xml:space="preserve">from excess </w:t>
      </w:r>
      <w:r>
        <w:t xml:space="preserve">Revenues on deposit in the Bridge Special Fund remaining after the payment of debt service on the Senior Bonds (including the Series 2019A Senior Bonds). </w:t>
      </w:r>
    </w:p>
    <w:p w:rsidR="002E4A0D" w:rsidRDefault="002E4A0D" w:rsidP="009B16D9">
      <w:pPr>
        <w:pStyle w:val="Kutak1L2"/>
        <w:widowControl w:val="0"/>
      </w:pPr>
      <w:bookmarkStart w:id="53" w:name="_Toc21694925"/>
      <w:r>
        <w:t xml:space="preserve">Debt Service </w:t>
      </w:r>
      <w:r w:rsidR="00077362">
        <w:t>Requirements</w:t>
      </w:r>
      <w:bookmarkEnd w:id="53"/>
    </w:p>
    <w:p w:rsidR="002E4A0D" w:rsidRDefault="002E4A0D" w:rsidP="009B16D9">
      <w:pPr>
        <w:pStyle w:val="BodyText"/>
        <w:keepNext/>
        <w:keepLines/>
        <w:widowControl w:val="0"/>
      </w:pPr>
      <w:r>
        <w:t xml:space="preserve">The following table sets forth, for each Fiscal Year ending June 30, the debt service payments due on the </w:t>
      </w:r>
      <w:r w:rsidR="00077362">
        <w:t>Series 2010A Senior Bonds</w:t>
      </w:r>
      <w:r w:rsidR="002710F6">
        <w:t xml:space="preserve"> (including the Refunded Bonds)</w:t>
      </w:r>
      <w:r w:rsidR="00077362">
        <w:t xml:space="preserve">, the </w:t>
      </w:r>
      <w:r w:rsidR="006C3474">
        <w:t>Series 2019A Senior Bond</w:t>
      </w:r>
      <w:r>
        <w:t>s</w:t>
      </w:r>
      <w:r w:rsidR="00077362">
        <w:t xml:space="preserve"> and the Central 70 Note</w:t>
      </w:r>
      <w: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335"/>
        <w:gridCol w:w="1332"/>
        <w:gridCol w:w="1330"/>
        <w:gridCol w:w="1330"/>
        <w:gridCol w:w="1534"/>
        <w:gridCol w:w="1620"/>
      </w:tblGrid>
      <w:tr w:rsidR="009B16D9" w:rsidRPr="004724E8" w:rsidTr="00E61EC9">
        <w:tc>
          <w:tcPr>
            <w:tcW w:w="9810" w:type="dxa"/>
            <w:gridSpan w:val="7"/>
          </w:tcPr>
          <w:p w:rsidR="009B16D9" w:rsidRDefault="009B16D9" w:rsidP="009B16D9">
            <w:pPr>
              <w:pStyle w:val="BodyText"/>
              <w:keepNext/>
              <w:keepLines/>
              <w:widowControl w:val="0"/>
              <w:spacing w:after="0"/>
              <w:ind w:firstLine="0"/>
              <w:jc w:val="center"/>
              <w:rPr>
                <w:b/>
                <w:sz w:val="20"/>
              </w:rPr>
            </w:pPr>
            <w:r>
              <w:rPr>
                <w:b/>
                <w:sz w:val="20"/>
              </w:rPr>
              <w:t>Colorado Bridge Enterprise</w:t>
            </w:r>
            <w:r>
              <w:rPr>
                <w:b/>
                <w:sz w:val="20"/>
              </w:rPr>
              <w:br/>
              <w:t>Debt Service Requirements</w:t>
            </w:r>
            <w:r>
              <w:rPr>
                <w:b/>
                <w:sz w:val="20"/>
              </w:rPr>
              <w:br/>
              <w:t>Senior Bonds and Central 70 Note</w:t>
            </w:r>
          </w:p>
          <w:p w:rsidR="009B16D9" w:rsidRPr="009B16D9" w:rsidRDefault="009B16D9" w:rsidP="009B16D9">
            <w:pPr>
              <w:pStyle w:val="BodyText"/>
              <w:keepNext/>
              <w:keepLines/>
              <w:widowControl w:val="0"/>
              <w:spacing w:after="0"/>
              <w:ind w:firstLine="0"/>
              <w:jc w:val="center"/>
              <w:rPr>
                <w:b/>
                <w:sz w:val="20"/>
              </w:rPr>
            </w:pPr>
          </w:p>
        </w:tc>
      </w:tr>
      <w:tr w:rsidR="004724E8" w:rsidRPr="004724E8" w:rsidTr="00E61EC9">
        <w:trPr>
          <w:trHeight w:val="614"/>
        </w:trPr>
        <w:tc>
          <w:tcPr>
            <w:tcW w:w="1329" w:type="dxa"/>
            <w:vMerge w:val="restart"/>
          </w:tcPr>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br/>
            </w:r>
            <w:r>
              <w:rPr>
                <w:b/>
                <w:sz w:val="20"/>
              </w:rPr>
              <w:br/>
              <w:t>Fiscal Year Ending</w:t>
            </w:r>
            <w:r>
              <w:rPr>
                <w:b/>
                <w:sz w:val="20"/>
              </w:rPr>
              <w:br/>
              <w:t>June 30</w:t>
            </w:r>
          </w:p>
        </w:tc>
        <w:tc>
          <w:tcPr>
            <w:tcW w:w="1335" w:type="dxa"/>
            <w:vMerge w:val="restart"/>
          </w:tcPr>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t>Total Debt Service Series 2010A Senior Bonds</w:t>
            </w:r>
            <w:r w:rsidR="00C076E9" w:rsidRPr="00C076E9">
              <w:rPr>
                <w:b/>
                <w:sz w:val="20"/>
                <w:vertAlign w:val="superscript"/>
              </w:rPr>
              <w:t>1</w:t>
            </w:r>
          </w:p>
        </w:tc>
        <w:tc>
          <w:tcPr>
            <w:tcW w:w="2662" w:type="dxa"/>
            <w:gridSpan w:val="2"/>
          </w:tcPr>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br/>
              <w:t>Series 2019A Senior Bonds</w:t>
            </w:r>
          </w:p>
        </w:tc>
        <w:tc>
          <w:tcPr>
            <w:tcW w:w="1330" w:type="dxa"/>
            <w:vMerge w:val="restart"/>
          </w:tcPr>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br/>
              <w:t>Total Debt Service Senior Bonds</w:t>
            </w:r>
          </w:p>
        </w:tc>
        <w:tc>
          <w:tcPr>
            <w:tcW w:w="1534" w:type="dxa"/>
            <w:vMerge w:val="restart"/>
          </w:tcPr>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br/>
              <w:t>Total Debt Service Central 70 Note</w:t>
            </w:r>
            <w:r w:rsidR="00E61EC9" w:rsidRPr="00E61EC9">
              <w:rPr>
                <w:b/>
                <w:sz w:val="20"/>
                <w:vertAlign w:val="superscript"/>
              </w:rPr>
              <w:t>2</w:t>
            </w:r>
          </w:p>
        </w:tc>
        <w:tc>
          <w:tcPr>
            <w:tcW w:w="1620" w:type="dxa"/>
            <w:vMerge w:val="restart"/>
          </w:tcPr>
          <w:p w:rsidR="004724E8" w:rsidRPr="004724E8" w:rsidRDefault="00E61EC9" w:rsidP="004724E8">
            <w:pPr>
              <w:pStyle w:val="BodyText"/>
              <w:keepNext/>
              <w:keepLines/>
              <w:widowControl w:val="0"/>
              <w:pBdr>
                <w:bottom w:val="single" w:sz="4" w:space="1" w:color="auto"/>
              </w:pBdr>
              <w:spacing w:after="60"/>
              <w:ind w:firstLine="0"/>
              <w:jc w:val="center"/>
              <w:rPr>
                <w:b/>
                <w:sz w:val="20"/>
              </w:rPr>
            </w:pPr>
            <w:r>
              <w:rPr>
                <w:b/>
                <w:sz w:val="20"/>
              </w:rPr>
              <w:br/>
            </w:r>
            <w:r w:rsidR="004724E8">
              <w:rPr>
                <w:b/>
                <w:sz w:val="20"/>
              </w:rPr>
              <w:t>Total Debt Service Senior Bonds and Central 70 Note</w:t>
            </w:r>
          </w:p>
        </w:tc>
      </w:tr>
      <w:tr w:rsidR="004724E8" w:rsidRPr="004724E8" w:rsidTr="00E61EC9">
        <w:trPr>
          <w:trHeight w:val="613"/>
        </w:trPr>
        <w:tc>
          <w:tcPr>
            <w:tcW w:w="1329" w:type="dxa"/>
            <w:vMerge/>
          </w:tcPr>
          <w:p w:rsidR="004724E8" w:rsidRDefault="004724E8" w:rsidP="004724E8">
            <w:pPr>
              <w:pStyle w:val="BodyText"/>
              <w:keepNext/>
              <w:keepLines/>
              <w:widowControl w:val="0"/>
              <w:pBdr>
                <w:bottom w:val="single" w:sz="4" w:space="1" w:color="auto"/>
              </w:pBdr>
              <w:spacing w:after="60"/>
              <w:ind w:firstLine="0"/>
              <w:jc w:val="center"/>
              <w:rPr>
                <w:b/>
                <w:sz w:val="20"/>
              </w:rPr>
            </w:pPr>
          </w:p>
        </w:tc>
        <w:tc>
          <w:tcPr>
            <w:tcW w:w="1335" w:type="dxa"/>
            <w:vMerge/>
          </w:tcPr>
          <w:p w:rsidR="004724E8" w:rsidRDefault="004724E8" w:rsidP="004724E8">
            <w:pPr>
              <w:pStyle w:val="BodyText"/>
              <w:keepNext/>
              <w:keepLines/>
              <w:widowControl w:val="0"/>
              <w:pBdr>
                <w:bottom w:val="single" w:sz="4" w:space="1" w:color="auto"/>
              </w:pBdr>
              <w:spacing w:after="60"/>
              <w:ind w:firstLine="0"/>
              <w:jc w:val="center"/>
              <w:rPr>
                <w:b/>
                <w:sz w:val="20"/>
              </w:rPr>
            </w:pPr>
          </w:p>
        </w:tc>
        <w:tc>
          <w:tcPr>
            <w:tcW w:w="1332" w:type="dxa"/>
          </w:tcPr>
          <w:p w:rsidR="006838D0" w:rsidRDefault="006838D0" w:rsidP="004724E8">
            <w:pPr>
              <w:pStyle w:val="BodyText"/>
              <w:keepNext/>
              <w:keepLines/>
              <w:widowControl w:val="0"/>
              <w:pBdr>
                <w:bottom w:val="single" w:sz="4" w:space="1" w:color="auto"/>
              </w:pBdr>
              <w:spacing w:after="60"/>
              <w:ind w:firstLine="0"/>
              <w:jc w:val="center"/>
              <w:rPr>
                <w:b/>
                <w:sz w:val="20"/>
              </w:rPr>
            </w:pPr>
          </w:p>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t>Principal</w:t>
            </w:r>
          </w:p>
        </w:tc>
        <w:tc>
          <w:tcPr>
            <w:tcW w:w="1330" w:type="dxa"/>
          </w:tcPr>
          <w:p w:rsidR="006838D0" w:rsidRDefault="006838D0" w:rsidP="004724E8">
            <w:pPr>
              <w:pStyle w:val="BodyText"/>
              <w:keepNext/>
              <w:keepLines/>
              <w:widowControl w:val="0"/>
              <w:pBdr>
                <w:bottom w:val="single" w:sz="4" w:space="1" w:color="auto"/>
              </w:pBdr>
              <w:spacing w:after="60"/>
              <w:ind w:firstLine="0"/>
              <w:jc w:val="center"/>
              <w:rPr>
                <w:b/>
                <w:sz w:val="20"/>
              </w:rPr>
            </w:pPr>
          </w:p>
          <w:p w:rsidR="004724E8" w:rsidRPr="004724E8" w:rsidRDefault="004724E8" w:rsidP="004724E8">
            <w:pPr>
              <w:pStyle w:val="BodyText"/>
              <w:keepNext/>
              <w:keepLines/>
              <w:widowControl w:val="0"/>
              <w:pBdr>
                <w:bottom w:val="single" w:sz="4" w:space="1" w:color="auto"/>
              </w:pBdr>
              <w:spacing w:after="60"/>
              <w:ind w:firstLine="0"/>
              <w:jc w:val="center"/>
              <w:rPr>
                <w:b/>
                <w:sz w:val="20"/>
              </w:rPr>
            </w:pPr>
            <w:r>
              <w:rPr>
                <w:b/>
                <w:sz w:val="20"/>
              </w:rPr>
              <w:t>Interest</w:t>
            </w:r>
          </w:p>
        </w:tc>
        <w:tc>
          <w:tcPr>
            <w:tcW w:w="1330" w:type="dxa"/>
            <w:vMerge/>
          </w:tcPr>
          <w:p w:rsidR="004724E8" w:rsidRDefault="004724E8" w:rsidP="004724E8">
            <w:pPr>
              <w:pStyle w:val="BodyText"/>
              <w:keepNext/>
              <w:keepLines/>
              <w:widowControl w:val="0"/>
              <w:pBdr>
                <w:bottom w:val="single" w:sz="4" w:space="1" w:color="auto"/>
              </w:pBdr>
              <w:spacing w:after="60"/>
              <w:ind w:firstLine="0"/>
              <w:jc w:val="center"/>
              <w:rPr>
                <w:b/>
                <w:sz w:val="20"/>
              </w:rPr>
            </w:pPr>
          </w:p>
        </w:tc>
        <w:tc>
          <w:tcPr>
            <w:tcW w:w="1534" w:type="dxa"/>
            <w:vMerge/>
          </w:tcPr>
          <w:p w:rsidR="004724E8" w:rsidRDefault="004724E8" w:rsidP="004724E8">
            <w:pPr>
              <w:pStyle w:val="BodyText"/>
              <w:keepNext/>
              <w:keepLines/>
              <w:widowControl w:val="0"/>
              <w:pBdr>
                <w:bottom w:val="single" w:sz="4" w:space="1" w:color="auto"/>
              </w:pBdr>
              <w:spacing w:after="60"/>
              <w:ind w:firstLine="0"/>
              <w:jc w:val="center"/>
              <w:rPr>
                <w:b/>
                <w:sz w:val="20"/>
              </w:rPr>
            </w:pPr>
          </w:p>
        </w:tc>
        <w:tc>
          <w:tcPr>
            <w:tcW w:w="1620" w:type="dxa"/>
            <w:vMerge/>
          </w:tcPr>
          <w:p w:rsidR="004724E8" w:rsidRDefault="004724E8" w:rsidP="004724E8">
            <w:pPr>
              <w:pStyle w:val="BodyText"/>
              <w:keepNext/>
              <w:keepLines/>
              <w:widowControl w:val="0"/>
              <w:pBdr>
                <w:bottom w:val="single" w:sz="4" w:space="1" w:color="auto"/>
              </w:pBdr>
              <w:spacing w:after="60"/>
              <w:ind w:firstLine="0"/>
              <w:jc w:val="center"/>
              <w:rPr>
                <w:b/>
                <w:sz w:val="20"/>
              </w:rPr>
            </w:pPr>
          </w:p>
        </w:tc>
      </w:tr>
      <w:tr w:rsidR="004724E8" w:rsidRPr="004724E8" w:rsidTr="00E61EC9">
        <w:tc>
          <w:tcPr>
            <w:tcW w:w="1329" w:type="dxa"/>
          </w:tcPr>
          <w:p w:rsidR="004724E8" w:rsidRPr="004724E8" w:rsidRDefault="004724E8" w:rsidP="004724E8">
            <w:pPr>
              <w:pStyle w:val="BodyText"/>
              <w:keepNext/>
              <w:keepLines/>
              <w:widowControl w:val="0"/>
              <w:spacing w:after="0"/>
              <w:ind w:firstLine="0"/>
              <w:jc w:val="center"/>
              <w:rPr>
                <w:sz w:val="20"/>
              </w:rPr>
            </w:pPr>
            <w:r>
              <w:rPr>
                <w:sz w:val="20"/>
              </w:rPr>
              <w:t>2020</w:t>
            </w:r>
          </w:p>
        </w:tc>
        <w:tc>
          <w:tcPr>
            <w:tcW w:w="1335" w:type="dxa"/>
          </w:tcPr>
          <w:p w:rsidR="004724E8" w:rsidRPr="004724E8" w:rsidRDefault="00C076E9" w:rsidP="005A2844">
            <w:pPr>
              <w:pStyle w:val="BodyText"/>
              <w:keepNext/>
              <w:keepLines/>
              <w:widowControl w:val="0"/>
              <w:tabs>
                <w:tab w:val="decimal" w:pos="1080"/>
              </w:tabs>
              <w:spacing w:after="0"/>
              <w:ind w:firstLine="0"/>
              <w:rPr>
                <w:sz w:val="20"/>
              </w:rPr>
            </w:pPr>
            <w:r>
              <w:rPr>
                <w:sz w:val="20"/>
              </w:rPr>
              <w:t>$</w:t>
            </w:r>
            <w:r w:rsidR="005A2844">
              <w:rPr>
                <w:sz w:val="20"/>
              </w:rPr>
              <w:t xml:space="preserve"> </w:t>
            </w:r>
            <w:r>
              <w:rPr>
                <w:sz w:val="20"/>
              </w:rPr>
              <w:t>18,234,000</w:t>
            </w:r>
          </w:p>
        </w:tc>
        <w:tc>
          <w:tcPr>
            <w:tcW w:w="1332" w:type="dxa"/>
          </w:tcPr>
          <w:p w:rsidR="004724E8" w:rsidRPr="004724E8" w:rsidRDefault="004724E8" w:rsidP="004724E8">
            <w:pPr>
              <w:pStyle w:val="BodyText"/>
              <w:keepNext/>
              <w:keepLines/>
              <w:widowControl w:val="0"/>
              <w:spacing w:after="0"/>
              <w:ind w:firstLine="0"/>
              <w:rPr>
                <w:sz w:val="20"/>
              </w:rPr>
            </w:pPr>
          </w:p>
        </w:tc>
        <w:tc>
          <w:tcPr>
            <w:tcW w:w="1330" w:type="dxa"/>
          </w:tcPr>
          <w:p w:rsidR="004724E8" w:rsidRPr="004724E8" w:rsidRDefault="004724E8" w:rsidP="004724E8">
            <w:pPr>
              <w:pStyle w:val="BodyText"/>
              <w:keepNext/>
              <w:keepLines/>
              <w:widowControl w:val="0"/>
              <w:spacing w:after="0"/>
              <w:ind w:firstLine="0"/>
              <w:rPr>
                <w:sz w:val="20"/>
              </w:rPr>
            </w:pPr>
          </w:p>
        </w:tc>
        <w:tc>
          <w:tcPr>
            <w:tcW w:w="1330" w:type="dxa"/>
          </w:tcPr>
          <w:p w:rsidR="004724E8" w:rsidRPr="004724E8" w:rsidRDefault="004724E8" w:rsidP="004724E8">
            <w:pPr>
              <w:pStyle w:val="BodyText"/>
              <w:keepNext/>
              <w:keepLines/>
              <w:widowControl w:val="0"/>
              <w:spacing w:after="0"/>
              <w:ind w:firstLine="0"/>
              <w:rPr>
                <w:sz w:val="20"/>
              </w:rPr>
            </w:pPr>
          </w:p>
        </w:tc>
        <w:tc>
          <w:tcPr>
            <w:tcW w:w="1534" w:type="dxa"/>
          </w:tcPr>
          <w:p w:rsidR="004724E8" w:rsidRPr="00E61EC9" w:rsidRDefault="00E61EC9" w:rsidP="00E61EC9">
            <w:pPr>
              <w:pStyle w:val="BodyText"/>
              <w:keepNext/>
              <w:keepLines/>
              <w:widowControl w:val="0"/>
              <w:tabs>
                <w:tab w:val="decimal" w:pos="1214"/>
              </w:tabs>
              <w:spacing w:after="0"/>
              <w:ind w:firstLine="0"/>
              <w:rPr>
                <w:sz w:val="20"/>
              </w:rPr>
            </w:pPr>
            <w:r>
              <w:rPr>
                <w:sz w:val="20"/>
              </w:rPr>
              <w:t>–</w:t>
            </w:r>
          </w:p>
        </w:tc>
        <w:tc>
          <w:tcPr>
            <w:tcW w:w="1620" w:type="dxa"/>
          </w:tcPr>
          <w:p w:rsidR="004724E8" w:rsidRPr="004724E8" w:rsidRDefault="004724E8" w:rsidP="004724E8">
            <w:pPr>
              <w:pStyle w:val="BodyText"/>
              <w:keepNext/>
              <w:keepLines/>
              <w:widowControl w:val="0"/>
              <w:spacing w:after="0"/>
              <w:ind w:firstLine="0"/>
              <w:rPr>
                <w:sz w:val="20"/>
              </w:rPr>
            </w:pPr>
          </w:p>
        </w:tc>
      </w:tr>
      <w:tr w:rsidR="004724E8" w:rsidRPr="004724E8" w:rsidTr="00E61EC9">
        <w:tc>
          <w:tcPr>
            <w:tcW w:w="1329" w:type="dxa"/>
          </w:tcPr>
          <w:p w:rsidR="004724E8" w:rsidRPr="004724E8" w:rsidRDefault="004724E8" w:rsidP="004724E8">
            <w:pPr>
              <w:pStyle w:val="BodyText"/>
              <w:keepNext/>
              <w:keepLines/>
              <w:widowControl w:val="0"/>
              <w:spacing w:after="0"/>
              <w:ind w:firstLine="0"/>
              <w:jc w:val="center"/>
              <w:rPr>
                <w:sz w:val="20"/>
              </w:rPr>
            </w:pPr>
            <w:r>
              <w:rPr>
                <w:sz w:val="20"/>
              </w:rPr>
              <w:t>2021</w:t>
            </w:r>
          </w:p>
        </w:tc>
        <w:tc>
          <w:tcPr>
            <w:tcW w:w="1335" w:type="dxa"/>
          </w:tcPr>
          <w:p w:rsidR="004724E8" w:rsidRPr="004724E8" w:rsidRDefault="00C076E9" w:rsidP="005A2844">
            <w:pPr>
              <w:pStyle w:val="BodyText"/>
              <w:keepNext/>
              <w:keepLines/>
              <w:widowControl w:val="0"/>
              <w:tabs>
                <w:tab w:val="decimal" w:pos="1080"/>
              </w:tabs>
              <w:spacing w:after="0"/>
              <w:ind w:firstLine="0"/>
              <w:rPr>
                <w:sz w:val="20"/>
              </w:rPr>
            </w:pPr>
            <w:r>
              <w:rPr>
                <w:sz w:val="20"/>
              </w:rPr>
              <w:t>18,234,000</w:t>
            </w:r>
          </w:p>
        </w:tc>
        <w:tc>
          <w:tcPr>
            <w:tcW w:w="1332" w:type="dxa"/>
          </w:tcPr>
          <w:p w:rsidR="004724E8" w:rsidRPr="004724E8" w:rsidRDefault="004724E8" w:rsidP="004724E8">
            <w:pPr>
              <w:pStyle w:val="BodyText"/>
              <w:keepNext/>
              <w:keepLines/>
              <w:widowControl w:val="0"/>
              <w:spacing w:after="0"/>
              <w:ind w:firstLine="0"/>
              <w:rPr>
                <w:sz w:val="20"/>
              </w:rPr>
            </w:pPr>
          </w:p>
        </w:tc>
        <w:tc>
          <w:tcPr>
            <w:tcW w:w="1330" w:type="dxa"/>
          </w:tcPr>
          <w:p w:rsidR="004724E8" w:rsidRPr="004724E8" w:rsidRDefault="004724E8" w:rsidP="004724E8">
            <w:pPr>
              <w:pStyle w:val="BodyText"/>
              <w:keepNext/>
              <w:keepLines/>
              <w:widowControl w:val="0"/>
              <w:spacing w:after="0"/>
              <w:ind w:firstLine="0"/>
              <w:rPr>
                <w:sz w:val="20"/>
              </w:rPr>
            </w:pPr>
          </w:p>
        </w:tc>
        <w:tc>
          <w:tcPr>
            <w:tcW w:w="1330" w:type="dxa"/>
          </w:tcPr>
          <w:p w:rsidR="004724E8" w:rsidRPr="004724E8" w:rsidRDefault="004724E8" w:rsidP="004724E8">
            <w:pPr>
              <w:pStyle w:val="BodyText"/>
              <w:keepNext/>
              <w:keepLines/>
              <w:widowControl w:val="0"/>
              <w:spacing w:after="0"/>
              <w:ind w:firstLine="0"/>
              <w:rPr>
                <w:sz w:val="20"/>
              </w:rPr>
            </w:pPr>
          </w:p>
        </w:tc>
        <w:tc>
          <w:tcPr>
            <w:tcW w:w="1534" w:type="dxa"/>
          </w:tcPr>
          <w:p w:rsidR="004724E8" w:rsidRPr="00E61EC9" w:rsidRDefault="00E61EC9" w:rsidP="00E61EC9">
            <w:pPr>
              <w:pStyle w:val="BodyText"/>
              <w:keepNext/>
              <w:keepLines/>
              <w:widowControl w:val="0"/>
              <w:tabs>
                <w:tab w:val="decimal" w:pos="1214"/>
              </w:tabs>
              <w:spacing w:after="0"/>
              <w:ind w:firstLine="0"/>
              <w:rPr>
                <w:sz w:val="20"/>
              </w:rPr>
            </w:pPr>
            <w:r>
              <w:rPr>
                <w:sz w:val="20"/>
              </w:rPr>
              <w:t>–</w:t>
            </w:r>
          </w:p>
        </w:tc>
        <w:tc>
          <w:tcPr>
            <w:tcW w:w="1620" w:type="dxa"/>
          </w:tcPr>
          <w:p w:rsidR="004724E8" w:rsidRPr="004724E8" w:rsidRDefault="004724E8" w:rsidP="004724E8">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2022</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18,234,000</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Pr>
                <w:sz w:val="20"/>
              </w:rPr>
              <w:t xml:space="preserve">$     </w:t>
            </w:r>
            <w:r w:rsidRPr="00E61EC9">
              <w:rPr>
                <w:sz w:val="20"/>
              </w:rPr>
              <w:t>8,039,106</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2023</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18,234,000</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30,855,249</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2024</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18,234,000</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31,515,762</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2025</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18,234,000</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32,057,586</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2026</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31,532,201</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32,743,837</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2027</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31,231,889</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33,398,714</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2028</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30,922,388</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Pr>
                <w:sz w:val="20"/>
              </w:rPr>
              <w:t>3</w:t>
            </w:r>
            <w:r w:rsidRPr="00E61EC9">
              <w:rPr>
                <w:sz w:val="20"/>
              </w:rPr>
              <w:t>4,113,610</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2029</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30,602,179</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34,700,162</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2030</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30,264,894</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35,442,982</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2031</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29,919,014</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36,151,842</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2032</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29,553,018</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36,925,668</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2033</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29,175,389</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37,560,571</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2034</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28,784,302</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38,364,624</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2035</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28,377,934</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39,131,916</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2036</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27,949,613</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 xml:space="preserve"> 39,969,531</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2037</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27,512,364</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40,656,770</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2038</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27,049,212</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41,527,103</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2039</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26,573,182</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42,357,645</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2040</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26,072,146</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43,264,906</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2041</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25,558,824</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44,008,195</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2042</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44,950,271</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2043</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45,849,277</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2044</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46,830,676</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Pr="004724E8" w:rsidRDefault="00E61EC9" w:rsidP="00E61EC9">
            <w:pPr>
              <w:pStyle w:val="BodyText"/>
              <w:keepNext/>
              <w:keepLines/>
              <w:widowControl w:val="0"/>
              <w:spacing w:after="0"/>
              <w:ind w:firstLine="0"/>
              <w:jc w:val="center"/>
              <w:rPr>
                <w:sz w:val="20"/>
              </w:rPr>
            </w:pPr>
            <w:r>
              <w:rPr>
                <w:sz w:val="20"/>
              </w:rPr>
              <w:t>2045</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47,635,886</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Default="00E61EC9" w:rsidP="00E61EC9">
            <w:pPr>
              <w:pStyle w:val="BodyText"/>
              <w:keepNext/>
              <w:keepLines/>
              <w:widowControl w:val="0"/>
              <w:spacing w:after="0"/>
              <w:ind w:firstLine="0"/>
              <w:jc w:val="center"/>
              <w:rPr>
                <w:sz w:val="20"/>
              </w:rPr>
            </w:pPr>
            <w:r>
              <w:rPr>
                <w:sz w:val="20"/>
              </w:rPr>
              <w:t>2046</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48,655,619</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Default="00E61EC9" w:rsidP="00E61EC9">
            <w:pPr>
              <w:pStyle w:val="BodyText"/>
              <w:keepNext/>
              <w:keepLines/>
              <w:widowControl w:val="0"/>
              <w:spacing w:after="0"/>
              <w:ind w:firstLine="0"/>
              <w:jc w:val="center"/>
              <w:rPr>
                <w:sz w:val="20"/>
              </w:rPr>
            </w:pPr>
            <w:r>
              <w:rPr>
                <w:sz w:val="20"/>
              </w:rPr>
              <w:t>2047</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49,628,732</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Default="00E61EC9" w:rsidP="00E61EC9">
            <w:pPr>
              <w:pStyle w:val="BodyText"/>
              <w:keepNext/>
              <w:keepLines/>
              <w:widowControl w:val="0"/>
              <w:spacing w:after="0"/>
              <w:ind w:firstLine="0"/>
              <w:jc w:val="center"/>
              <w:rPr>
                <w:sz w:val="20"/>
              </w:rPr>
            </w:pPr>
            <w:r>
              <w:rPr>
                <w:sz w:val="20"/>
              </w:rPr>
              <w:t>2048</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50,691,030</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Default="00E61EC9" w:rsidP="00E61EC9">
            <w:pPr>
              <w:pStyle w:val="BodyText"/>
              <w:keepNext/>
              <w:keepLines/>
              <w:widowControl w:val="0"/>
              <w:spacing w:after="0"/>
              <w:ind w:firstLine="0"/>
              <w:jc w:val="center"/>
              <w:rPr>
                <w:sz w:val="20"/>
              </w:rPr>
            </w:pPr>
            <w:r>
              <w:rPr>
                <w:sz w:val="20"/>
              </w:rPr>
              <w:t>2049</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51,562,615</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Default="00E61EC9" w:rsidP="00E61EC9">
            <w:pPr>
              <w:pStyle w:val="BodyText"/>
              <w:keepNext/>
              <w:keepLines/>
              <w:widowControl w:val="0"/>
              <w:spacing w:after="0"/>
              <w:ind w:firstLine="0"/>
              <w:jc w:val="center"/>
              <w:rPr>
                <w:sz w:val="20"/>
              </w:rPr>
            </w:pPr>
            <w:r>
              <w:rPr>
                <w:sz w:val="20"/>
              </w:rPr>
              <w:t>2050</w:t>
            </w:r>
          </w:p>
        </w:tc>
        <w:tc>
          <w:tcPr>
            <w:tcW w:w="1335" w:type="dxa"/>
          </w:tcPr>
          <w:p w:rsidR="00E61EC9" w:rsidRPr="004724E8" w:rsidRDefault="00E61EC9" w:rsidP="00E61EC9">
            <w:pPr>
              <w:pStyle w:val="BodyText"/>
              <w:keepNext/>
              <w:keepLines/>
              <w:widowControl w:val="0"/>
              <w:tabs>
                <w:tab w:val="decimal" w:pos="1080"/>
              </w:tabs>
              <w:spacing w:after="0"/>
              <w:ind w:firstLine="0"/>
              <w:rPr>
                <w:sz w:val="20"/>
              </w:rPr>
            </w:pPr>
            <w:r>
              <w:rPr>
                <w:sz w:val="20"/>
              </w:rPr>
              <w:t>–</w:t>
            </w:r>
          </w:p>
        </w:tc>
        <w:tc>
          <w:tcPr>
            <w:tcW w:w="1332"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330" w:type="dxa"/>
          </w:tcPr>
          <w:p w:rsidR="00E61EC9" w:rsidRPr="004724E8" w:rsidRDefault="00E61EC9" w:rsidP="00E61EC9">
            <w:pPr>
              <w:pStyle w:val="BodyText"/>
              <w:keepNext/>
              <w:keepLines/>
              <w:widowControl w:val="0"/>
              <w:spacing w:after="0"/>
              <w:ind w:firstLine="0"/>
              <w:rPr>
                <w:sz w:val="20"/>
              </w:rPr>
            </w:pPr>
          </w:p>
        </w:tc>
        <w:tc>
          <w:tcPr>
            <w:tcW w:w="1534" w:type="dxa"/>
          </w:tcPr>
          <w:p w:rsidR="00E61EC9" w:rsidRPr="00E61EC9" w:rsidRDefault="00E61EC9" w:rsidP="00E61EC9">
            <w:pPr>
              <w:tabs>
                <w:tab w:val="decimal" w:pos="1214"/>
              </w:tabs>
              <w:rPr>
                <w:sz w:val="20"/>
              </w:rPr>
            </w:pPr>
            <w:r w:rsidRPr="00E61EC9">
              <w:rPr>
                <w:sz w:val="20"/>
              </w:rPr>
              <w:t xml:space="preserve">52,666,407 </w:t>
            </w:r>
          </w:p>
        </w:tc>
        <w:tc>
          <w:tcPr>
            <w:tcW w:w="1620" w:type="dxa"/>
          </w:tcPr>
          <w:p w:rsidR="00E61EC9" w:rsidRPr="004724E8" w:rsidRDefault="00E61EC9" w:rsidP="00E61EC9">
            <w:pPr>
              <w:pStyle w:val="BodyText"/>
              <w:keepNext/>
              <w:keepLines/>
              <w:widowControl w:val="0"/>
              <w:spacing w:after="0"/>
              <w:ind w:firstLine="0"/>
              <w:rPr>
                <w:sz w:val="20"/>
              </w:rPr>
            </w:pPr>
          </w:p>
        </w:tc>
      </w:tr>
      <w:tr w:rsidR="00E61EC9" w:rsidRPr="004724E8" w:rsidTr="00E61EC9">
        <w:tc>
          <w:tcPr>
            <w:tcW w:w="1329" w:type="dxa"/>
          </w:tcPr>
          <w:p w:rsidR="00E61EC9" w:rsidRDefault="00E61EC9" w:rsidP="00E61EC9">
            <w:pPr>
              <w:pStyle w:val="BodyText"/>
              <w:keepNext/>
              <w:keepLines/>
              <w:widowControl w:val="0"/>
              <w:spacing w:after="0"/>
              <w:ind w:firstLine="0"/>
              <w:jc w:val="center"/>
              <w:rPr>
                <w:sz w:val="20"/>
              </w:rPr>
            </w:pPr>
            <w:r>
              <w:rPr>
                <w:sz w:val="20"/>
              </w:rPr>
              <w:t>2051</w:t>
            </w:r>
          </w:p>
        </w:tc>
        <w:tc>
          <w:tcPr>
            <w:tcW w:w="1335" w:type="dxa"/>
          </w:tcPr>
          <w:p w:rsidR="00E61EC9" w:rsidRPr="00E61EC9" w:rsidRDefault="00E61EC9" w:rsidP="00E61EC9">
            <w:pPr>
              <w:pStyle w:val="BodyText"/>
              <w:keepNext/>
              <w:keepLines/>
              <w:widowControl w:val="0"/>
              <w:tabs>
                <w:tab w:val="decimal" w:pos="1080"/>
              </w:tabs>
              <w:spacing w:after="0"/>
              <w:ind w:firstLine="0"/>
              <w:rPr>
                <w:sz w:val="20"/>
                <w:u w:val="single"/>
              </w:rPr>
            </w:pPr>
            <w:r>
              <w:rPr>
                <w:sz w:val="20"/>
                <w:u w:val="single"/>
              </w:rPr>
              <w:t xml:space="preserve">                    </w:t>
            </w:r>
            <w:r w:rsidRPr="00E61EC9">
              <w:rPr>
                <w:sz w:val="20"/>
                <w:u w:val="single"/>
              </w:rPr>
              <w:t>–</w:t>
            </w:r>
          </w:p>
        </w:tc>
        <w:tc>
          <w:tcPr>
            <w:tcW w:w="1332" w:type="dxa"/>
          </w:tcPr>
          <w:p w:rsidR="00E61EC9" w:rsidRPr="00E61EC9" w:rsidRDefault="00E61EC9" w:rsidP="00E61EC9">
            <w:pPr>
              <w:pStyle w:val="BodyText"/>
              <w:keepNext/>
              <w:keepLines/>
              <w:widowControl w:val="0"/>
              <w:spacing w:after="0"/>
              <w:ind w:firstLine="0"/>
              <w:rPr>
                <w:sz w:val="20"/>
                <w:u w:val="single"/>
              </w:rPr>
            </w:pPr>
          </w:p>
        </w:tc>
        <w:tc>
          <w:tcPr>
            <w:tcW w:w="1330" w:type="dxa"/>
          </w:tcPr>
          <w:p w:rsidR="00E61EC9" w:rsidRPr="00E61EC9" w:rsidRDefault="00E61EC9" w:rsidP="00E61EC9">
            <w:pPr>
              <w:pStyle w:val="BodyText"/>
              <w:keepNext/>
              <w:keepLines/>
              <w:widowControl w:val="0"/>
              <w:spacing w:after="0"/>
              <w:ind w:firstLine="0"/>
              <w:rPr>
                <w:sz w:val="20"/>
                <w:u w:val="single"/>
              </w:rPr>
            </w:pPr>
          </w:p>
        </w:tc>
        <w:tc>
          <w:tcPr>
            <w:tcW w:w="1330" w:type="dxa"/>
          </w:tcPr>
          <w:p w:rsidR="00E61EC9" w:rsidRPr="00E61EC9" w:rsidRDefault="00E61EC9" w:rsidP="00E61EC9">
            <w:pPr>
              <w:pStyle w:val="BodyText"/>
              <w:keepNext/>
              <w:keepLines/>
              <w:widowControl w:val="0"/>
              <w:spacing w:after="0"/>
              <w:ind w:firstLine="0"/>
              <w:rPr>
                <w:sz w:val="20"/>
                <w:u w:val="single"/>
              </w:rPr>
            </w:pPr>
          </w:p>
        </w:tc>
        <w:tc>
          <w:tcPr>
            <w:tcW w:w="1534" w:type="dxa"/>
          </w:tcPr>
          <w:p w:rsidR="00E61EC9" w:rsidRPr="00E61EC9" w:rsidRDefault="00E61EC9" w:rsidP="00E61EC9">
            <w:pPr>
              <w:tabs>
                <w:tab w:val="decimal" w:pos="1214"/>
              </w:tabs>
              <w:rPr>
                <w:sz w:val="20"/>
                <w:u w:val="single"/>
              </w:rPr>
            </w:pPr>
            <w:r>
              <w:rPr>
                <w:sz w:val="20"/>
                <w:u w:val="single"/>
              </w:rPr>
              <w:t xml:space="preserve">     </w:t>
            </w:r>
            <w:r w:rsidRPr="00E61EC9">
              <w:rPr>
                <w:sz w:val="20"/>
                <w:u w:val="single"/>
              </w:rPr>
              <w:t>53,719,735</w:t>
            </w:r>
          </w:p>
        </w:tc>
        <w:tc>
          <w:tcPr>
            <w:tcW w:w="1620" w:type="dxa"/>
          </w:tcPr>
          <w:p w:rsidR="00E61EC9" w:rsidRPr="00E61EC9" w:rsidRDefault="00E61EC9" w:rsidP="00E61EC9">
            <w:pPr>
              <w:pStyle w:val="BodyText"/>
              <w:keepNext/>
              <w:keepLines/>
              <w:widowControl w:val="0"/>
              <w:spacing w:after="0"/>
              <w:ind w:firstLine="0"/>
              <w:rPr>
                <w:sz w:val="20"/>
                <w:u w:val="single"/>
              </w:rPr>
            </w:pPr>
          </w:p>
        </w:tc>
      </w:tr>
      <w:tr w:rsidR="009B16D9" w:rsidRPr="004724E8" w:rsidTr="00E61EC9">
        <w:tc>
          <w:tcPr>
            <w:tcW w:w="1329" w:type="dxa"/>
          </w:tcPr>
          <w:p w:rsidR="009B16D9" w:rsidRDefault="009B16D9" w:rsidP="004724E8">
            <w:pPr>
              <w:pStyle w:val="BodyText"/>
              <w:keepNext/>
              <w:keepLines/>
              <w:widowControl w:val="0"/>
              <w:spacing w:after="0"/>
              <w:ind w:firstLine="0"/>
              <w:jc w:val="center"/>
              <w:rPr>
                <w:sz w:val="20"/>
              </w:rPr>
            </w:pPr>
            <w:r>
              <w:rPr>
                <w:sz w:val="20"/>
              </w:rPr>
              <w:t>Total</w:t>
            </w:r>
          </w:p>
        </w:tc>
        <w:tc>
          <w:tcPr>
            <w:tcW w:w="1335" w:type="dxa"/>
          </w:tcPr>
          <w:p w:rsidR="009B16D9" w:rsidRPr="004724E8" w:rsidRDefault="003A2757" w:rsidP="005A2844">
            <w:pPr>
              <w:pStyle w:val="BodyText"/>
              <w:keepNext/>
              <w:keepLines/>
              <w:widowControl w:val="0"/>
              <w:tabs>
                <w:tab w:val="decimal" w:pos="1080"/>
              </w:tabs>
              <w:spacing w:after="0"/>
              <w:ind w:firstLine="0"/>
              <w:rPr>
                <w:sz w:val="20"/>
              </w:rPr>
            </w:pPr>
            <w:r>
              <w:rPr>
                <w:sz w:val="20"/>
              </w:rPr>
              <w:t>$</w:t>
            </w:r>
            <w:r w:rsidRPr="005A2844">
              <w:rPr>
                <w:sz w:val="20"/>
                <w:u w:val="double"/>
              </w:rPr>
              <w:t>570,482,549</w:t>
            </w:r>
          </w:p>
        </w:tc>
        <w:tc>
          <w:tcPr>
            <w:tcW w:w="1332" w:type="dxa"/>
          </w:tcPr>
          <w:p w:rsidR="009B16D9" w:rsidRPr="004724E8" w:rsidRDefault="009B16D9" w:rsidP="004724E8">
            <w:pPr>
              <w:pStyle w:val="BodyText"/>
              <w:keepNext/>
              <w:keepLines/>
              <w:widowControl w:val="0"/>
              <w:spacing w:after="0"/>
              <w:ind w:firstLine="0"/>
              <w:rPr>
                <w:sz w:val="20"/>
              </w:rPr>
            </w:pPr>
          </w:p>
        </w:tc>
        <w:tc>
          <w:tcPr>
            <w:tcW w:w="1330" w:type="dxa"/>
          </w:tcPr>
          <w:p w:rsidR="009B16D9" w:rsidRPr="004724E8" w:rsidRDefault="009B16D9" w:rsidP="004724E8">
            <w:pPr>
              <w:pStyle w:val="BodyText"/>
              <w:keepNext/>
              <w:keepLines/>
              <w:widowControl w:val="0"/>
              <w:spacing w:after="0"/>
              <w:ind w:firstLine="0"/>
              <w:rPr>
                <w:sz w:val="20"/>
              </w:rPr>
            </w:pPr>
          </w:p>
        </w:tc>
        <w:tc>
          <w:tcPr>
            <w:tcW w:w="1330" w:type="dxa"/>
          </w:tcPr>
          <w:p w:rsidR="009B16D9" w:rsidRPr="004724E8" w:rsidRDefault="009B16D9" w:rsidP="004724E8">
            <w:pPr>
              <w:pStyle w:val="BodyText"/>
              <w:keepNext/>
              <w:keepLines/>
              <w:widowControl w:val="0"/>
              <w:spacing w:after="0"/>
              <w:ind w:firstLine="0"/>
              <w:rPr>
                <w:sz w:val="20"/>
              </w:rPr>
            </w:pPr>
          </w:p>
        </w:tc>
        <w:tc>
          <w:tcPr>
            <w:tcW w:w="1534" w:type="dxa"/>
          </w:tcPr>
          <w:p w:rsidR="009B16D9" w:rsidRPr="004724E8" w:rsidRDefault="00E61EC9" w:rsidP="00E61EC9">
            <w:pPr>
              <w:pStyle w:val="BodyText"/>
              <w:keepNext/>
              <w:keepLines/>
              <w:widowControl w:val="0"/>
              <w:tabs>
                <w:tab w:val="decimal" w:pos="1214"/>
              </w:tabs>
              <w:spacing w:after="0"/>
              <w:ind w:firstLine="0"/>
              <w:rPr>
                <w:sz w:val="20"/>
              </w:rPr>
            </w:pPr>
            <w:r>
              <w:rPr>
                <w:sz w:val="20"/>
              </w:rPr>
              <w:t>$</w:t>
            </w:r>
            <w:r w:rsidRPr="00E61EC9">
              <w:rPr>
                <w:sz w:val="20"/>
                <w:u w:val="double"/>
              </w:rPr>
              <w:t>1,204,976,027</w:t>
            </w:r>
          </w:p>
        </w:tc>
        <w:tc>
          <w:tcPr>
            <w:tcW w:w="1620" w:type="dxa"/>
          </w:tcPr>
          <w:p w:rsidR="009B16D9" w:rsidRPr="004724E8" w:rsidRDefault="009B16D9" w:rsidP="004724E8">
            <w:pPr>
              <w:pStyle w:val="BodyText"/>
              <w:keepNext/>
              <w:keepLines/>
              <w:widowControl w:val="0"/>
              <w:spacing w:after="0"/>
              <w:ind w:firstLine="0"/>
              <w:rPr>
                <w:sz w:val="20"/>
              </w:rPr>
            </w:pPr>
          </w:p>
        </w:tc>
      </w:tr>
      <w:tr w:rsidR="009B16D9" w:rsidRPr="004724E8" w:rsidTr="00E61EC9">
        <w:tc>
          <w:tcPr>
            <w:tcW w:w="9810" w:type="dxa"/>
            <w:gridSpan w:val="7"/>
          </w:tcPr>
          <w:p w:rsidR="009B16D9" w:rsidRPr="00E61EC9" w:rsidRDefault="009B16D9" w:rsidP="004724E8">
            <w:pPr>
              <w:pStyle w:val="BodyText"/>
              <w:keepNext/>
              <w:keepLines/>
              <w:widowControl w:val="0"/>
              <w:spacing w:after="0"/>
              <w:ind w:firstLine="0"/>
              <w:rPr>
                <w:sz w:val="18"/>
                <w:szCs w:val="18"/>
              </w:rPr>
            </w:pPr>
            <w:r w:rsidRPr="00E61EC9">
              <w:rPr>
                <w:sz w:val="18"/>
                <w:szCs w:val="18"/>
                <w:u w:val="single"/>
              </w:rPr>
              <w:tab/>
            </w:r>
            <w:r w:rsidRPr="00E61EC9">
              <w:rPr>
                <w:sz w:val="18"/>
                <w:szCs w:val="18"/>
                <w:u w:val="single"/>
              </w:rPr>
              <w:tab/>
            </w:r>
            <w:r w:rsidRPr="00E61EC9">
              <w:rPr>
                <w:sz w:val="18"/>
                <w:szCs w:val="18"/>
                <w:u w:val="single"/>
              </w:rPr>
              <w:tab/>
            </w:r>
          </w:p>
          <w:p w:rsidR="009B16D9" w:rsidRPr="00E61EC9" w:rsidRDefault="00E76D10" w:rsidP="004724E8">
            <w:pPr>
              <w:pStyle w:val="BodyText"/>
              <w:keepNext/>
              <w:keepLines/>
              <w:widowControl w:val="0"/>
              <w:spacing w:after="0"/>
              <w:ind w:firstLine="0"/>
              <w:rPr>
                <w:sz w:val="18"/>
                <w:szCs w:val="18"/>
              </w:rPr>
            </w:pPr>
            <w:r w:rsidRPr="00E61EC9">
              <w:rPr>
                <w:sz w:val="18"/>
                <w:szCs w:val="18"/>
                <w:vertAlign w:val="superscript"/>
              </w:rPr>
              <w:t>1</w:t>
            </w:r>
            <w:r w:rsidRPr="00E61EC9">
              <w:rPr>
                <w:sz w:val="18"/>
                <w:szCs w:val="18"/>
              </w:rPr>
              <w:t xml:space="preserve"> Includes principal of and interest due on the Series 2010A Senior Bonds (including the </w:t>
            </w:r>
            <w:r w:rsidR="00E61EC9" w:rsidRPr="00E61EC9">
              <w:rPr>
                <w:sz w:val="18"/>
                <w:szCs w:val="18"/>
              </w:rPr>
              <w:t>Refunded Bonds).</w:t>
            </w:r>
          </w:p>
          <w:p w:rsidR="00E61EC9" w:rsidRPr="00E61EC9" w:rsidRDefault="00E61EC9" w:rsidP="004724E8">
            <w:pPr>
              <w:pStyle w:val="BodyText"/>
              <w:keepNext/>
              <w:keepLines/>
              <w:widowControl w:val="0"/>
              <w:spacing w:after="0"/>
              <w:ind w:firstLine="0"/>
              <w:rPr>
                <w:sz w:val="18"/>
                <w:szCs w:val="18"/>
              </w:rPr>
            </w:pPr>
            <w:r w:rsidRPr="00E61EC9">
              <w:rPr>
                <w:sz w:val="18"/>
                <w:szCs w:val="18"/>
                <w:vertAlign w:val="superscript"/>
              </w:rPr>
              <w:t>2</w:t>
            </w:r>
            <w:r w:rsidRPr="00E61EC9">
              <w:rPr>
                <w:sz w:val="18"/>
                <w:szCs w:val="18"/>
              </w:rPr>
              <w:t xml:space="preserve"> Calculated pursuant to the terms of the Central 70 Project Agreement.</w:t>
            </w:r>
          </w:p>
          <w:p w:rsidR="00E61EC9" w:rsidRPr="00E61EC9" w:rsidRDefault="00E61EC9" w:rsidP="004724E8">
            <w:pPr>
              <w:pStyle w:val="BodyText"/>
              <w:keepNext/>
              <w:keepLines/>
              <w:widowControl w:val="0"/>
              <w:spacing w:after="0"/>
              <w:ind w:firstLine="0"/>
              <w:rPr>
                <w:sz w:val="18"/>
                <w:szCs w:val="18"/>
              </w:rPr>
            </w:pPr>
            <w:r w:rsidRPr="00E61EC9">
              <w:rPr>
                <w:sz w:val="18"/>
                <w:szCs w:val="18"/>
              </w:rPr>
              <w:t>Source: Stifel, Nicolaus &amp; Company, Incorporated</w:t>
            </w:r>
          </w:p>
        </w:tc>
      </w:tr>
    </w:tbl>
    <w:p w:rsidR="004724E8" w:rsidRDefault="004724E8" w:rsidP="002E4A0D">
      <w:pPr>
        <w:pStyle w:val="BodyText"/>
      </w:pPr>
    </w:p>
    <w:p w:rsidR="002E4A0D" w:rsidRPr="007578B7" w:rsidRDefault="002E4A0D" w:rsidP="007578B7"/>
    <w:p w:rsidR="002E4A0D" w:rsidRDefault="002E4A0D" w:rsidP="007578B7">
      <w:pPr>
        <w:pStyle w:val="Kutak1L1"/>
      </w:pPr>
      <w:bookmarkStart w:id="54" w:name="_Toc21694926"/>
      <w:r>
        <w:t>THE BRIDGE ENTERPRISE</w:t>
      </w:r>
      <w:bookmarkEnd w:id="54"/>
    </w:p>
    <w:p w:rsidR="002E4A0D" w:rsidRDefault="002E4A0D" w:rsidP="007578B7">
      <w:pPr>
        <w:pStyle w:val="Kutak1L2"/>
      </w:pPr>
      <w:bookmarkStart w:id="55" w:name="_Toc21694927"/>
      <w:r>
        <w:t>General</w:t>
      </w:r>
      <w:bookmarkEnd w:id="55"/>
    </w:p>
    <w:p w:rsidR="002E4A0D" w:rsidRDefault="002E4A0D" w:rsidP="002E4A0D">
      <w:pPr>
        <w:pStyle w:val="BodyText"/>
      </w:pPr>
      <w:r>
        <w:t>The Bridge Enterprise was created pursuant to FASTER as a government-owned business within CDOT, constituting an “enterprise” for purposes of TABOR</w:t>
      </w:r>
      <w:r w:rsidR="009F27D6">
        <w:t xml:space="preserve">.  </w:t>
      </w:r>
      <w:r w:rsidR="00AF6994">
        <w:t xml:space="preserve">See “LEGAL MATTERS—Certain Constitutional Limitations.”  </w:t>
      </w:r>
      <w:r>
        <w:t xml:space="preserve">The Bridge Enterprise was formed for the purpose of financing, repairing, reconstructing, replacing, operating and maintaining, or any combination thereof, Designated Bridges as further described </w:t>
      </w:r>
      <w:r w:rsidR="00AF6994">
        <w:t xml:space="preserve">below under </w:t>
      </w:r>
      <w:r>
        <w:t>“</w:t>
      </w:r>
      <w:r w:rsidR="00AF6994">
        <w:t>—Designated Bridge Projects</w:t>
      </w:r>
      <w:r>
        <w:t>.”</w:t>
      </w:r>
    </w:p>
    <w:p w:rsidR="002E4A0D" w:rsidRDefault="002E4A0D" w:rsidP="002E4A0D">
      <w:pPr>
        <w:pStyle w:val="BodyText"/>
      </w:pPr>
      <w:r>
        <w:t>The Transportation Commission serves as the Bridge Enterprise Board</w:t>
      </w:r>
      <w:r w:rsidR="009F27D6">
        <w:t xml:space="preserve">.  </w:t>
      </w:r>
      <w:r w:rsidR="001078DF">
        <w:t>T</w:t>
      </w:r>
      <w:r w:rsidR="00AF6994">
        <w:t xml:space="preserve">he </w:t>
      </w:r>
      <w:r w:rsidR="00A335D5">
        <w:t xml:space="preserve">CDOT </w:t>
      </w:r>
      <w:r w:rsidR="00AF6994">
        <w:t>Executive Director</w:t>
      </w:r>
      <w:r w:rsidR="00A335D5">
        <w:t xml:space="preserve"> </w:t>
      </w:r>
      <w:r w:rsidR="00AF6994">
        <w:t xml:space="preserve">has been appointed by the Transportation Commission to serve as the Director of the Bridge Enterprise.  </w:t>
      </w:r>
      <w:r>
        <w:t>The Director of the Bridge Enterprise is generally responsible for overseeing the discharge of all responsibilities of the Bridge Enterprise</w:t>
      </w:r>
      <w:r w:rsidR="009F27D6">
        <w:t xml:space="preserve">.  </w:t>
      </w:r>
      <w:r>
        <w:t xml:space="preserve">The Bridge Enterprise Board has delegated to the Director of the Bridge Enterprise authority to execute contracts and other agreements and instruments in connection with the financing of Designated Bridge Projects, including documents required in connection with the issuance of the Bridge Enterprise’s revenue bonds, including the </w:t>
      </w:r>
      <w:r w:rsidR="006C3474">
        <w:t>Series 2019A Senior Bond</w:t>
      </w:r>
      <w:r>
        <w:t>s.</w:t>
      </w:r>
    </w:p>
    <w:p w:rsidR="002E4A0D" w:rsidRDefault="002E4A0D" w:rsidP="002E4A0D">
      <w:pPr>
        <w:pStyle w:val="BodyText"/>
      </w:pPr>
      <w:r>
        <w:t>Under the provisions of FASTER, in order to allow the Bridge Enterprise to accomplish its purposes and to fully exercise its powers and duties through the Bridge Enterprise Board, the Bridge Enterprise, among other matters, is authorized to: (</w:t>
      </w:r>
      <w:r w:rsidR="007578B7">
        <w:t>a</w:t>
      </w:r>
      <w:r>
        <w:t>) impose the Bridge Surcharge as authorized by FASTER; (</w:t>
      </w:r>
      <w:r w:rsidR="007578B7">
        <w:t>b</w:t>
      </w:r>
      <w:r>
        <w:t>) issue revenue bonds, payable from the revenues and other available moneys of the Bridge Enterprise that are pledged for their payment, to finance project costs or to refund financial obligations of the Bridge Enterprise; and (</w:t>
      </w:r>
      <w:r w:rsidR="007578B7">
        <w:t>c</w:t>
      </w:r>
      <w:r>
        <w:t>) contract with any other governmental or nongovernmental source of funding for loans or grants, including, but not limited to, one or more loans from the State of moneys received by the State pursuant to the terms of one or more lease-purchase agreements authorized pursuant to FASTER to be used to support the Bridge Enterprise functions.</w:t>
      </w:r>
    </w:p>
    <w:p w:rsidR="00B524E8" w:rsidRDefault="00B524E8" w:rsidP="00B524E8">
      <w:pPr>
        <w:pStyle w:val="Kutak1L2"/>
      </w:pPr>
      <w:bookmarkStart w:id="56" w:name="_Toc21694928"/>
      <w:r>
        <w:t>Designated Bridge Projects</w:t>
      </w:r>
      <w:bookmarkEnd w:id="56"/>
    </w:p>
    <w:p w:rsidR="00AF6994" w:rsidRDefault="00771BB5" w:rsidP="00B524E8">
      <w:pPr>
        <w:pStyle w:val="BodyText"/>
      </w:pPr>
      <w:r>
        <w:t>“</w:t>
      </w:r>
      <w:r w:rsidR="00AF6994" w:rsidRPr="00AF6994">
        <w:t>Designated Bridge Projects</w:t>
      </w:r>
      <w:r>
        <w:t>”</w:t>
      </w:r>
      <w:r w:rsidR="00AF6994" w:rsidRPr="00AF6994">
        <w:t xml:space="preserve"> consist of the financing, repair, reconstruction, replacement and ongoing operation or maintenance, or any combination thereof, of the </w:t>
      </w:r>
      <w:r>
        <w:t>“</w:t>
      </w:r>
      <w:r w:rsidR="00AF6994" w:rsidRPr="00AF6994">
        <w:t>Designated Bridges,</w:t>
      </w:r>
      <w:r>
        <w:t>”</w:t>
      </w:r>
      <w:r w:rsidR="00AF6994" w:rsidRPr="00AF6994">
        <w:t xml:space="preserve"> which are specified to include those bridges and related infrastructure that are part of the State highway system and that are identified by CDOT as structurally deficient or functionally obsolete and rated by CDOT as “poor.”  As of J</w:t>
      </w:r>
      <w:r w:rsidR="000F608D">
        <w:t>uly 1, 2019</w:t>
      </w:r>
      <w:r w:rsidR="00AF6994" w:rsidRPr="00AF6994">
        <w:t xml:space="preserve">, CDOT had identified </w:t>
      </w:r>
      <w:r w:rsidR="000F608D">
        <w:t>355</w:t>
      </w:r>
      <w:r w:rsidR="00AF6994" w:rsidRPr="00AF6994">
        <w:t xml:space="preserve"> bridges across the State highway system that qualify as “Designated Bridges” within the eligibility criteria established by FASTER.  As of </w:t>
      </w:r>
      <w:r w:rsidR="000F608D">
        <w:t>July 1, 2019</w:t>
      </w:r>
      <w:r w:rsidR="00AF6994" w:rsidRPr="00AF6994">
        <w:t xml:space="preserve">, </w:t>
      </w:r>
      <w:r w:rsidR="000F608D">
        <w:t xml:space="preserve">157 </w:t>
      </w:r>
      <w:r w:rsidR="00AF6994" w:rsidRPr="00AF6994">
        <w:t xml:space="preserve">of the Designated Bridges had been repaired, reconstructed or replaced.  </w:t>
      </w:r>
      <w:r w:rsidR="00A7372E">
        <w:t xml:space="preserve">The Bridge Enterprise is evaluating which of the remaining Designated Bridges it will repair, reconstruct or replace.  FASTER does not require the Bridge Enterprise to repair, reconstruct or replace all of the Designated Bridges.  The Bridge Enterprise </w:t>
      </w:r>
      <w:r w:rsidR="00A7372E" w:rsidRPr="00AF6994">
        <w:t>estimates that the cost to repair, reconstruct or replace the remaining Designated Bridges will be $</w:t>
      </w:r>
      <w:r w:rsidR="00A7372E">
        <w:t>1.3</w:t>
      </w:r>
      <w:r w:rsidR="00A7372E" w:rsidRPr="00AF6994">
        <w:t xml:space="preserve"> billion.</w:t>
      </w:r>
      <w:r w:rsidR="00A7372E">
        <w:t xml:space="preserve">  </w:t>
      </w:r>
      <w:r w:rsidR="00AF6994" w:rsidRPr="00AF6994">
        <w:t>Costs associated with th</w:t>
      </w:r>
      <w:r w:rsidR="00237E02">
        <w:t>e repair, reconstruction or replacement of the remaining</w:t>
      </w:r>
      <w:r w:rsidR="00AF6994" w:rsidRPr="00AF6994">
        <w:t xml:space="preserve"> Designated Bridges have been or are expected to be funded from a combination of sources, including State funds, federal funds, Revenues,</w:t>
      </w:r>
      <w:r w:rsidR="000F608D">
        <w:t xml:space="preserve"> </w:t>
      </w:r>
      <w:r w:rsidR="00237E02">
        <w:t xml:space="preserve">proceeds of </w:t>
      </w:r>
      <w:r w:rsidR="000F608D">
        <w:t>the Series 2010A Senior Bonds</w:t>
      </w:r>
      <w:r w:rsidR="00237E02">
        <w:t xml:space="preserve"> </w:t>
      </w:r>
      <w:r w:rsidR="00AF6994" w:rsidRPr="00AF6994">
        <w:t xml:space="preserve">and </w:t>
      </w:r>
      <w:r w:rsidR="000F608D">
        <w:t>other f</w:t>
      </w:r>
      <w:r w:rsidR="00AF6994" w:rsidRPr="00AF6994">
        <w:t>inancing sources</w:t>
      </w:r>
      <w:r w:rsidR="00237E02">
        <w:t xml:space="preserve"> (including, but not limited to, the potential issuance of additional Bonds)</w:t>
      </w:r>
      <w:r w:rsidR="00AF6994" w:rsidRPr="00AF6994">
        <w:t>.</w:t>
      </w:r>
    </w:p>
    <w:p w:rsidR="002E4A0D" w:rsidRDefault="002E4A0D" w:rsidP="005C17FD">
      <w:pPr>
        <w:pStyle w:val="Kutak1L2"/>
      </w:pPr>
      <w:bookmarkStart w:id="57" w:name="_Toc21694929"/>
      <w:r>
        <w:t>Material Agreements</w:t>
      </w:r>
      <w:bookmarkEnd w:id="57"/>
    </w:p>
    <w:p w:rsidR="002E4A0D" w:rsidRDefault="002E4A0D" w:rsidP="002E4A0D">
      <w:pPr>
        <w:pStyle w:val="Kutak1L3"/>
      </w:pPr>
      <w:r w:rsidRPr="005C17FD">
        <w:rPr>
          <w:b/>
          <w:i/>
        </w:rPr>
        <w:t>Program Management Agreement</w:t>
      </w:r>
      <w:r w:rsidR="005C17FD">
        <w:t xml:space="preserve">.  </w:t>
      </w:r>
      <w:r>
        <w:t xml:space="preserve">On </w:t>
      </w:r>
      <w:r w:rsidR="0036157C">
        <w:t>January 22, 2016</w:t>
      </w:r>
      <w:r>
        <w:t xml:space="preserve">, the Bridge Enterprise entered into a Program Management Agreement with AECOM Technical Services, </w:t>
      </w:r>
      <w:r w:rsidR="007E483D">
        <w:t xml:space="preserve">Inc. </w:t>
      </w:r>
      <w:r>
        <w:t>(the “Program Manager”) under which the Program Manager provides planning, programming and management oversight for the delivery of the statewide bridge improvement program</w:t>
      </w:r>
      <w:r w:rsidR="009F27D6">
        <w:t xml:space="preserve">.  </w:t>
      </w:r>
      <w:r>
        <w:t>The Program Manager works in collaboration with CDOT headquarters and regional staff in carrying out their responsibilities</w:t>
      </w:r>
      <w:r w:rsidR="009F27D6">
        <w:t xml:space="preserve">.  </w:t>
      </w:r>
      <w:r>
        <w:t>In addition, the Program Manager is also to provide design engineering services, professional support services, program controls, project audits, safety management, contract and financial management services, project/program management, and other responsibilities as may be assigned by the Bridge Enterprise.</w:t>
      </w:r>
    </w:p>
    <w:p w:rsidR="002E4A0D" w:rsidRDefault="002E4A0D" w:rsidP="002E4A0D">
      <w:pPr>
        <w:pStyle w:val="Kutak1L3"/>
      </w:pPr>
      <w:r w:rsidRPr="005C17FD">
        <w:rPr>
          <w:b/>
          <w:i/>
        </w:rPr>
        <w:t>Master Agreement</w:t>
      </w:r>
      <w:r w:rsidR="005C17FD">
        <w:t xml:space="preserve">.  </w:t>
      </w:r>
      <w:r>
        <w:t>The Bridge Enterprise and CDOT entered into a Master Agreement dated as of January 21, 2010 (the “Master Agreement”) for the purpose of defining and providing for the roles, responsibilities and powers of the Bridge Enterprise and CDOT relating to the Designated Bridge Projects, consistent with the Bridge Enterprise’s business purposes and the requirements of FASTER</w:t>
      </w:r>
      <w:r w:rsidR="009F27D6">
        <w:t xml:space="preserve">.  </w:t>
      </w:r>
      <w:r>
        <w:t>The Master Agreement addresses the process to be followed in the identification of Designated Bridges and the transfer of ownership of Designated Bridges to the Bridge Enterprise</w:t>
      </w:r>
      <w:r w:rsidR="009F27D6">
        <w:t xml:space="preserve">.  </w:t>
      </w:r>
      <w:r>
        <w:t>The Master Agreement also defines (</w:t>
      </w:r>
      <w:r w:rsidR="00C54E77">
        <w:t>a</w:t>
      </w:r>
      <w:r>
        <w:t>) the Bridge Enterprise’s obligations in connect</w:t>
      </w:r>
      <w:r w:rsidR="00574C42">
        <w:t>ion with the Bridge Enterprise p</w:t>
      </w:r>
      <w:r>
        <w:t>rojects, including maintenance obligations for the Designated Bridges transferred to the Bridge Enterprise</w:t>
      </w:r>
      <w:r w:rsidR="00C54E77">
        <w:t>;</w:t>
      </w:r>
      <w:r>
        <w:t xml:space="preserve"> (</w:t>
      </w:r>
      <w:r w:rsidR="00C54E77">
        <w:t>b</w:t>
      </w:r>
      <w:r>
        <w:t>) the procedures for the receipt and application of revenues</w:t>
      </w:r>
      <w:r w:rsidR="00C54E77">
        <w:t>;</w:t>
      </w:r>
      <w:r>
        <w:t xml:space="preserve"> (</w:t>
      </w:r>
      <w:r w:rsidR="00C54E77">
        <w:t>c</w:t>
      </w:r>
      <w:r>
        <w:t>) matters relating to the authorization and imposition of the Bridge Surcharges</w:t>
      </w:r>
      <w:r w:rsidR="00C54E77">
        <w:t>;</w:t>
      </w:r>
      <w:r>
        <w:t xml:space="preserve"> and (</w:t>
      </w:r>
      <w:r w:rsidR="00C54E77">
        <w:t>d</w:t>
      </w:r>
      <w:r>
        <w:t>) matters relating to the expenditure of moneys in the Bridge Special Fund.</w:t>
      </w:r>
    </w:p>
    <w:p w:rsidR="002E4A0D" w:rsidRDefault="002E4A0D" w:rsidP="002E4A0D">
      <w:pPr>
        <w:pStyle w:val="Kutak1L3"/>
      </w:pPr>
      <w:r w:rsidRPr="00C54E77">
        <w:rPr>
          <w:b/>
          <w:i/>
        </w:rPr>
        <w:t>Bridge Maintenance Agreement</w:t>
      </w:r>
      <w:r w:rsidR="00C54E77">
        <w:t xml:space="preserve">.  </w:t>
      </w:r>
      <w:r>
        <w:t>On November 18, 2010, the Bridge Enterprise and CDOT entered into an Agreement for Bridge Inspection and Routine Bridge Maintenance Services (the “Inspection and Maintenance Agreement”) under which CDOT agrees to provide certain inspection and maintenance services in connection with the Designated Bridges that are owned by the Bridge Enterprise</w:t>
      </w:r>
      <w:r w:rsidR="009F27D6">
        <w:t xml:space="preserve">.  </w:t>
      </w:r>
      <w:r>
        <w:t>Under the terms of the Inspection and Maintenance Agreement, CDOT agrees to inspect Designated Bridges owned by the Bridge Enterprise as part of its regular statewide bridge inspection program and to perform routine maintenance of those Designated Bridges as part of its regular statewide maintenance effort</w:t>
      </w:r>
      <w:r w:rsidR="009F27D6">
        <w:t xml:space="preserve">.  </w:t>
      </w:r>
      <w:r>
        <w:t>The Bridge Enterprise is permitted to request inspections and maintenance for specified Designated Bridges on an expedited basis, and CDOT agrees to reasonably comply with those requests</w:t>
      </w:r>
      <w:r w:rsidR="009F27D6">
        <w:t xml:space="preserve">.  </w:t>
      </w:r>
      <w:r>
        <w:t>The Inspection and Maintenance Agreement also sets forth an initial rate for bridge inspection costs and an initial rate for routine bridge maintenance costs, expressed on a per square foot of bridge deck basis, determined using CDOT’s historical cost data</w:t>
      </w:r>
      <w:r w:rsidR="009F27D6">
        <w:t xml:space="preserve">.  </w:t>
      </w:r>
      <w:r>
        <w:t>The parties agree to annually review CDOT’s cost data and to make necessary adjustments to the rates to reflect the cost of CDOT’s services</w:t>
      </w:r>
      <w:r w:rsidR="009F27D6">
        <w:t xml:space="preserve">.  </w:t>
      </w:r>
      <w:r>
        <w:t>The Inspection and Maintenance Agreement further provides that, if CDOT’s regular inspection results in the identification of structural concerns or other non-routine maintenance requirements, such structural or non-routine maintenance will remain the responsibility of the Bridge Enterprise and will not be covered by the terms of the Inspection and Maintenance Agreement</w:t>
      </w:r>
      <w:r w:rsidR="009F27D6">
        <w:t xml:space="preserve">.  </w:t>
      </w:r>
      <w:r>
        <w:t>If CDOT performs structural or non-routine maintenance on an emergency basis, the parties are to agree separately on reimbursement of CDOT’s actual costs.</w:t>
      </w:r>
    </w:p>
    <w:p w:rsidR="002E4A0D" w:rsidRDefault="002E4A0D" w:rsidP="00BE5983">
      <w:pPr>
        <w:pStyle w:val="Kutak1L2"/>
      </w:pPr>
      <w:bookmarkStart w:id="58" w:name="_Toc21694930"/>
      <w:r>
        <w:t>Financial Statements</w:t>
      </w:r>
      <w:bookmarkEnd w:id="58"/>
    </w:p>
    <w:p w:rsidR="001C293B" w:rsidRDefault="001C293B" w:rsidP="001C293B">
      <w:pPr>
        <w:pStyle w:val="BodyText"/>
      </w:pPr>
      <w:r>
        <w:t xml:space="preserve">Financial and post-performance audits of all State agencies (including the </w:t>
      </w:r>
      <w:r w:rsidR="00771BB5">
        <w:t xml:space="preserve">Bridge </w:t>
      </w:r>
      <w:r>
        <w:t xml:space="preserve">Enterprise) are performed by the </w:t>
      </w:r>
      <w:r w:rsidR="00771BB5">
        <w:t xml:space="preserve">State </w:t>
      </w:r>
      <w:r>
        <w:t>Auditor through the</w:t>
      </w:r>
      <w:r w:rsidR="00771BB5">
        <w:t xml:space="preserve"> State </w:t>
      </w:r>
      <w:r>
        <w:t xml:space="preserve">Auditor’s staff as assisted by independent accounting firms selected solely by the </w:t>
      </w:r>
      <w:r w:rsidR="00771BB5">
        <w:t xml:space="preserve">State </w:t>
      </w:r>
      <w:r>
        <w:t xml:space="preserve">Auditor.  The </w:t>
      </w:r>
      <w:r w:rsidR="00771BB5">
        <w:t xml:space="preserve">State </w:t>
      </w:r>
      <w:r>
        <w:t xml:space="preserve">Auditor is an employee of the legislative branch of the State and is appointed for a term of five years by the </w:t>
      </w:r>
      <w:r w:rsidR="007F7AE5">
        <w:t xml:space="preserve">State of Colorado </w:t>
      </w:r>
      <w:r w:rsidR="007F7AE5" w:rsidRPr="005917B9">
        <w:t>General Assembly</w:t>
      </w:r>
      <w:r w:rsidR="007F7AE5">
        <w:t xml:space="preserve"> (the “General Assembly”)</w:t>
      </w:r>
      <w:r>
        <w:t xml:space="preserve"> based on the recommendations of the Legislative Audit Committee of the General Assembly.  The present </w:t>
      </w:r>
      <w:r w:rsidR="00771BB5">
        <w:t xml:space="preserve">State </w:t>
      </w:r>
      <w:r>
        <w:t>Auditor has been appointed to a term expiring on June 30, 20</w:t>
      </w:r>
      <w:r w:rsidR="00771BB5">
        <w:t>[</w:t>
      </w:r>
      <w:r>
        <w:t>21</w:t>
      </w:r>
      <w:r w:rsidR="00771BB5">
        <w:t>]</w:t>
      </w:r>
      <w:r>
        <w:t xml:space="preserve">.  The Legislative Audit Committee is comprised of members of both houses of the General Assembly and has responsibility to direct and review audits conducted by the </w:t>
      </w:r>
      <w:r w:rsidR="00771BB5">
        <w:t xml:space="preserve">State </w:t>
      </w:r>
      <w:r>
        <w:t>Auditor.</w:t>
      </w:r>
    </w:p>
    <w:p w:rsidR="002E4A0D" w:rsidRDefault="000B3B31" w:rsidP="001C293B">
      <w:pPr>
        <w:pStyle w:val="BodyText"/>
      </w:pPr>
      <w:r>
        <w:t>The Bridge Enterprise’s Financial Statements for the years ended June 30, 2018 and 2017, including the report of the independent auditor, BKD, LLP, is appended to this Official Statement as Appendix A-1.  BKD, LLP has not been engaged to perform and has not performed, since the date of its report with respect to the financial statements of the Bridge Enterprise included in Appendix A-1 hereto, any procedures on the financial statements addressed in that report.  BKD, LLP also has not performed any procedures relating to this Official Statement.  Additionally, the unaudited Statements of Net Position, Statements of Revenues, Expenses, and Changes of Net Position, and Statements of Cash Flows with respect to the Bridge Enterprise for the fiscal year ended June 30, 2019 are appended to this Official Statement as Appendix A-2.</w:t>
      </w:r>
    </w:p>
    <w:p w:rsidR="002E4A0D" w:rsidRDefault="002E4A0D" w:rsidP="00BE5983">
      <w:pPr>
        <w:pStyle w:val="Kutak1L1"/>
      </w:pPr>
      <w:bookmarkStart w:id="59" w:name="_Toc21694931"/>
      <w:r>
        <w:t>THE COLORADO DEPARTMENT OF TRANSPORTATION</w:t>
      </w:r>
      <w:bookmarkEnd w:id="59"/>
    </w:p>
    <w:p w:rsidR="002E4A0D" w:rsidRDefault="002E4A0D" w:rsidP="00BE5983">
      <w:pPr>
        <w:pStyle w:val="Kutak1L2"/>
      </w:pPr>
      <w:bookmarkStart w:id="60" w:name="_Toc21694932"/>
      <w:r>
        <w:t>General</w:t>
      </w:r>
      <w:bookmarkEnd w:id="60"/>
    </w:p>
    <w:p w:rsidR="002E4A0D" w:rsidRDefault="002E4A0D" w:rsidP="002E4A0D">
      <w:pPr>
        <w:pStyle w:val="BodyText"/>
      </w:pPr>
      <w:r>
        <w:t>The Bridge Enterprise was created by FASTER as an enterprise within CDOT</w:t>
      </w:r>
      <w:r w:rsidR="009F27D6">
        <w:t xml:space="preserve">.  </w:t>
      </w:r>
      <w:r>
        <w:t>CDOT, in conjunction with the Transportation Commission and other State, local, federal, and private entities, is responsible for the planning, development, and construction of public highways and other components of the transportation network for the State</w:t>
      </w:r>
      <w:r w:rsidR="009F27D6">
        <w:t xml:space="preserve">.  </w:t>
      </w:r>
      <w:r>
        <w:t>CDOT is established by State statute as an ex</w:t>
      </w:r>
      <w:r w:rsidR="007B5EFD">
        <w:t>ecutive department of the State</w:t>
      </w:r>
      <w:r>
        <w:t>, in order to provide strategic planning for Statewide transportation systems, to promote coordination among the different modes of transportation, to integrate governmental functions in order to reduce the costs incurred by the State in transportation matters, to obtain the greatest benefit from State expenditures by producing a Statewide transportation policy to address the Statewide transportation problems faced by Colorado, and to enhance the State’s prospects to obtain federal funds by responding to federal mandates for multi-modal transportation planning</w:t>
      </w:r>
      <w:r w:rsidR="009F27D6">
        <w:t xml:space="preserve">.  </w:t>
      </w:r>
      <w:r>
        <w:t>CDOT works closely with the Transportation Commission, which is described in “The Transportation Commission” under this caption.</w:t>
      </w:r>
    </w:p>
    <w:p w:rsidR="002E4A0D" w:rsidRDefault="002E4A0D" w:rsidP="00BE5983">
      <w:pPr>
        <w:pStyle w:val="Kutak1L2"/>
      </w:pPr>
      <w:bookmarkStart w:id="61" w:name="_Toc21694933"/>
      <w:r>
        <w:t>Organization of Department</w:t>
      </w:r>
      <w:bookmarkEnd w:id="61"/>
    </w:p>
    <w:p w:rsidR="00A335D5" w:rsidRPr="005917B9" w:rsidRDefault="00A335D5" w:rsidP="00A335D5">
      <w:pPr>
        <w:pStyle w:val="BodyText"/>
      </w:pPr>
      <w:r w:rsidRPr="005917B9">
        <w:t xml:space="preserve">CDOT is under the direction of the </w:t>
      </w:r>
      <w:r>
        <w:t xml:space="preserve">CDOT </w:t>
      </w:r>
      <w:r w:rsidRPr="005917B9">
        <w:t xml:space="preserve">Executive Director, who is appointed by the Governor of the State with the consent of the Senate and who serves at the pleasure of the Governor. </w:t>
      </w:r>
      <w:r>
        <w:t xml:space="preserve"> </w:t>
      </w:r>
      <w:r w:rsidRPr="005917B9">
        <w:t>CDOT</w:t>
      </w:r>
      <w:r>
        <w:t>’</w:t>
      </w:r>
      <w:r w:rsidRPr="005917B9">
        <w:t xml:space="preserve">s organizational chart is provided </w:t>
      </w:r>
      <w:r>
        <w:t>on the next page</w:t>
      </w:r>
      <w:r w:rsidRPr="005917B9">
        <w:t>, and a brief description of each unit follows.</w:t>
      </w:r>
    </w:p>
    <w:p w:rsidR="00A335D5" w:rsidRDefault="00A335D5" w:rsidP="00A335D5">
      <w:pPr>
        <w:pStyle w:val="BodyText"/>
        <w:ind w:firstLine="0"/>
        <w:jc w:val="center"/>
      </w:pPr>
    </w:p>
    <w:p w:rsidR="00A335D5" w:rsidRDefault="00A335D5" w:rsidP="00A335D5">
      <w:pPr>
        <w:pStyle w:val="BodyText"/>
        <w:ind w:firstLine="0"/>
        <w:jc w:val="center"/>
      </w:pPr>
    </w:p>
    <w:p w:rsidR="00A335D5" w:rsidRDefault="00A335D5" w:rsidP="00A335D5">
      <w:pPr>
        <w:pStyle w:val="BodyText"/>
        <w:ind w:firstLine="0"/>
        <w:jc w:val="center"/>
        <w:rPr>
          <w:b/>
          <w:i/>
        </w:rPr>
      </w:pPr>
      <w:r>
        <w:t>[Remainder of page intentionally left blank]</w:t>
      </w:r>
      <w:r>
        <w:rPr>
          <w:b/>
          <w:i/>
        </w:rPr>
        <w:br w:type="page"/>
      </w:r>
    </w:p>
    <w:p w:rsidR="00A335D5" w:rsidRPr="00E36E2A" w:rsidRDefault="00A335D5" w:rsidP="00A335D5">
      <w:pPr>
        <w:spacing w:after="200" w:line="276" w:lineRule="auto"/>
        <w:jc w:val="center"/>
      </w:pPr>
      <w:r>
        <w:t>[Insert Organization Chart]</w:t>
      </w:r>
    </w:p>
    <w:p w:rsidR="00A335D5" w:rsidRDefault="00A335D5" w:rsidP="00A335D5">
      <w:pPr>
        <w:spacing w:after="200" w:line="276" w:lineRule="auto"/>
        <w:jc w:val="left"/>
        <w:rPr>
          <w:b/>
          <w:i/>
        </w:rPr>
      </w:pPr>
      <w:r>
        <w:rPr>
          <w:b/>
          <w:i/>
        </w:rPr>
        <w:br w:type="page"/>
      </w:r>
    </w:p>
    <w:p w:rsidR="00A335D5" w:rsidRPr="005917B9" w:rsidRDefault="00A335D5" w:rsidP="00A335D5">
      <w:pPr>
        <w:pStyle w:val="BodyText"/>
      </w:pPr>
      <w:r w:rsidRPr="00344BE0">
        <w:rPr>
          <w:b/>
          <w:i/>
        </w:rPr>
        <w:t>Office of the Executive Director</w:t>
      </w:r>
      <w:r>
        <w:t>.  T</w:t>
      </w:r>
      <w:r w:rsidRPr="005917B9">
        <w:t xml:space="preserve">he </w:t>
      </w:r>
      <w:r>
        <w:t xml:space="preserve">CDOT </w:t>
      </w:r>
      <w:r w:rsidRPr="005917B9">
        <w:t xml:space="preserve">Executive Director is established by State statute as the head of CDOT, is appointed by the Governor of the State with the consent of the State Senate, and serves at the pleasure of the Governor. </w:t>
      </w:r>
      <w:r>
        <w:t xml:space="preserve"> </w:t>
      </w:r>
      <w:r w:rsidRPr="005917B9">
        <w:t xml:space="preserve">The </w:t>
      </w:r>
      <w:r>
        <w:t>CDOT</w:t>
      </w:r>
      <w:r w:rsidRPr="005917B9">
        <w:t xml:space="preserve"> Executive Director is responsible for the overall direction for and management of CDOT.</w:t>
      </w:r>
      <w:r>
        <w:t xml:space="preserve"> </w:t>
      </w:r>
      <w:r w:rsidRPr="005917B9">
        <w:t xml:space="preserve"> State statute</w:t>
      </w:r>
      <w:r>
        <w:t>s</w:t>
      </w:r>
      <w:r w:rsidRPr="005917B9">
        <w:t xml:space="preserve"> provide that the </w:t>
      </w:r>
      <w:r>
        <w:t>CDOT</w:t>
      </w:r>
      <w:r w:rsidRPr="005917B9">
        <w:t xml:space="preserve"> Executive Director is to plan, develop, construct, coordinate, and promote an integrated transportation system in cooperation with federal, regional, local, and other State agencies and with private individuals and organizations concerned with transportation planning and operations in the State; to initiate such comprehensive planning measures and authorize such studies and other research as he or she deems necessary for the development of an integrated transportation system; and to exercise general supervisory control over and coordinate the activities, functions, and emplo</w:t>
      </w:r>
      <w:r>
        <w:t>yees of CDOT and its divisions.</w:t>
      </w:r>
    </w:p>
    <w:p w:rsidR="00A335D5" w:rsidRPr="005917B9" w:rsidRDefault="00A335D5" w:rsidP="00A335D5">
      <w:pPr>
        <w:pStyle w:val="BodyText"/>
      </w:pPr>
      <w:r w:rsidRPr="00344BE0">
        <w:rPr>
          <w:b/>
          <w:i/>
        </w:rPr>
        <w:t xml:space="preserve">Division of </w:t>
      </w:r>
      <w:r>
        <w:rPr>
          <w:b/>
          <w:i/>
        </w:rPr>
        <w:t>the Chief Engineer</w:t>
      </w:r>
      <w:r>
        <w:t>.  T</w:t>
      </w:r>
      <w:r w:rsidRPr="005917B9">
        <w:t xml:space="preserve">he Division of </w:t>
      </w:r>
      <w:r>
        <w:t xml:space="preserve">the Chief </w:t>
      </w:r>
      <w:r w:rsidRPr="005917B9">
        <w:t>Engineer</w:t>
      </w:r>
      <w:r>
        <w:t xml:space="preserve"> </w:t>
      </w:r>
      <w:r w:rsidRPr="005917B9">
        <w:t xml:space="preserve">is established under State statute, and includes the Office of the Chief Engineer and Staff Branches. </w:t>
      </w:r>
      <w:r>
        <w:t xml:space="preserve"> </w:t>
      </w:r>
      <w:r w:rsidRPr="005917B9">
        <w:t>The Chief Engineer is required to be a registered, professional engineer with a minimum of ten years</w:t>
      </w:r>
      <w:r>
        <w:t>’</w:t>
      </w:r>
      <w:r w:rsidRPr="005917B9">
        <w:t xml:space="preserve"> responsible engineering experience, including management and organization in the field of highway engineering. </w:t>
      </w:r>
      <w:r>
        <w:t xml:space="preserve"> </w:t>
      </w:r>
      <w:r w:rsidRPr="005917B9">
        <w:t xml:space="preserve">The Chief Engineer is appointed by the </w:t>
      </w:r>
      <w:r w:rsidR="007F7AE5">
        <w:t>CDOT Executive Director</w:t>
      </w:r>
      <w:r w:rsidRPr="005917B9">
        <w:t xml:space="preserve">, and has direct control and management of the functions of the Division. </w:t>
      </w:r>
      <w:r>
        <w:t xml:space="preserve"> </w:t>
      </w:r>
      <w:r w:rsidRPr="005917B9">
        <w:t xml:space="preserve">The Chief Engineer, subject to the supervision of the </w:t>
      </w:r>
      <w:r w:rsidR="007F7AE5">
        <w:t>CDOT Executive Director</w:t>
      </w:r>
      <w:r w:rsidRPr="005917B9">
        <w:t xml:space="preserve">, is responsible for awarding contracts for the construction and maintenance of the State highways and mass transportation projects. </w:t>
      </w:r>
      <w:r>
        <w:t xml:space="preserve"> </w:t>
      </w:r>
      <w:r w:rsidRPr="005917B9">
        <w:t>The Chief Engineer has the authority to take and hold real property in the name of CDOT, to accept federal moneys available for highways and other public transportation purposes, and to represent CDOT in negotiating intergovernmental agreements.</w:t>
      </w:r>
    </w:p>
    <w:p w:rsidR="00A335D5" w:rsidRPr="005917B9" w:rsidRDefault="00A335D5" w:rsidP="00A335D5">
      <w:pPr>
        <w:pStyle w:val="BodyText"/>
      </w:pPr>
      <w:r>
        <w:rPr>
          <w:b/>
          <w:i/>
        </w:rPr>
        <w:t>Division of Accounting and Finance</w:t>
      </w:r>
      <w:r>
        <w:t>.  T</w:t>
      </w:r>
      <w:r w:rsidRPr="005917B9">
        <w:t xml:space="preserve">he Division of Accounting and Finance is responsible for the overall financial management of CDOT. </w:t>
      </w:r>
      <w:r>
        <w:t xml:space="preserve"> </w:t>
      </w:r>
      <w:r w:rsidRPr="005917B9">
        <w:t xml:space="preserve">The </w:t>
      </w:r>
      <w:r>
        <w:t>Division</w:t>
      </w:r>
      <w:r w:rsidRPr="005917B9">
        <w:t xml:space="preserve"> forecasts revenue, develops the Statewide Transportation Improvement Program, develops budgetary procedures and forms, prepares the budget for all CDOT organizations, manages CDOT</w:t>
      </w:r>
      <w:r>
        <w:t>’</w:t>
      </w:r>
      <w:r w:rsidRPr="005917B9">
        <w:t>s T</w:t>
      </w:r>
      <w:r>
        <w:t xml:space="preserve">ransportation Revenue Anticipation Notes </w:t>
      </w:r>
      <w:r w:rsidRPr="005917B9">
        <w:t xml:space="preserve">program, programs federal aid projects, analyzes pending legislation for potential fiscal impacts on CDOT, and prepares fiscal notes for the Legislative Council. </w:t>
      </w:r>
      <w:r>
        <w:t xml:space="preserve"> </w:t>
      </w:r>
      <w:r w:rsidRPr="005917B9">
        <w:t>Information developed by th</w:t>
      </w:r>
      <w:r>
        <w:t>e Division</w:t>
      </w:r>
      <w:r w:rsidRPr="005917B9">
        <w:t xml:space="preserve"> is utilized by management, the Transportation Commission, the Governor</w:t>
      </w:r>
      <w:r>
        <w:t>’</w:t>
      </w:r>
      <w:r w:rsidRPr="005917B9">
        <w:t xml:space="preserve">s Office, the </w:t>
      </w:r>
      <w:r>
        <w:t xml:space="preserve">Colorado </w:t>
      </w:r>
      <w:r w:rsidRPr="005917B9">
        <w:t>Office of State Planning and Budgeting</w:t>
      </w:r>
      <w:r>
        <w:t xml:space="preserve"> (“OSPB”)</w:t>
      </w:r>
      <w:r w:rsidRPr="005917B9">
        <w:t>, the Joint Budget Committee, the Legislative Council, legislative committees, FHWA, the Federal Transit Administration, local governments, and the general public.</w:t>
      </w:r>
    </w:p>
    <w:p w:rsidR="00A335D5" w:rsidRPr="005917B9" w:rsidRDefault="00A335D5" w:rsidP="00A335D5">
      <w:pPr>
        <w:pStyle w:val="BodyText"/>
      </w:pPr>
      <w:r w:rsidRPr="00344BE0">
        <w:rPr>
          <w:b/>
          <w:i/>
        </w:rPr>
        <w:t>Engineering Regions</w:t>
      </w:r>
      <w:r>
        <w:t xml:space="preserve">. </w:t>
      </w:r>
      <w:r w:rsidRPr="005917B9">
        <w:t xml:space="preserve"> CDOT has established </w:t>
      </w:r>
      <w:r>
        <w:t xml:space="preserve">five </w:t>
      </w:r>
      <w:r w:rsidRPr="005917B9">
        <w:t xml:space="preserve">Engineering Regions across the State in order to decentralize many of its construction and maintenance project functions and maximize contact with local governments, industry, and the public. </w:t>
      </w:r>
      <w:r>
        <w:t xml:space="preserve"> </w:t>
      </w:r>
      <w:r w:rsidRPr="005917B9">
        <w:t xml:space="preserve">Each CDOT Engineering Region is a semi-autonomous operating entity covering all aspects of CDOT operations for that Region. </w:t>
      </w:r>
      <w:r>
        <w:t xml:space="preserve"> </w:t>
      </w:r>
      <w:r w:rsidRPr="005917B9">
        <w:t>Thus, each Region covers engineering, maintenance, planning and environmental, traffic, right-of-way and surveying, utilities, and human resource management for its area.</w:t>
      </w:r>
    </w:p>
    <w:p w:rsidR="00A335D5" w:rsidRPr="005917B9" w:rsidRDefault="00A335D5" w:rsidP="00A335D5">
      <w:pPr>
        <w:pStyle w:val="Kutak1L2"/>
      </w:pPr>
      <w:bookmarkStart w:id="62" w:name="_Toc21694934"/>
      <w:r w:rsidRPr="005917B9">
        <w:t>The Transportation Commission</w:t>
      </w:r>
      <w:bookmarkEnd w:id="62"/>
    </w:p>
    <w:p w:rsidR="00A335D5" w:rsidRPr="005917B9" w:rsidRDefault="00A335D5" w:rsidP="00A335D5">
      <w:pPr>
        <w:pStyle w:val="BodyText"/>
        <w:tabs>
          <w:tab w:val="left" w:pos="8280"/>
        </w:tabs>
      </w:pPr>
      <w:r w:rsidRPr="005917B9">
        <w:t xml:space="preserve">The Transportation Commission is established under State statute as a body corporate, and consists of 11 members appointed by the Governor of the State with the consent of the State Senate from each of 11 </w:t>
      </w:r>
      <w:r>
        <w:t xml:space="preserve">CDOT </w:t>
      </w:r>
      <w:r w:rsidRPr="005917B9">
        <w:t>districts</w:t>
      </w:r>
      <w:r>
        <w:t xml:space="preserve"> as created pursuant to State statute</w:t>
      </w:r>
      <w:r w:rsidRPr="005917B9">
        <w:t xml:space="preserve">. </w:t>
      </w:r>
      <w:r>
        <w:t xml:space="preserve"> Each member serves a four-year term, and, to provide continuity, the terms of the members are staggered every two years.  </w:t>
      </w:r>
      <w:r w:rsidRPr="005917B9">
        <w:t>Under State statute, the Transportation Commission has the following powers and duties, among others: (i) to formulate the State</w:t>
      </w:r>
      <w:r>
        <w:t>’</w:t>
      </w:r>
      <w:r w:rsidRPr="005917B9">
        <w:t>s general policy with respect to the management, construction, and maintenance of the public highways and other transportation systems in the State, (ii)</w:t>
      </w:r>
      <w:r>
        <w:t> </w:t>
      </w:r>
      <w:r w:rsidRPr="005917B9">
        <w:t>to assure that the preservation and enhancement of Colorado</w:t>
      </w:r>
      <w:r>
        <w:t>’</w:t>
      </w:r>
      <w:r w:rsidRPr="005917B9">
        <w:t xml:space="preserve">s environment, safety, mobility, and economics be considered in the planning, selection, construction, and operation of all transportation projects in the State, (iii) to make such studies as it deems necessary to guide the </w:t>
      </w:r>
      <w:r w:rsidR="007F7AE5">
        <w:t>CDOT Executive Director</w:t>
      </w:r>
      <w:r w:rsidRPr="005917B9">
        <w:t xml:space="preserve"> and the Chief Engineer concerning the transportation needs of the State, (iv)</w:t>
      </w:r>
      <w:r w:rsidR="007F7AE5">
        <w:t> </w:t>
      </w:r>
      <w:r w:rsidRPr="005917B9">
        <w:t xml:space="preserve">to prescribe the administrative practices to be followed by the </w:t>
      </w:r>
      <w:r w:rsidR="007F7AE5">
        <w:t>CDOT Executive Director</w:t>
      </w:r>
      <w:r w:rsidRPr="005917B9">
        <w:t xml:space="preserve"> and the Chief Engineer in the performance of any duty imposed on them by law, (v) to advise and make recommendations to the Governor and the </w:t>
      </w:r>
      <w:r>
        <w:t>General Assembly</w:t>
      </w:r>
      <w:r w:rsidRPr="005917B9">
        <w:t xml:space="preserve"> relative to the transportation policy of the State and, to achieve these ends, to formulate and recommend for approval to the Governor and the General Assembly a Statewide transportation policy, and (vi) to promulgate and adopt all CDOT budgets (other than for the Division of Aeronautics) and State transportation programs, including construction priorities and the approval of extensions or abandonments of the State highway system and including a capital construction request, based on the Statewide transportation improvement programs, for State highway reconstruction, repair, and maintenance projects to be funded from the State capital construction fund.</w:t>
      </w:r>
    </w:p>
    <w:p w:rsidR="00A335D5" w:rsidRPr="005917B9" w:rsidRDefault="00A335D5" w:rsidP="00A335D5">
      <w:pPr>
        <w:pStyle w:val="Kutak1L2"/>
      </w:pPr>
      <w:bookmarkStart w:id="63" w:name="_Toc21694935"/>
      <w:r w:rsidRPr="005917B9">
        <w:t>Current Operations</w:t>
      </w:r>
      <w:bookmarkEnd w:id="63"/>
    </w:p>
    <w:p w:rsidR="00A335D5" w:rsidRDefault="00A335D5" w:rsidP="00A335D5">
      <w:pPr>
        <w:pStyle w:val="BodyText"/>
      </w:pPr>
      <w:r w:rsidRPr="005917B9">
        <w:t>The State highway system covers 9,1</w:t>
      </w:r>
      <w:r>
        <w:t>46</w:t>
      </w:r>
      <w:r w:rsidRPr="005917B9">
        <w:t xml:space="preserve"> miles and each year handles over 2</w:t>
      </w:r>
      <w:r>
        <w:t>7</w:t>
      </w:r>
      <w:r w:rsidRPr="005917B9">
        <w:t xml:space="preserve"> billion vehicle miles of travel. </w:t>
      </w:r>
      <w:r>
        <w:t xml:space="preserve"> </w:t>
      </w:r>
      <w:r w:rsidRPr="005917B9">
        <w:t xml:space="preserve">CDOT oversees surface treatment, construction, maintenance, and operations with respect to the State highway system, as well as operating certain miscellaneous and local programs. </w:t>
      </w:r>
      <w:r>
        <w:t xml:space="preserve"> </w:t>
      </w:r>
      <w:r w:rsidRPr="005917B9">
        <w:t>Nearly two-thirds of CDOT</w:t>
      </w:r>
      <w:r>
        <w:t>’</w:t>
      </w:r>
      <w:r w:rsidRPr="005917B9">
        <w:t>s staff is dedicated to highway maintenance, and CDOT</w:t>
      </w:r>
      <w:r>
        <w:t>’</w:t>
      </w:r>
      <w:r w:rsidRPr="005917B9">
        <w:t>s maintenance program budget for Fiscal Year 20</w:t>
      </w:r>
      <w:r w:rsidR="0023125F">
        <w:t xml:space="preserve">20 </w:t>
      </w:r>
      <w:r w:rsidRPr="005917B9">
        <w:t>total</w:t>
      </w:r>
      <w:r>
        <w:t>s</w:t>
      </w:r>
      <w:r w:rsidRPr="005917B9">
        <w:t xml:space="preserve"> $</w:t>
      </w:r>
      <w:r w:rsidR="00862A10">
        <w:t>323.4</w:t>
      </w:r>
      <w:r w:rsidRPr="005917B9">
        <w:t xml:space="preserve"> million. </w:t>
      </w:r>
      <w:r>
        <w:t xml:space="preserve"> </w:t>
      </w:r>
      <w:r w:rsidRPr="005917B9">
        <w:t>CDOT</w:t>
      </w:r>
      <w:r>
        <w:t>’</w:t>
      </w:r>
      <w:r w:rsidRPr="005917B9">
        <w:t>s operations program covers CDOT</w:t>
      </w:r>
      <w:r>
        <w:t>’</w:t>
      </w:r>
      <w:r w:rsidRPr="005917B9">
        <w:t xml:space="preserve">s administration, as well as engineering costs not attributable to construction projects. </w:t>
      </w:r>
      <w:r>
        <w:t xml:space="preserve"> </w:t>
      </w:r>
      <w:r w:rsidRPr="005917B9">
        <w:t>Miscellaneous programs include the activities of CDOT</w:t>
      </w:r>
      <w:r>
        <w:t>’</w:t>
      </w:r>
      <w:r w:rsidRPr="005917B9">
        <w:t xml:space="preserve">s Aeronautics Division as well as safety education programs. </w:t>
      </w:r>
      <w:r>
        <w:t xml:space="preserve"> </w:t>
      </w:r>
      <w:r w:rsidRPr="005917B9">
        <w:t>CDOT</w:t>
      </w:r>
      <w:r>
        <w:t>’</w:t>
      </w:r>
      <w:r w:rsidRPr="005917B9">
        <w:t xml:space="preserve">s </w:t>
      </w:r>
      <w:r>
        <w:t>I</w:t>
      </w:r>
      <w:r w:rsidRPr="005917B9">
        <w:t xml:space="preserve">ntelligent </w:t>
      </w:r>
      <w:r>
        <w:t>T</w:t>
      </w:r>
      <w:r w:rsidRPr="005917B9">
        <w:t xml:space="preserve">ransportation </w:t>
      </w:r>
      <w:r>
        <w:t>S</w:t>
      </w:r>
      <w:r w:rsidRPr="005917B9">
        <w:t xml:space="preserve">ystems </w:t>
      </w:r>
      <w:r>
        <w:t>P</w:t>
      </w:r>
      <w:r w:rsidRPr="005917B9">
        <w:t xml:space="preserve">rogram is designed to provide drivers real-time information from the CDOT Traffic Operations Center on road and weather conditions, closures, detours, and delays. CDOT also oversees certain transit-related and local programs. </w:t>
      </w:r>
      <w:r>
        <w:t xml:space="preserve"> </w:t>
      </w:r>
      <w:r w:rsidRPr="005917B9">
        <w:t>For Fiscal Year 20</w:t>
      </w:r>
      <w:r w:rsidR="0023125F">
        <w:t>19</w:t>
      </w:r>
      <w:r w:rsidRPr="005917B9">
        <w:t>, CDOT</w:t>
      </w:r>
      <w:r>
        <w:t>’</w:t>
      </w:r>
      <w:r w:rsidRPr="005917B9">
        <w:t>s total budget covering all its programs was $</w:t>
      </w:r>
      <w:r w:rsidR="00862A10">
        <w:t>2.1</w:t>
      </w:r>
      <w:r>
        <w:t xml:space="preserve"> b</w:t>
      </w:r>
      <w:r w:rsidRPr="005917B9">
        <w:t>illion</w:t>
      </w:r>
      <w:r>
        <w:t xml:space="preserve">.  </w:t>
      </w:r>
      <w:r w:rsidRPr="005917B9">
        <w:t>For Fiscal Year 20</w:t>
      </w:r>
      <w:r w:rsidR="0023125F">
        <w:t>20</w:t>
      </w:r>
      <w:r w:rsidRPr="005917B9">
        <w:t>, CDOT</w:t>
      </w:r>
      <w:r>
        <w:t>’</w:t>
      </w:r>
      <w:r w:rsidRPr="005917B9">
        <w:t>s total budget covering all its programs is $</w:t>
      </w:r>
      <w:r w:rsidR="00862A10">
        <w:t>2.0</w:t>
      </w:r>
      <w:r>
        <w:t xml:space="preserve"> b</w:t>
      </w:r>
      <w:r w:rsidRPr="005917B9">
        <w:t>illion.</w:t>
      </w:r>
    </w:p>
    <w:p w:rsidR="00A94FD8" w:rsidRDefault="001B2DD2" w:rsidP="00A94FD8">
      <w:pPr>
        <w:pStyle w:val="Kutak1L1"/>
      </w:pPr>
      <w:bookmarkStart w:id="64" w:name="_Toc21694936"/>
      <w:r>
        <w:t>CERTAIN INVESTMENT CONSIDERATIONS</w:t>
      </w:r>
      <w:bookmarkEnd w:id="64"/>
    </w:p>
    <w:p w:rsidR="00856679" w:rsidRPr="00FE6B30" w:rsidRDefault="00856679" w:rsidP="00856679">
      <w:pPr>
        <w:pStyle w:val="BodyText"/>
        <w:keepNext/>
        <w:keepLines/>
        <w:widowControl w:val="0"/>
        <w:rPr>
          <w:i/>
        </w:rPr>
      </w:pPr>
      <w:r w:rsidRPr="00FE6B30">
        <w:rPr>
          <w:i/>
        </w:rPr>
        <w:t xml:space="preserve">Prospective purchasers of the </w:t>
      </w:r>
      <w:r>
        <w:rPr>
          <w:i/>
        </w:rPr>
        <w:t>Series 2019A Senior Bond</w:t>
      </w:r>
      <w:r w:rsidRPr="00FE6B30">
        <w:rPr>
          <w:i/>
        </w:rPr>
        <w:t xml:space="preserve">s are urged to read this Official Statement, including all Appendices, in its entirety.  The following information should be considered by prospective investors, in addition to the other matters set forth in this Official Statement in evaluating the </w:t>
      </w:r>
      <w:r>
        <w:rPr>
          <w:i/>
        </w:rPr>
        <w:t>Series 2019A Senior Bond</w:t>
      </w:r>
      <w:r w:rsidRPr="00FE6B30">
        <w:rPr>
          <w:i/>
        </w:rPr>
        <w:t xml:space="preserve">s.  However, it does not purport to be a comprehensive or exhaustive discussion of risks or other considerations which may be relevant to an investment in the </w:t>
      </w:r>
      <w:r>
        <w:rPr>
          <w:i/>
        </w:rPr>
        <w:t>Series 2019A Senior Bond</w:t>
      </w:r>
      <w:r w:rsidRPr="00FE6B30">
        <w:rPr>
          <w:i/>
        </w:rPr>
        <w:t>s.  In addition, the order in which the following information is presented is not intended to reflect the relative importance of any such considerations.  There can be no assurance that other risk factors not discussed herein will not become material in the future.</w:t>
      </w:r>
    </w:p>
    <w:p w:rsidR="00A94FD8" w:rsidRDefault="00A94FD8" w:rsidP="00A94FD8">
      <w:pPr>
        <w:pStyle w:val="Kutak1L2"/>
      </w:pPr>
      <w:bookmarkStart w:id="65" w:name="_Toc21694937"/>
      <w:r>
        <w:t>Special, Limited Obligations</w:t>
      </w:r>
      <w:bookmarkEnd w:id="65"/>
    </w:p>
    <w:p w:rsidR="00A94FD8" w:rsidRDefault="00A94FD8" w:rsidP="00A94FD8">
      <w:pPr>
        <w:pStyle w:val="BodyText"/>
      </w:pPr>
      <w:r>
        <w:t xml:space="preserve">The </w:t>
      </w:r>
      <w:r w:rsidR="006C3474">
        <w:t>Series 2019A Senior Bond</w:t>
      </w:r>
      <w:r>
        <w:t xml:space="preserve">s are special, limited obligations of the Bridge Enterprise, payable solely from the Trust Estate, consisting primarily of amounts collected from the Bridge Surcharge.  The owners of the </w:t>
      </w:r>
      <w:r w:rsidR="006C3474">
        <w:t>Series 2019A Senior Bond</w:t>
      </w:r>
      <w:r>
        <w:t xml:space="preserve">s may not look to any general or other funds of the Bridge Enterprise or to any revenues or funds of CDOT or the State for payment of principal of or interest on the </w:t>
      </w:r>
      <w:r w:rsidR="006C3474">
        <w:t>Series 2019A Senior Bond</w:t>
      </w:r>
      <w:r>
        <w:t xml:space="preserve">s, and the </w:t>
      </w:r>
      <w:r w:rsidR="006C3474">
        <w:t>Series 2019A Senior Bond</w:t>
      </w:r>
      <w:r>
        <w:t xml:space="preserve">s will not be deemed or construed as creating an indebtedness of CDOT or the State within the meaning of the State Constitution or laws of the State concerning or limiting the creation of indebtedness of the State.  The Bridge Enterprise has no taxing powers.  No debt service reserve fund for the </w:t>
      </w:r>
      <w:r w:rsidR="006C3474">
        <w:t>Series 2019A Senior Bond</w:t>
      </w:r>
      <w:r>
        <w:t xml:space="preserve">s is established under the Indenture.  See “SECURITY AND SOURCES OF PAYMENT FOR THE </w:t>
      </w:r>
      <w:r w:rsidR="006C3474">
        <w:t>SERIES 2019A SENIOR BOND</w:t>
      </w:r>
      <w:r>
        <w:t xml:space="preserve">S” and “APPENDIX </w:t>
      </w:r>
      <w:r w:rsidR="004874B5">
        <w:t>D</w:t>
      </w:r>
      <w:r>
        <w:t>—</w:t>
      </w:r>
      <w:r w:rsidR="000B3B31">
        <w:t xml:space="preserve">SUMMARY OF CERTAIN PROVISIONS OF THE </w:t>
      </w:r>
      <w:r w:rsidR="004874B5">
        <w:t>INDENTURE</w:t>
      </w:r>
      <w:r w:rsidR="008F7862">
        <w:t>—</w:t>
      </w:r>
      <w:r>
        <w:t>SECURITY FOR BONDS—Special, Limited Obligations.”</w:t>
      </w:r>
    </w:p>
    <w:p w:rsidR="00A94FD8" w:rsidRDefault="00A94FD8" w:rsidP="00A94FD8">
      <w:pPr>
        <w:pStyle w:val="Kutak1L2"/>
      </w:pPr>
      <w:bookmarkStart w:id="66" w:name="_Toc21694938"/>
      <w:r>
        <w:t>Limitation on Bridge Surcharges</w:t>
      </w:r>
      <w:bookmarkEnd w:id="66"/>
    </w:p>
    <w:p w:rsidR="00A94FD8" w:rsidRDefault="00A94FD8" w:rsidP="00A94FD8">
      <w:pPr>
        <w:pStyle w:val="BodyText"/>
      </w:pPr>
      <w:r>
        <w:t xml:space="preserve">FASTER authorizes the Bridge Enterprise Board to impose the Bridge Surcharges as necessary for the achievement of its business purposes.  However, the annual rates of such Bridge Surcharges applicable to the various vehicle categories may not exceed the limits set forth in FASTER, as described herein under the caption “SECURITY AND SOURCES OF PAYMENT FOR THE </w:t>
      </w:r>
      <w:r w:rsidR="006C3474">
        <w:t>SERIES 2019A SENIOR BOND</w:t>
      </w:r>
      <w:r>
        <w:t>S—Bridge Surcharges.”  As a result, unless FASTER is amended to increase the limits on the annual rates, the Revenues derived from the Bridge Surcharge will increase only to the extent that the number of vehicles registered in the various rate categories increase.  The Bridge Enterprise Board will have no control over such matters.</w:t>
      </w:r>
    </w:p>
    <w:p w:rsidR="00A94FD8" w:rsidRDefault="00A94FD8" w:rsidP="00A94FD8">
      <w:pPr>
        <w:pStyle w:val="Kutak1L2"/>
      </w:pPr>
      <w:bookmarkStart w:id="67" w:name="_Toc21694939"/>
      <w:r>
        <w:t xml:space="preserve">Economic </w:t>
      </w:r>
      <w:r w:rsidR="0072359A">
        <w:t>Conditions Affecting Revenues</w:t>
      </w:r>
      <w:bookmarkEnd w:id="67"/>
    </w:p>
    <w:p w:rsidR="00A94FD8" w:rsidRDefault="0072359A" w:rsidP="00A94FD8">
      <w:pPr>
        <w:pStyle w:val="BodyText"/>
      </w:pPr>
      <w:r>
        <w:t xml:space="preserve">The amount of Bridge Surcharges collected each year is directly dependent on the ownership and use of vehicles, which in turn is affected by </w:t>
      </w:r>
      <w:r w:rsidRPr="00EB693C">
        <w:t xml:space="preserve">State and national economies, population growth, income and employment levels, levels of tourism, weather conditions, fuel prices, </w:t>
      </w:r>
      <w:r>
        <w:t xml:space="preserve">vehicle fuel efficiency, fuel supplies, </w:t>
      </w:r>
      <w:r w:rsidRPr="00EB693C">
        <w:t>road conditions, and the availability of alternate modes of transportation</w:t>
      </w:r>
      <w:r>
        <w:t xml:space="preserve">, among other factors.  </w:t>
      </w:r>
      <w:r w:rsidR="00A94FD8">
        <w:t xml:space="preserve">A reduction in the ownership and use of such vehicles may adversely affect the Revenues from the Bridge Surcharges and the ability of the Bridge Enterprise to pay the principal of and interest on the </w:t>
      </w:r>
      <w:r w:rsidR="006C3474">
        <w:t>Series 2019A Senior Bond</w:t>
      </w:r>
      <w:r w:rsidR="00A94FD8">
        <w:t xml:space="preserve">s.  </w:t>
      </w:r>
    </w:p>
    <w:p w:rsidR="00CE097F" w:rsidRPr="00EB693C" w:rsidRDefault="00CE097F" w:rsidP="00CE097F">
      <w:pPr>
        <w:pStyle w:val="BodyText"/>
      </w:pPr>
      <w:r w:rsidRPr="00EB693C">
        <w:t xml:space="preserve">This Official Statement contains economic and demographic information about the State prepared and compiled in </w:t>
      </w:r>
      <w:r>
        <w:t>May</w:t>
      </w:r>
      <w:r w:rsidRPr="00EB693C">
        <w:t xml:space="preserve"> 201</w:t>
      </w:r>
      <w:r>
        <w:t>9</w:t>
      </w:r>
      <w:r w:rsidRPr="00EB693C">
        <w:t xml:space="preserve"> by Development Research Partners, Inc. for use by the State.  See </w:t>
      </w:r>
      <w:r>
        <w:t>“</w:t>
      </w:r>
      <w:r w:rsidRPr="00EB693C">
        <w:t xml:space="preserve">APPENDIX </w:t>
      </w:r>
      <w:r>
        <w:t>C</w:t>
      </w:r>
      <w:r w:rsidRPr="00EB693C">
        <w:t>—CERTAIN STATE ECONOMIC AND DEMOGRAPHIC INFORMATION.</w:t>
      </w:r>
      <w:r>
        <w:t>”</w:t>
      </w:r>
      <w:r w:rsidRPr="00EB693C">
        <w:t xml:space="preserve">  Development Research Partners, Inc. has consented to the inclusion of such information in this Official Statement. </w:t>
      </w:r>
      <w:r>
        <w:t xml:space="preserve"> </w:t>
      </w:r>
      <w:r w:rsidRPr="00EB693C">
        <w:t xml:space="preserve">None of </w:t>
      </w:r>
      <w:r>
        <w:t xml:space="preserve">the Bridge Enterprise, </w:t>
      </w:r>
      <w:r w:rsidRPr="00EB693C">
        <w:t xml:space="preserve">CDOT, the State or the Underwriter assume any responsibility for the accuracy, completeness or fairness of the information contained in Appendix </w:t>
      </w:r>
      <w:r w:rsidR="0033516A">
        <w:t>C</w:t>
      </w:r>
      <w:r w:rsidRPr="00EB693C">
        <w:t xml:space="preserve">.  The information in Appendix </w:t>
      </w:r>
      <w:r w:rsidR="0033516A">
        <w:t>C</w:t>
      </w:r>
      <w:r w:rsidRPr="00EB693C">
        <w:t xml:space="preserve"> has been included in this Official Statement in reliance upon the authority of Development Research Partners, Inc. as experts in the preparation of economic and demographic analyses.  Potential investors should read Appendix </w:t>
      </w:r>
      <w:r w:rsidR="006F2318">
        <w:t>C</w:t>
      </w:r>
      <w:r w:rsidRPr="00EB693C">
        <w:t xml:space="preserve"> in its entirety for information with respect to the economic and demographic status of the State.</w:t>
      </w:r>
    </w:p>
    <w:p w:rsidR="00A94FD8" w:rsidRDefault="00A94FD8" w:rsidP="00A94FD8">
      <w:pPr>
        <w:pStyle w:val="Kutak1L2"/>
      </w:pPr>
      <w:bookmarkStart w:id="68" w:name="_Toc21694940"/>
      <w:r>
        <w:t>Annual State Law Changes</w:t>
      </w:r>
      <w:bookmarkEnd w:id="68"/>
    </w:p>
    <w:p w:rsidR="00A94FD8" w:rsidRDefault="00A94FD8" w:rsidP="00A94FD8">
      <w:pPr>
        <w:pStyle w:val="BodyText"/>
      </w:pPr>
      <w:r>
        <w:t>In each session of the General Assembly, bills may be introduced that have a potential impact on the Bridge Enterprise or the imposition of fees or other charges on the use or ownership of vehicles to which the Bridge Surcharge applies.  In addition, State law allows voter initiatives meeting certain conditions to be placed on the ballot, which initiatives may involve statutory measures or constitutional amendments.  Voter initiatives could potentially directly or indirectly affect the Bridge Enterprise or the imposition or collection of the Bridge Surcharge.  Although the Bridge Enterprise and CDOT actively monitor such bills and proposals and interact with members of the General Assembly and staff members during the legislative sessions, there can be no assurance that there will not be future legislative changes or voter initiatives that may have a material effect on the Bridge Enterprise.</w:t>
      </w:r>
    </w:p>
    <w:p w:rsidR="001078DF" w:rsidRDefault="001078DF" w:rsidP="001078DF">
      <w:pPr>
        <w:pStyle w:val="Kutak1L2"/>
      </w:pPr>
      <w:bookmarkStart w:id="69" w:name="_Toc21694941"/>
      <w:r>
        <w:t>Risks Related to the Federal Subsidy Payment on Bonds Issued as Build America Bonds</w:t>
      </w:r>
      <w:bookmarkEnd w:id="69"/>
    </w:p>
    <w:p w:rsidR="001078DF" w:rsidRDefault="001078DF" w:rsidP="001078DF">
      <w:pPr>
        <w:pStyle w:val="BodyText"/>
      </w:pPr>
      <w:r>
        <w:t>The Bridge Enterprise has designated the Series 2010A Senior Bonds as “Build America Bonds” for purposes of the Internal Revenue Code of 1986, as amended, and originally expected to receive a cash subsidy payment from the United States Treasury equal to 35% of the interest payable on such bonds.  Such subsidy historically totaled approximately $</w:t>
      </w:r>
      <w:r w:rsidR="00862A10">
        <w:t>5.6</w:t>
      </w:r>
      <w:r>
        <w:t xml:space="preserve"> million annually.  To date, the Bridge Enterprise has timely filed for and received the subsidy.  However, recent subsidy payments have been reduced and future subsidy payments will likely be lower than originally expected as a result of the congressionally mandated sequestration process of the 2011 Budget Control Act.  Upon the issuance of the Series 2019A Senior Bonds, the Bridge Enterprise will no longer be allowed to receive a subsidy on the Refunded Bonds, but the Series 2010A Senior Bonds not refunded will continue to be eligible to receive the subsidy.  The Bridge Enterprise presently expects an annual average reduction in subsidy payments of approximately $</w:t>
      </w:r>
      <w:r w:rsidR="00862A10">
        <w:t>546,648</w:t>
      </w:r>
      <w:r>
        <w:t xml:space="preserve"> through 2024 based upon the current sequestration process.</w:t>
      </w:r>
    </w:p>
    <w:p w:rsidR="00A94FD8" w:rsidRDefault="00A94FD8" w:rsidP="00A94FD8">
      <w:pPr>
        <w:pStyle w:val="Kutak1L2"/>
      </w:pPr>
      <w:bookmarkStart w:id="70" w:name="_Toc21694942"/>
      <w:r>
        <w:t>Availability of Federal Funds</w:t>
      </w:r>
      <w:bookmarkEnd w:id="70"/>
    </w:p>
    <w:p w:rsidR="00A94FD8" w:rsidRDefault="00A76B2E" w:rsidP="00A94FD8">
      <w:pPr>
        <w:pStyle w:val="BodyText"/>
      </w:pPr>
      <w:r>
        <w:t xml:space="preserve">In November 2010, </w:t>
      </w:r>
      <w:r w:rsidR="00A94FD8">
        <w:t>the Transportation Commission adopted a resolution expressing its intent annually to consider allocating and transferring from CDOT to the Bridge Enterprise $15 million of eligible federal funds</w:t>
      </w:r>
      <w:r>
        <w:t>.  However, i</w:t>
      </w:r>
      <w:r w:rsidRPr="001B61D5">
        <w:t xml:space="preserve">n November 2016, CDOT and </w:t>
      </w:r>
      <w:r>
        <w:t>the Bridge Enterprise e</w:t>
      </w:r>
      <w:r w:rsidRPr="001B61D5">
        <w:t xml:space="preserve">ntered into a memorandum of understanding pursuant to which CDOT and </w:t>
      </w:r>
      <w:r>
        <w:t>the Bridge Enterprise</w:t>
      </w:r>
      <w:r w:rsidRPr="001B61D5">
        <w:t xml:space="preserve"> agreed that CDOT would </w:t>
      </w:r>
      <w:r w:rsidR="0011179E">
        <w:t xml:space="preserve">suspend making the annual </w:t>
      </w:r>
      <w:r w:rsidRPr="001B61D5">
        <w:t xml:space="preserve">transfer of federal funds to </w:t>
      </w:r>
      <w:r>
        <w:t xml:space="preserve">the Bridge Enterprise </w:t>
      </w:r>
      <w:r w:rsidRPr="001B61D5">
        <w:t xml:space="preserve">in </w:t>
      </w:r>
      <w:r>
        <w:t>F</w:t>
      </w:r>
      <w:r w:rsidRPr="001B61D5">
        <w:t xml:space="preserve">iscal </w:t>
      </w:r>
      <w:r>
        <w:t>Y</w:t>
      </w:r>
      <w:r w:rsidRPr="001B61D5">
        <w:t>ears 2018, 2019 and 2020</w:t>
      </w:r>
      <w:r w:rsidR="0011179E">
        <w:t>.  Beginning again in Fiscal Year 20221, the Bridge Enterprise expects to request a transfer of federal funds from CDOT, but</w:t>
      </w:r>
      <w:r>
        <w:t xml:space="preserve"> </w:t>
      </w:r>
      <w:r w:rsidR="00A94FD8">
        <w:t xml:space="preserve">the Transportation Commission is not obligated to make </w:t>
      </w:r>
      <w:r>
        <w:t xml:space="preserve">any </w:t>
      </w:r>
      <w:r w:rsidR="00A94FD8">
        <w:t>transfers</w:t>
      </w:r>
      <w:r>
        <w:t xml:space="preserve"> of eligible federal funds to the Bridge Enterprise</w:t>
      </w:r>
      <w:r w:rsidR="00A94FD8">
        <w:t xml:space="preserve">.  The decision whether or not to allocate and transfer federal funds will be made on an annual basis and will be in the sole discretion of the Transportation Commission.  Such decision may be affected by the amounts of such federal funds that are available to CDOT in the future, which, in turn, may be adversely impacted by federal budgeting and appropriation constraints or changes in federal law.  Furthermore, the funding and programmatic priorities of CDOT and the Transportation Commission may change in the future, which could adversely affect any transfers to the Bridge Enterprise.  There is no assurance that such federal funds will be available in future years to </w:t>
      </w:r>
      <w:r w:rsidR="0011179E">
        <w:t xml:space="preserve">pay </w:t>
      </w:r>
      <w:r w:rsidR="00A94FD8">
        <w:t xml:space="preserve">debt service on the </w:t>
      </w:r>
      <w:r w:rsidR="0011179E">
        <w:t xml:space="preserve">Senior Bonds, including the </w:t>
      </w:r>
      <w:r w:rsidR="006C3474">
        <w:t>Series 2019A Senior Bond</w:t>
      </w:r>
      <w:r w:rsidR="00A94FD8">
        <w:t>s.</w:t>
      </w:r>
    </w:p>
    <w:p w:rsidR="00A94FD8" w:rsidRDefault="00A94FD8" w:rsidP="00A94FD8">
      <w:pPr>
        <w:pStyle w:val="Kutak1L2"/>
      </w:pPr>
      <w:bookmarkStart w:id="71" w:name="_Toc21694943"/>
      <w:r>
        <w:t>Default and Remedies</w:t>
      </w:r>
      <w:bookmarkEnd w:id="71"/>
    </w:p>
    <w:p w:rsidR="00A94FD8" w:rsidRDefault="00A94FD8" w:rsidP="00A94FD8">
      <w:pPr>
        <w:pStyle w:val="BodyText"/>
      </w:pPr>
      <w:r>
        <w:t>The Indenture provides that Events of Default include a default in the timely payment of amounts due on any Outstanding Bond; a failure by the Bridge Enterprise to cure any noncompliance with any provision of the Indenture within 60 days after receiving written notice of such noncompliance from the Trustee or the Owners of at least 25% of the Bond Ownership Rights with respect to the Senior Bonds; and certain events with respect to or constituting the bankruptcy, insolvency or failure or inability to pay the debts when due of the Bridge Enterprise.  A Bond payment default only would give rise to an Event of Default with respect to the Bonds of the Tier affected and would not constitute an Event of Default with respect to any Bond of any other Tier.</w:t>
      </w:r>
    </w:p>
    <w:p w:rsidR="00A94FD8" w:rsidRDefault="00A94FD8" w:rsidP="00A94FD8">
      <w:pPr>
        <w:pStyle w:val="BodyText"/>
      </w:pPr>
      <w:r>
        <w:t xml:space="preserve">The Indenture does not provide for acceleration of the </w:t>
      </w:r>
      <w:r w:rsidR="006C3474">
        <w:t>Series 2019A Senior Bond</w:t>
      </w:r>
      <w:r>
        <w:t xml:space="preserve">s if an Event of Default occurs.  The rights of the holders of the </w:t>
      </w:r>
      <w:r w:rsidR="006C3474">
        <w:t>Series 2019A Senior Bond</w:t>
      </w:r>
      <w:r>
        <w:t xml:space="preserve">s and the enforceability of the </w:t>
      </w:r>
      <w:r w:rsidR="006C3474">
        <w:t>Series 2019A Senior Bond</w:t>
      </w:r>
      <w:r>
        <w:t>s may be subject to bankruptcy, insolvency, reorganization, moratorium, and other similar laws affecting creditors’ rights generally, by equitable principles, whether considered at law or in equity, by the exercise by the State and its political subdivisions of the police power inherent in the sovereignty of the State, and by the exercise by the United States of the powers delegated to it by the United States Constitution.</w:t>
      </w:r>
    </w:p>
    <w:p w:rsidR="00312B6E" w:rsidRDefault="00312B6E" w:rsidP="00312B6E">
      <w:pPr>
        <w:pStyle w:val="Kutak1L2"/>
        <w:numPr>
          <w:ilvl w:val="1"/>
          <w:numId w:val="23"/>
        </w:numPr>
      </w:pPr>
      <w:bookmarkStart w:id="72" w:name="_Toc21694944"/>
      <w:r>
        <w:t>Potential Limitation of Tax Exemption of Interest on Series 2019A Senior Bonds</w:t>
      </w:r>
      <w:bookmarkEnd w:id="72"/>
    </w:p>
    <w:p w:rsidR="00312B6E" w:rsidRDefault="00312B6E" w:rsidP="00312B6E">
      <w:pPr>
        <w:pStyle w:val="BodyText"/>
      </w:pPr>
      <w:r>
        <w:t xml:space="preserve">From time to time, the President of the United States, the United States Congress and/or state legislatures have proposed and could propose in the future, legislation that, if enacted, could cause interest on the Series 2019A Senior Bonds to be subject, directly or indirectly, to federal income taxation or to be subject to or exempted from state income taxation, or otherwise prevent Beneficial Owners from realizing the full current benefit of the tax status of such interest.  Clarifications of the Internal Revenue Code of 1986, as amended, or court decisions may also cause interest on the Series 2019A Senior Bonds to be subject, directly or indirectly, to federal income taxation or to be subject to or exempted from state income taxation.  The introduction or enactment of any such legislative proposals or any clarification of the Internal Revenue Code of 1986, as amended, or court decisions may also affect the market price for, or marketability of, the Series 2019A Senior Bonds.  Prospective purchasers of the Series 2019A Senior Bonds should consult their own tax advisors regarding any such pending or proposed federal or state tax legislation, regulations or litigation, as to which Bond Counsel expresses no opinion.  See “TAX MATTERS—Changes in Federal and State Tax Law.” </w:t>
      </w:r>
    </w:p>
    <w:p w:rsidR="00EF2D0F" w:rsidRDefault="00EF2D0F" w:rsidP="00054A41">
      <w:pPr>
        <w:pStyle w:val="Kutak1L1"/>
      </w:pPr>
      <w:bookmarkStart w:id="73" w:name="_Toc21694945"/>
      <w:r>
        <w:t>LEGAL MATTERS</w:t>
      </w:r>
      <w:bookmarkEnd w:id="73"/>
    </w:p>
    <w:p w:rsidR="00EF2D0F" w:rsidRDefault="00EF2D0F" w:rsidP="00EF2D0F">
      <w:pPr>
        <w:pStyle w:val="Kutak1L2"/>
      </w:pPr>
      <w:bookmarkStart w:id="74" w:name="_Toc21694946"/>
      <w:r>
        <w:t>Certain Constitutional Limitations</w:t>
      </w:r>
      <w:bookmarkEnd w:id="74"/>
    </w:p>
    <w:p w:rsidR="00EF2D0F" w:rsidRDefault="00EF2D0F" w:rsidP="00EF2D0F">
      <w:pPr>
        <w:pStyle w:val="BodyText"/>
      </w:pPr>
      <w:r>
        <w:t xml:space="preserve">At the general election on November 3, 1992, the voters of Colorado approved a constitutional amendment which is codified as Article X, Section 20, of the Colorado Constitution (the Taxpayers Bill of Rights or “TABOR”).  In general, TABOR restricts the ability of the State and local governments to increase revenues and spending, to impose taxes, and to issue debt and certain other types of obligations without voter approval.  TABOR generally applies to the State and all local governments, but does not apply to “enterprises,” defined as government-owned businesses authorized to issue revenue bonds and receiving under 10% of annual revenue in grants from all state and local governments combined.  The State legislature has declared in FASTER that the </w:t>
      </w:r>
      <w:r w:rsidR="00CC664C">
        <w:t xml:space="preserve">Bridge Enterprise </w:t>
      </w:r>
      <w:r>
        <w:t>constitute</w:t>
      </w:r>
      <w:r w:rsidR="00CC664C">
        <w:t>s</w:t>
      </w:r>
      <w:r>
        <w:t xml:space="preserve"> an enterprise under TABOR so long as </w:t>
      </w:r>
      <w:r w:rsidR="00CC664C">
        <w:t xml:space="preserve">it </w:t>
      </w:r>
      <w:r>
        <w:t>retain</w:t>
      </w:r>
      <w:r w:rsidR="00CC664C">
        <w:t>s</w:t>
      </w:r>
      <w:r>
        <w:t xml:space="preserve"> the authority to issue revenue bonds and receives less than 10% of their total revenues in grants from all Colorado state and local governments combined.</w:t>
      </w:r>
    </w:p>
    <w:p w:rsidR="00EF2D0F" w:rsidRDefault="00EF2D0F" w:rsidP="00EF2D0F">
      <w:pPr>
        <w:pStyle w:val="BodyText"/>
      </w:pPr>
      <w:r>
        <w:t>Because some provisions of TABOR are unclear, litigation seeking judicial interpretation of its provisions has been commenced on numerous occasions since its adoption.  Additional litigation may be commenced in the future seeking further interpretation of TABOR.</w:t>
      </w:r>
    </w:p>
    <w:p w:rsidR="00EF2D0F" w:rsidRDefault="00EF2D0F" w:rsidP="00EF2D0F">
      <w:pPr>
        <w:pStyle w:val="Kutak1L2"/>
      </w:pPr>
      <w:bookmarkStart w:id="75" w:name="_Toc21694947"/>
      <w:r>
        <w:t>Voter Approval Requirements and Limitations on Taxes, Spending, Revenues, and Borrowing</w:t>
      </w:r>
      <w:bookmarkEnd w:id="75"/>
    </w:p>
    <w:p w:rsidR="00EF2D0F" w:rsidRDefault="00EF2D0F" w:rsidP="00EF2D0F">
      <w:pPr>
        <w:pStyle w:val="BodyText"/>
      </w:pPr>
      <w:r>
        <w:t>Except for enterprises, TABOR requires voter approval in advance for: (a) any new tax, tax rate increase, mill levy above that for the prior year, valuation for assessment ratio increase, extension of an expiring tax, or a tax policy change causing a net tax revenue gain; (b) any increase in a local government’s spending from one year to the next in excess of the limitations described below; (c) any increase in the real property tax revenues of a local government from one year to the next in excess of the limitations described below; or (d) creation of any multiple-fiscal year direct or indirect debt or other financial obligation whatsoever, subject to certain exceptions such as the refinancing of obligations at a lower interest rate.</w:t>
      </w:r>
    </w:p>
    <w:p w:rsidR="00EF2D0F" w:rsidRDefault="00EF2D0F" w:rsidP="00EF2D0F">
      <w:pPr>
        <w:pStyle w:val="BodyText"/>
      </w:pPr>
      <w:r>
        <w:t xml:space="preserve">Except for enterprises, including, but not limited to, the </w:t>
      </w:r>
      <w:r w:rsidR="00CC664C">
        <w:t>Bridge Enterprise</w:t>
      </w:r>
      <w:r>
        <w:t xml:space="preserve">, TABOR limits increases in government spending and property tax revenues to, generally, the rate of inflation and a local growth factor which is based upon, for school districts, the percentage change in enrollment from year to year, and for non-school districts, the actual value of new construction in the local government.  Unless voter approval is received as described above, revenues collected in excess of these permitted spending limitations must be rebated.  As </w:t>
      </w:r>
      <w:r w:rsidR="00CC664C">
        <w:t xml:space="preserve">an </w:t>
      </w:r>
      <w:r>
        <w:t xml:space="preserve">enterprise, the </w:t>
      </w:r>
      <w:r w:rsidR="00CC664C">
        <w:t>Bridge Enterprise is</w:t>
      </w:r>
      <w:r>
        <w:t xml:space="preserve"> not included in the State’s overall spending and revenue base.</w:t>
      </w:r>
    </w:p>
    <w:p w:rsidR="00EF2D0F" w:rsidRDefault="00EF2D0F" w:rsidP="00EF2D0F">
      <w:pPr>
        <w:pStyle w:val="Kutak1L2"/>
      </w:pPr>
      <w:bookmarkStart w:id="76" w:name="_Toc21694948"/>
      <w:r>
        <w:t>Enterprise Status</w:t>
      </w:r>
      <w:bookmarkEnd w:id="76"/>
    </w:p>
    <w:p w:rsidR="00EF2D0F" w:rsidRDefault="00EF2D0F" w:rsidP="00EF2D0F">
      <w:pPr>
        <w:pStyle w:val="BodyText"/>
      </w:pPr>
      <w:r>
        <w:t xml:space="preserve">The </w:t>
      </w:r>
      <w:r w:rsidR="00CC664C">
        <w:t xml:space="preserve">Bridge Enterprise </w:t>
      </w:r>
      <w:r>
        <w:t xml:space="preserve">has determined that it is currently an enterprise; however, TABOR contemplates that enterprise status is to be determined on an annual basis.  Because the </w:t>
      </w:r>
      <w:r w:rsidR="00CC664C">
        <w:t xml:space="preserve">Series 2019A Senior Bonds </w:t>
      </w:r>
      <w:r>
        <w:t xml:space="preserve">are issued by the </w:t>
      </w:r>
      <w:r w:rsidR="00CC664C">
        <w:t>Bridge Enterprise</w:t>
      </w:r>
      <w:r>
        <w:t xml:space="preserve">, voter approval for the issuance of the </w:t>
      </w:r>
      <w:r w:rsidR="00CC664C">
        <w:t xml:space="preserve">Series 2019A Senior </w:t>
      </w:r>
      <w:r>
        <w:t xml:space="preserve">Bonds is not required under TABOR, and the remaining terms of TABOR do not apply to the operation of the </w:t>
      </w:r>
      <w:r w:rsidR="00CC664C">
        <w:t>Bridge Enterprise</w:t>
      </w:r>
      <w:r>
        <w:t>.</w:t>
      </w:r>
    </w:p>
    <w:p w:rsidR="00EF2D0F" w:rsidRDefault="00EF2D0F" w:rsidP="00EF2D0F">
      <w:pPr>
        <w:pStyle w:val="BodyText"/>
      </w:pPr>
      <w:r>
        <w:t xml:space="preserve">If the </w:t>
      </w:r>
      <w:r w:rsidR="00CC664C">
        <w:t>Bridge Enterprise `</w:t>
      </w:r>
      <w:r>
        <w:t xml:space="preserve">was ever to be disqualified as an enterprise, such disqualification would have the effect, during such period of disqualification only, of requiring inclusion of the </w:t>
      </w:r>
      <w:r w:rsidR="00CC664C">
        <w:t>Bridge Enterprise</w:t>
      </w:r>
      <w:r>
        <w:t xml:space="preserve"> in the State’s overall spending and revenue base and limitations, and of requiring voter approval for various actions, including, with certain exceptions, the issuance of additional bonds payable from </w:t>
      </w:r>
      <w:r w:rsidR="00CC664C">
        <w:t>Trust Estate</w:t>
      </w:r>
      <w:r>
        <w:t xml:space="preserve">.  One of such exceptions is the ability to refund bonds at a lower interest rate.  </w:t>
      </w:r>
    </w:p>
    <w:p w:rsidR="00EF2D0F" w:rsidRDefault="00EF2D0F" w:rsidP="00EF2D0F">
      <w:pPr>
        <w:pStyle w:val="Kutak1L2"/>
      </w:pPr>
      <w:bookmarkStart w:id="77" w:name="_Toc21694949"/>
      <w:r>
        <w:t>Prior Legal Challenge to Bridge Surcharge</w:t>
      </w:r>
      <w:bookmarkEnd w:id="77"/>
    </w:p>
    <w:p w:rsidR="00EF2D0F" w:rsidRDefault="00EF2D0F" w:rsidP="00EF2D0F">
      <w:pPr>
        <w:pStyle w:val="BodyText"/>
      </w:pPr>
      <w:r>
        <w:t xml:space="preserve">On May 12, 2012, the TABOR Foundation, a nonprofit organization in Colorado, filed a complaint in the district court for the City and County of Denver against </w:t>
      </w:r>
      <w:r w:rsidR="00CC664C">
        <w:t>the Bridge Enterprise</w:t>
      </w:r>
      <w:r>
        <w:t xml:space="preserve">, the Transportation Commission and certain members of the Commission.  In the complaint, the TABOR Foundation requested that the court declare the Bridge Surcharge and the </w:t>
      </w:r>
      <w:r w:rsidR="00CC664C">
        <w:t xml:space="preserve">Series 2010A Senior </w:t>
      </w:r>
      <w:r>
        <w:t>Bonds as unconstitutional, and that</w:t>
      </w:r>
      <w:r w:rsidR="00CC664C">
        <w:t xml:space="preserve"> the Bridge Enterprise </w:t>
      </w:r>
      <w:r>
        <w:t>must be directed to refund all revenue collected, plus interest.</w:t>
      </w:r>
    </w:p>
    <w:p w:rsidR="00EF2D0F" w:rsidRDefault="00EF2D0F" w:rsidP="00EF2D0F">
      <w:pPr>
        <w:pStyle w:val="BodyText"/>
      </w:pPr>
      <w:r>
        <w:t xml:space="preserve">A hearing in the district court occurred on May 13, 2013 and May 14, 2013.  The finding of fact and conclusions of law filed by the district court judge ruled in favor of </w:t>
      </w:r>
      <w:r w:rsidR="00CC664C">
        <w:t>the Bridge Enterprise</w:t>
      </w:r>
      <w:r>
        <w:t>.  On September 6, 2013 the TABOR Foundation filed with the Court of Appeals.  The Court of Appeals ruled in favor of</w:t>
      </w:r>
      <w:r w:rsidR="00CC664C">
        <w:t xml:space="preserve"> the Bridge Enterprise </w:t>
      </w:r>
      <w:r>
        <w:t>on August 14, 2014.</w:t>
      </w:r>
    </w:p>
    <w:p w:rsidR="00EF2D0F" w:rsidRPr="00EF2D0F" w:rsidRDefault="00EF2D0F" w:rsidP="00EF2D0F">
      <w:pPr>
        <w:pStyle w:val="BodyText"/>
      </w:pPr>
      <w:r>
        <w:t xml:space="preserve">On September 25, 2014 the TABOR Foundation filed a petition for a writ of certiorari with the Colorado Supreme Court requesting it to hear an appeal of the Court of Appeals’ decision.  Counsel for </w:t>
      </w:r>
      <w:r w:rsidR="00CC664C">
        <w:t xml:space="preserve">the Bridge Enterprise </w:t>
      </w:r>
      <w:r>
        <w:t xml:space="preserve">filed an objection on October 20, 2014 arguing that the Supreme Court should not accept the petition. </w:t>
      </w:r>
      <w:r w:rsidR="00CC664C">
        <w:t xml:space="preserve"> </w:t>
      </w:r>
      <w:r>
        <w:t>On June 29, 2015, the Supreme Court declined to review the Court of Appeals’ decision in favor of</w:t>
      </w:r>
      <w:r w:rsidR="00CC664C">
        <w:t xml:space="preserve"> the Bridge Enterprise</w:t>
      </w:r>
      <w:r>
        <w:t>.</w:t>
      </w:r>
    </w:p>
    <w:p w:rsidR="002E4A0D" w:rsidRDefault="002E4A0D" w:rsidP="00054A41">
      <w:pPr>
        <w:pStyle w:val="Kutak1L1"/>
      </w:pPr>
      <w:bookmarkStart w:id="78" w:name="_Toc21694950"/>
      <w:r>
        <w:t>TAX MATTERS</w:t>
      </w:r>
      <w:bookmarkEnd w:id="78"/>
    </w:p>
    <w:p w:rsidR="00213231" w:rsidRDefault="00213231" w:rsidP="00213231">
      <w:pPr>
        <w:pStyle w:val="Kutak1L2"/>
      </w:pPr>
      <w:bookmarkStart w:id="79" w:name="_Toc21694951"/>
      <w:r>
        <w:t>General</w:t>
      </w:r>
      <w:bookmarkEnd w:id="79"/>
    </w:p>
    <w:p w:rsidR="00213231" w:rsidRDefault="00213231" w:rsidP="00213231">
      <w:pPr>
        <w:pStyle w:val="BodyText"/>
      </w:pPr>
      <w:r>
        <w:t xml:space="preserve">In the opinion of Kutak Rock LLP, Bond Counsel to the Bridge Enterprise, under existing laws, regulations, rulings and judicial decisions, interest on the </w:t>
      </w:r>
      <w:r w:rsidR="006C3474">
        <w:t>Series 2019A Senior Bond</w:t>
      </w:r>
      <w:r>
        <w:t xml:space="preserve">s is excluded from gross income for federal income tax purposes and is not a specific item of tax preference for purposes of the federal alternative minimum tax.  The opinions described in the preceding sentence assume the accuracy of certain representations and compliance by the </w:t>
      </w:r>
      <w:r w:rsidR="006C72DB">
        <w:t xml:space="preserve">Bridge Enterprise </w:t>
      </w:r>
      <w:r>
        <w:t xml:space="preserve">with covenants designed to satisfy the requirements of the Internal Revenue Code of 1986, as amended (the “Code”), that must be met subsequent to the issuance of the </w:t>
      </w:r>
      <w:r w:rsidR="006C3474">
        <w:t>Series 2019A Senior Bond</w:t>
      </w:r>
      <w:r>
        <w:t xml:space="preserve">s.  Failure to comply with such requirements could cause interest on the </w:t>
      </w:r>
      <w:r w:rsidR="006C3474">
        <w:t>Series 2019A Senior Bond</w:t>
      </w:r>
      <w:r>
        <w:t xml:space="preserve">s to be included in gross income for federal income tax purposes retroactive to the date of issuance of the </w:t>
      </w:r>
      <w:r w:rsidR="006C3474">
        <w:t>Series 2019A Senior Bond</w:t>
      </w:r>
      <w:r>
        <w:t xml:space="preserve">s.  The </w:t>
      </w:r>
      <w:r w:rsidR="006C72DB">
        <w:t>Bridge Enterprise</w:t>
      </w:r>
      <w:r>
        <w:t xml:space="preserve"> will covenant to comply with such requirements.  Bond Counsel has expressed no opinion regarding other federal tax consequences arising with respect to the </w:t>
      </w:r>
      <w:r w:rsidR="006C3474">
        <w:t>Series 2019A Senior Bond</w:t>
      </w:r>
      <w:r>
        <w:t>s.</w:t>
      </w:r>
    </w:p>
    <w:p w:rsidR="00213231" w:rsidRDefault="00B23945" w:rsidP="00213231">
      <w:pPr>
        <w:pStyle w:val="BodyText"/>
      </w:pPr>
      <w:r w:rsidRPr="00B23945">
        <w:rPr>
          <w:szCs w:val="22"/>
        </w:rPr>
        <w:t>Bond Counsel is further of the opinion that, under existing Colorado statutes, the Series 2019A Senior Bonds and the income therefrom are exempt from taxation by the State of Colorado, except inheritance, estate and transfer taxes.</w:t>
      </w:r>
    </w:p>
    <w:p w:rsidR="00213231" w:rsidRDefault="00213231" w:rsidP="00213231">
      <w:pPr>
        <w:pStyle w:val="Kutak1L2"/>
      </w:pPr>
      <w:bookmarkStart w:id="80" w:name="_Toc21694952"/>
      <w:r>
        <w:t xml:space="preserve">Special Considerations With Respect to the </w:t>
      </w:r>
      <w:r w:rsidR="006C3474">
        <w:t>Series 2019A Senior Bond</w:t>
      </w:r>
      <w:r>
        <w:t>s</w:t>
      </w:r>
      <w:bookmarkEnd w:id="80"/>
    </w:p>
    <w:p w:rsidR="00213231" w:rsidRDefault="00213231" w:rsidP="00213231">
      <w:pPr>
        <w:pStyle w:val="BodyText"/>
      </w:pPr>
      <w:r>
        <w:t xml:space="preserve">The accrual or receipt of interest on the </w:t>
      </w:r>
      <w:r w:rsidR="006C3474">
        <w:t>Series 2019A Senior Bond</w:t>
      </w:r>
      <w:r>
        <w:t xml:space="preserve">s may otherwise affect the federal income tax liability of the owners of the </w:t>
      </w:r>
      <w:r w:rsidR="006C3474">
        <w:t>Series 2019A Senior Bond</w:t>
      </w:r>
      <w:r>
        <w:t xml:space="preserve">s.  The extent of these other tax consequences will depend upon such owner’s particular tax status and other items of income or deduction.  Bond Counsel has expressed no opinion regarding any such consequences.  Purchasers of the </w:t>
      </w:r>
      <w:r w:rsidR="006C3474">
        <w:t>Series 2019A Senior Bond</w:t>
      </w:r>
      <w:r>
        <w:t xml:space="preserve">s, particularly purchasers that are corporations (including S corporations and foreign corporations operating branches in the United States), property or casualty insurance companies, banks, thrifts or other financial institutions, certain recipients of social security or railroad retirement benefits, taxpayers otherwise entitled to claim the earned income credit, taxpayers entitled to claim the refundable credit in Section 36B of the Code for coverage under a qualified health plan or taxpayers who may be deemed to have incurred or continued indebtedness to purchase or carry tax-exempt obligations, should consult their tax advisors as to the tax consequences of purchasing or owning the </w:t>
      </w:r>
      <w:r w:rsidR="006C3474">
        <w:t>Series 2019A Senior Bond</w:t>
      </w:r>
      <w:r>
        <w:t>s.</w:t>
      </w:r>
    </w:p>
    <w:p w:rsidR="00213231" w:rsidRDefault="00213231" w:rsidP="006C72DB">
      <w:pPr>
        <w:pStyle w:val="Kutak1L2"/>
      </w:pPr>
      <w:bookmarkStart w:id="81" w:name="_Toc21694953"/>
      <w:r>
        <w:t>Backup Withholding</w:t>
      </w:r>
      <w:bookmarkEnd w:id="81"/>
    </w:p>
    <w:p w:rsidR="00213231" w:rsidRDefault="00213231" w:rsidP="00213231">
      <w:pPr>
        <w:pStyle w:val="BodyText"/>
      </w:pPr>
      <w:r>
        <w:t xml:space="preserve">As a result of the enactment of the Tax Increase Prevention and Reconciliation Act of 2005, interest on tax-exempt obligations such as the </w:t>
      </w:r>
      <w:r w:rsidR="006C3474">
        <w:t>Series 2019A Senior Bond</w:t>
      </w:r>
      <w:r>
        <w:t xml:space="preserve">s is subject to information reporting in a manner similar to interest paid on taxable obligations.  Backup withholding may be imposed on payments made to any bondholder who fails to provide certain required information including an accurate taxpayer identification number to any person required to collect such information pursuant to Section 6049 of the Code.  The reporting requirement does not in and of itself affect or alter the excludability of interest on the </w:t>
      </w:r>
      <w:r w:rsidR="006C3474">
        <w:t>Series 2019A Senior Bond</w:t>
      </w:r>
      <w:r>
        <w:t>s from gross income for federal income tax purposes or any other federal tax consequence of purchasing, holding or selling tax-exempt obligations.</w:t>
      </w:r>
    </w:p>
    <w:p w:rsidR="00213231" w:rsidRDefault="00213231" w:rsidP="006C72DB">
      <w:pPr>
        <w:pStyle w:val="Kutak1L2"/>
      </w:pPr>
      <w:bookmarkStart w:id="82" w:name="_Toc21694954"/>
      <w:r>
        <w:t>Changes in Federal and State Tax Law</w:t>
      </w:r>
      <w:bookmarkEnd w:id="82"/>
    </w:p>
    <w:p w:rsidR="00213231" w:rsidRDefault="00213231" w:rsidP="00213231">
      <w:pPr>
        <w:pStyle w:val="BodyText"/>
      </w:pPr>
      <w:r>
        <w:t xml:space="preserve">From time to time, there are legislative proposals in the Congress and in the various state legislatures that, if enacted, could alter or amend federal and state tax matters referred to above or adversely affect the market value of the </w:t>
      </w:r>
      <w:r w:rsidR="006C3474">
        <w:t>Series 2019A Senior Bond</w:t>
      </w:r>
      <w:r>
        <w:t xml:space="preserve">s.  It cannot be predicted whether or in what form any such proposal might be enacted or whether if enacted it would apply to bonds issued prior to enactment.  In addition, regulatory actions are from time to time announced or proposed and litigation is threatened or commenced which, if implemented or concluded in a particular manner, could adversely affect the market value of the </w:t>
      </w:r>
      <w:r w:rsidR="006C3474">
        <w:t>Series 2019A Senior Bond</w:t>
      </w:r>
      <w:r>
        <w:t xml:space="preserve">s.  It cannot be predicted whether any such regulatory action will be implemented, how any particular litigation or judicial action will be resolved, or whether the </w:t>
      </w:r>
      <w:r w:rsidR="006C3474">
        <w:t>Series 2019A Senior Bond</w:t>
      </w:r>
      <w:r>
        <w:t xml:space="preserve">s or the market value thereof would be impacted thereby.  Purchasers of the </w:t>
      </w:r>
      <w:r w:rsidR="006C3474">
        <w:t>Series 2019A Senior Bond</w:t>
      </w:r>
      <w:r>
        <w:t xml:space="preserve">s should consult their tax advisors regarding any pending or proposed legislation, regulatory initiatives or litigation.  The opinions expressed by Bond Counsel are based upon existing legislation and regulations as interpreted by relevant judicial and regulatory authorities as of the date of issuance and delivery of the </w:t>
      </w:r>
      <w:r w:rsidR="006C3474">
        <w:t>Series 2019A Senior Bond</w:t>
      </w:r>
      <w:r>
        <w:t>s and Bond Counsel has expressed no opinion as of any date subsequent thereto or with respect to any pending legislation, regulatory initiatives or litigation.</w:t>
      </w:r>
    </w:p>
    <w:p w:rsidR="00213231" w:rsidRDefault="00213231" w:rsidP="006C72DB">
      <w:pPr>
        <w:pStyle w:val="Kutak1L2"/>
      </w:pPr>
      <w:bookmarkStart w:id="83" w:name="_Toc21694955"/>
      <w:r>
        <w:t>Tax Treatment of Original Issue Premium</w:t>
      </w:r>
      <w:bookmarkEnd w:id="83"/>
    </w:p>
    <w:p w:rsidR="00213231" w:rsidRDefault="00213231" w:rsidP="00213231">
      <w:pPr>
        <w:pStyle w:val="BodyText"/>
      </w:pPr>
      <w:r>
        <w:t xml:space="preserve">The </w:t>
      </w:r>
      <w:r w:rsidR="006C3474">
        <w:t>Series 2019A Senior Bond</w:t>
      </w:r>
      <w:r>
        <w:t>s maturing on</w:t>
      </w:r>
      <w:r w:rsidR="006C72DB">
        <w:t xml:space="preserve"> December 1, 20</w:t>
      </w:r>
      <w:r>
        <w:t xml:space="preserve">__ through, and including, </w:t>
      </w:r>
      <w:r w:rsidR="006C72DB">
        <w:t>December</w:t>
      </w:r>
      <w:r w:rsidR="0064511A">
        <w:t> </w:t>
      </w:r>
      <w:r w:rsidR="006C72DB">
        <w:t>1</w:t>
      </w:r>
      <w:r>
        <w:t xml:space="preserve">, 20__ (collectively, the “Premium </w:t>
      </w:r>
      <w:r w:rsidR="006C3474">
        <w:t>Series 2019A Senior Bond</w:t>
      </w:r>
      <w:r>
        <w:t xml:space="preserve">s”) are being sold at a premium.  An amount equal to the excess of the issue price of a Premium </w:t>
      </w:r>
      <w:r w:rsidR="006C3474">
        <w:t>Series 2019A Senior Bond</w:t>
      </w:r>
      <w:r>
        <w:t xml:space="preserve"> over its stated redemption price at maturity constitutes premium on such Premium </w:t>
      </w:r>
      <w:r w:rsidR="006C3474">
        <w:t>Series 2019A Senior Bond</w:t>
      </w:r>
      <w:r>
        <w:t xml:space="preserve">.  An initial purchaser of a Premium </w:t>
      </w:r>
      <w:r w:rsidR="006C3474">
        <w:t>Series 2019A Senior Bond</w:t>
      </w:r>
      <w:r>
        <w:t xml:space="preserve"> must amortize any premium over such Premium </w:t>
      </w:r>
      <w:r w:rsidR="006C3474">
        <w:t>Series 2019A Senior Bond</w:t>
      </w:r>
      <w:r>
        <w:t xml:space="preserve">’s term using constant yield principles, based on the purchaser’s yield to maturity (or, in the case of Premium </w:t>
      </w:r>
      <w:r w:rsidR="006C3474">
        <w:t>Series 2019A Senior Bond</w:t>
      </w:r>
      <w:r>
        <w:t xml:space="preserve">s callable prior to their maturity, by amortizing the premium to the call date, based on the purchaser’s yield to the call date and giving effect to the call premium).  As premium is amortized, the amount of the amortization offsets a corresponding amount of interest for the period and the purchaser’s basis in such Premium </w:t>
      </w:r>
      <w:r w:rsidR="006C3474">
        <w:t>Series 2019A Senior Bond</w:t>
      </w:r>
      <w:r>
        <w:t xml:space="preserve"> is reduced by a corresponding amount resulting in an increase in the gain (or decrease in the loss) to be recognized for federal income tax purposes upon a sale or disposition of such Premium </w:t>
      </w:r>
      <w:r w:rsidR="006C3474">
        <w:t>Series 2019A Senior Bond</w:t>
      </w:r>
      <w:r>
        <w:t xml:space="preserve"> prior to its maturity.  Even though the purchaser’s basis may be reduced, no federal income tax deduction is allowed.  Purchasers of the Premium </w:t>
      </w:r>
      <w:r w:rsidR="006C3474">
        <w:t>Series 2019A Senior Bond</w:t>
      </w:r>
      <w:r>
        <w:t xml:space="preserve">s should consult with their tax advisors with respect to the determination and treatment of premium for federal income tax purposes and with respect to the state and local tax consequences of owning a Premium </w:t>
      </w:r>
      <w:r w:rsidR="006C3474">
        <w:t>Series 2019A Senior Bond</w:t>
      </w:r>
      <w:r>
        <w:t>.</w:t>
      </w:r>
    </w:p>
    <w:p w:rsidR="00213231" w:rsidRDefault="00213231" w:rsidP="006C72DB">
      <w:pPr>
        <w:pStyle w:val="Kutak1L2"/>
      </w:pPr>
      <w:bookmarkStart w:id="84" w:name="_Toc21694956"/>
      <w:r>
        <w:t>Tax Treatment of Original Issue Discount</w:t>
      </w:r>
      <w:bookmarkEnd w:id="84"/>
    </w:p>
    <w:p w:rsidR="00213231" w:rsidRDefault="00213231" w:rsidP="00213231">
      <w:pPr>
        <w:pStyle w:val="BodyText"/>
      </w:pPr>
      <w:r w:rsidRPr="006C72DB">
        <w:rPr>
          <w:b/>
          <w:i/>
        </w:rPr>
        <w:t>General</w:t>
      </w:r>
      <w:r>
        <w:t xml:space="preserve">.  </w:t>
      </w:r>
      <w:r w:rsidR="006C72DB">
        <w:t xml:space="preserve">The </w:t>
      </w:r>
      <w:r w:rsidR="006C3474">
        <w:t>Series 2019A Senior Bond</w:t>
      </w:r>
      <w:r w:rsidR="006C72DB">
        <w:t>s maturing on December 1, 20__ through, and including, December 1, 20__</w:t>
      </w:r>
      <w:r>
        <w:t xml:space="preserve"> (collectively, the “Discount </w:t>
      </w:r>
      <w:r w:rsidR="006C3474">
        <w:t>Series 2019A Senior Bond</w:t>
      </w:r>
      <w:r>
        <w:t xml:space="preserve">s”) are being sold at an original issue discount.  The difference between the initial public offering prices of such Discount </w:t>
      </w:r>
      <w:r w:rsidR="006C3474">
        <w:t>Series 2019A Senior Bond</w:t>
      </w:r>
      <w:r>
        <w:t>s and their stated amounts to be paid at maturity constitutes original issue discount treated in the same manner for federal income tax purposes as interest, as described under “—General” above.</w:t>
      </w:r>
    </w:p>
    <w:p w:rsidR="00213231" w:rsidRDefault="00213231" w:rsidP="00213231">
      <w:pPr>
        <w:pStyle w:val="BodyText"/>
      </w:pPr>
      <w:r>
        <w:t xml:space="preserve">The amount of original issue discount which is treated as having accrued with respect to such Discount </w:t>
      </w:r>
      <w:r w:rsidR="006C3474">
        <w:t>Series 2019A Senior Bond</w:t>
      </w:r>
      <w:r>
        <w:t xml:space="preserve"> is added to the cost basis of the owner in determining, for federal income tax purposes, gain or loss upon disposition of such Discount </w:t>
      </w:r>
      <w:r w:rsidR="006C3474">
        <w:t>Series 2019A Senior Bond</w:t>
      </w:r>
      <w:r>
        <w:t xml:space="preserve"> (including its sale, redemption or payment at maturity).  Amounts received upon disposition of such Discount </w:t>
      </w:r>
      <w:r w:rsidR="006C3474">
        <w:t>Series 2019A Senior Bond</w:t>
      </w:r>
      <w:r>
        <w:t xml:space="preserve"> which are attributable to accrued original issue discount will be treated as tax-exempt interest, rather than as taxable gain, for federal income tax purposes.</w:t>
      </w:r>
    </w:p>
    <w:p w:rsidR="00213231" w:rsidRDefault="00213231" w:rsidP="00213231">
      <w:pPr>
        <w:pStyle w:val="BodyText"/>
      </w:pPr>
      <w:r>
        <w:t xml:space="preserve">Original issue discount is treated as compounding semiannually, at a rate determined by reference to the yield to maturity of each individual Discount </w:t>
      </w:r>
      <w:r w:rsidR="006C3474">
        <w:t>Series 2019A Senior Bond</w:t>
      </w:r>
      <w:r>
        <w:t xml:space="preserve">, on days which are determined by reference to the maturity date of such Discount </w:t>
      </w:r>
      <w:r w:rsidR="006C3474">
        <w:t>Series 2019A Senior Bond</w:t>
      </w:r>
      <w:r>
        <w:t xml:space="preserve">.  The amount treated as original issue discount on such Discount </w:t>
      </w:r>
      <w:r w:rsidR="006C3474">
        <w:t>Series 2019A Senior Bond</w:t>
      </w:r>
      <w:r>
        <w:t xml:space="preserve"> for a particular semiannual accrual period is equal to the product of (i) the yield to maturity for such Discount </w:t>
      </w:r>
      <w:r w:rsidR="006C3474">
        <w:t>Series 2019A Senior Bond</w:t>
      </w:r>
      <w:r>
        <w:t xml:space="preserve"> (determined by compounding at the close of each accrual period) and (ii) the amount which would have been the tax basis of such Discount </w:t>
      </w:r>
      <w:r w:rsidR="006C3474">
        <w:t>Series 2019A Senior Bond</w:t>
      </w:r>
      <w:r>
        <w:t xml:space="preserve"> at the beginning of the particular accrual period if held by the original purchaser, less the amount of any interest payable for such Discount </w:t>
      </w:r>
      <w:r w:rsidR="006C3474">
        <w:t>Series 2019A Senior Bond</w:t>
      </w:r>
      <w:r>
        <w:t xml:space="preserve"> during the accrual period.  The tax basis is determined by adding to the initial public offering price on such Discount </w:t>
      </w:r>
      <w:r w:rsidR="006C3474">
        <w:t>Series 2019A Senior Bond</w:t>
      </w:r>
      <w:r>
        <w:t xml:space="preserve"> the sum of the amounts which have been treated as original issue discount for such purposes during all prior periods.  If such Discount </w:t>
      </w:r>
      <w:r w:rsidR="006C3474">
        <w:t>Series 2019A Senior Bond</w:t>
      </w:r>
      <w:r>
        <w:t xml:space="preserve"> is sold between semiannual compounding dates, original issue discount which would have been accrued for that semiannual compounding period for federal income tax purposes is to be apportioned in equal amounts among the days in such compounding period.</w:t>
      </w:r>
    </w:p>
    <w:p w:rsidR="00213231" w:rsidRDefault="00213231" w:rsidP="00213231">
      <w:pPr>
        <w:pStyle w:val="BodyText"/>
      </w:pPr>
      <w:r>
        <w:t xml:space="preserve">Owners of Discount </w:t>
      </w:r>
      <w:r w:rsidR="006C3474">
        <w:t>Series 2019A Senior Bond</w:t>
      </w:r>
      <w:r>
        <w:t xml:space="preserve">s should consult their tax advisors with respect to the determination and treatment of original issue discount accrued as of any date and with respect to the state and local tax consequences of owning a Discount </w:t>
      </w:r>
      <w:r w:rsidR="006C3474">
        <w:t>Series 2019A Senior Bond</w:t>
      </w:r>
      <w:r>
        <w:t>.</w:t>
      </w:r>
    </w:p>
    <w:p w:rsidR="00213231" w:rsidRDefault="00213231" w:rsidP="00213231">
      <w:pPr>
        <w:pStyle w:val="BodyText"/>
      </w:pPr>
      <w:r w:rsidRPr="006C72DB">
        <w:rPr>
          <w:b/>
          <w:i/>
        </w:rPr>
        <w:t>Recognition of Income Generally</w:t>
      </w:r>
      <w:r>
        <w:t xml:space="preserve">.  Section 451 of the Code was amended by Pub. L. No. 115-97, enacted December 22, 2017 (sometimes referred to as the Tax Cuts and Jobs Act), to provide that taxpayers using an accrual method of accounting for federal income tax purposes generally will be required to include certain amounts in income, including original issue discount and market discount, no later than the time such amounts are reflected on certain financial statements of such taxpayer.  The application of this rule may require the accrual of income earlier than would have been the case prior to the amendment of Section 451 of the Code.  The rule generally applies to taxable years after 2017, except that in the case of income from a debt instrument having original issue discount, the rule does not apply until taxable years after 2018.  Investors should consult their own tax advisors regarding the application of this rule and its impact on the timing of the recognition of income related to the Discount </w:t>
      </w:r>
      <w:r w:rsidR="006C3474">
        <w:t>Series 2019A Senior Bond</w:t>
      </w:r>
      <w:r>
        <w:t>s under the Code.</w:t>
      </w:r>
    </w:p>
    <w:p w:rsidR="002E4A0D" w:rsidRDefault="002E4A0D" w:rsidP="007E483D">
      <w:pPr>
        <w:pStyle w:val="Kutak1L1"/>
      </w:pPr>
      <w:bookmarkStart w:id="85" w:name="_Toc21694957"/>
      <w:r>
        <w:t>RATINGS</w:t>
      </w:r>
      <w:bookmarkEnd w:id="85"/>
    </w:p>
    <w:p w:rsidR="00936446" w:rsidRDefault="00936446" w:rsidP="00936446">
      <w:pPr>
        <w:pStyle w:val="BodyText"/>
      </w:pPr>
      <w:r>
        <w:t xml:space="preserve">Moody’s Investors Service, Inc. (“Moody’s”) and S&amp;P Global Ratings, a division of Standard &amp; Poor’s Financial Services LLC (“S&amp;P”), have assigned ratings of “[___]” ([___] outlook) and “[___]” ([___] outlook), respectively, to the </w:t>
      </w:r>
      <w:r w:rsidR="006C3474">
        <w:t>Series 2019A Senior Bond</w:t>
      </w:r>
      <w:r>
        <w:t xml:space="preserve">s.  </w:t>
      </w:r>
    </w:p>
    <w:p w:rsidR="00936446" w:rsidRDefault="00936446" w:rsidP="00936446">
      <w:pPr>
        <w:pStyle w:val="BodyText"/>
      </w:pPr>
      <w:r>
        <w:t xml:space="preserve">Such ratings reflect only the views of such organizations and any explanation of the meaning and significance of such ratings, including the methodology used and any outlook thereon, should be obtained from the rating agency furnishing the same, at the following addresses: </w:t>
      </w:r>
      <w:r w:rsidR="00213231">
        <w:t xml:space="preserve">Moody’s </w:t>
      </w:r>
      <w:r w:rsidR="0064511A" w:rsidRPr="00655324">
        <w:t>Inves</w:t>
      </w:r>
      <w:r w:rsidR="0064511A">
        <w:t>tor Services, Inc. 7 </w:t>
      </w:r>
      <w:r w:rsidR="0064511A" w:rsidRPr="00655324">
        <w:t>World Trade Center, 250 Greenwich Street, New York, New York 10007;</w:t>
      </w:r>
      <w:r w:rsidR="0064511A">
        <w:t xml:space="preserve"> and </w:t>
      </w:r>
      <w:r w:rsidR="0064511A" w:rsidRPr="007E5F85">
        <w:t>S</w:t>
      </w:r>
      <w:r w:rsidR="0064511A">
        <w:t>&amp;P Global Ratings</w:t>
      </w:r>
      <w:r w:rsidR="0064511A" w:rsidRPr="007E5F85">
        <w:t>, 55 Water Street, New York, New York 10041</w:t>
      </w:r>
      <w:r>
        <w:t xml:space="preserve">.  Generally, a rating agency bases its rating on the information and materials furnished to it and on investigations, studies and assumptions of its own.  The respective ratings are not a recommendation to buy, sell or hold the </w:t>
      </w:r>
      <w:r w:rsidR="006C3474">
        <w:t>Series 2019A Senior Bond</w:t>
      </w:r>
      <w:r>
        <w:t xml:space="preserve">s.  There is no assurance such ratings will continue for any given period of time or that such ratings will not be revised downward or withdrawn entirely by the rating agencies, if in the judgment of such rating agencies, circumstances so warrant.  Any such downward revision or withdrawal of such ratings may have an adverse effect on the market price of the </w:t>
      </w:r>
      <w:r w:rsidR="006C3474">
        <w:t>Series 2019A Senior Bond</w:t>
      </w:r>
      <w:r>
        <w:t>s.</w:t>
      </w:r>
    </w:p>
    <w:p w:rsidR="002E4A0D" w:rsidRDefault="002E4A0D" w:rsidP="007E483D">
      <w:pPr>
        <w:pStyle w:val="Kutak1L1"/>
      </w:pPr>
      <w:bookmarkStart w:id="86" w:name="_Toc21694958"/>
      <w:r>
        <w:t>CONTINUING DISCLOSURE UNDERTAKING</w:t>
      </w:r>
      <w:bookmarkEnd w:id="86"/>
    </w:p>
    <w:p w:rsidR="002E4A0D" w:rsidRDefault="0078148F" w:rsidP="0078148F">
      <w:pPr>
        <w:pStyle w:val="BodyText"/>
      </w:pPr>
      <w:r>
        <w:t>At the time of issuance of the Series 2019A Senior Bonds, t</w:t>
      </w:r>
      <w:r w:rsidR="002E4A0D">
        <w:t>he Bridge Enterprise</w:t>
      </w:r>
      <w:r>
        <w:t xml:space="preserve"> will execute and deliver a Continuing Disclosure Undertaking (the “Continuing Disclosure Undertaking”) substantially in the form set forth in Appendix E of this Official Statement.  Pursuant to the Continuing Disclosure Undertaking, the Bridge Enterprise will </w:t>
      </w:r>
      <w:r w:rsidR="002E4A0D">
        <w:t xml:space="preserve">covenant, for the benefit of the owners of the </w:t>
      </w:r>
      <w:r w:rsidR="006C3474">
        <w:t>Series 2019A Senior Bond</w:t>
      </w:r>
      <w:r w:rsidR="002E4A0D">
        <w:t>s, to provide (</w:t>
      </w:r>
      <w:r w:rsidR="007E483D">
        <w:t>a</w:t>
      </w:r>
      <w:r w:rsidR="002E4A0D">
        <w:t xml:space="preserve">) certain financial information and operating data related to the Bridge Enterprise by not later than </w:t>
      </w:r>
      <w:r>
        <w:t>[</w:t>
      </w:r>
      <w:r w:rsidR="002E4A0D">
        <w:t>270</w:t>
      </w:r>
      <w:r>
        <w:t>]</w:t>
      </w:r>
      <w:r w:rsidR="002E4A0D">
        <w:t xml:space="preserve"> days after the end of each Fiscal Year, commencing with the Fiscal Year ended June</w:t>
      </w:r>
      <w:r>
        <w:t> </w:t>
      </w:r>
      <w:r w:rsidR="002E4A0D">
        <w:t>30, 201</w:t>
      </w:r>
      <w:r>
        <w:t>9</w:t>
      </w:r>
      <w:r w:rsidR="002E4A0D">
        <w:t xml:space="preserve"> (the “Annual Financial Information”)</w:t>
      </w:r>
      <w:r w:rsidR="007E483D">
        <w:t>;</w:t>
      </w:r>
      <w:r w:rsidR="002E4A0D">
        <w:t xml:space="preserve"> (</w:t>
      </w:r>
      <w:r w:rsidR="007E483D">
        <w:t>b</w:t>
      </w:r>
      <w:r w:rsidR="002E4A0D">
        <w:t xml:space="preserve">) audited financial statements for the Bridge Enterprise by not later than </w:t>
      </w:r>
      <w:r>
        <w:t>[</w:t>
      </w:r>
      <w:r w:rsidR="002E4A0D">
        <w:t>210</w:t>
      </w:r>
      <w:r>
        <w:t>]</w:t>
      </w:r>
      <w:r w:rsidR="002E4A0D">
        <w:t xml:space="preserve"> days after the end of each Fiscal Year, commencing with the Fiscal Year ended June</w:t>
      </w:r>
      <w:r>
        <w:t> </w:t>
      </w:r>
      <w:r w:rsidR="002E4A0D">
        <w:t>30, 201</w:t>
      </w:r>
      <w:r>
        <w:t>9</w:t>
      </w:r>
      <w:r w:rsidR="002E4A0D">
        <w:t xml:space="preserve"> (the “Audited Financial Statements”)</w:t>
      </w:r>
      <w:r w:rsidR="007E483D">
        <w:t>;</w:t>
      </w:r>
      <w:r w:rsidR="002E4A0D">
        <w:t xml:space="preserve"> and (</w:t>
      </w:r>
      <w:r w:rsidR="007E483D">
        <w:t>c</w:t>
      </w:r>
      <w:r w:rsidR="002E4A0D">
        <w:t>) notices of the occurrence of certain enumerated events</w:t>
      </w:r>
      <w:r w:rsidR="00BA13CB">
        <w:t xml:space="preserve"> </w:t>
      </w:r>
      <w:r w:rsidR="00BA13CB" w:rsidRPr="00917D1E">
        <w:rPr>
          <w:szCs w:val="22"/>
        </w:rPr>
        <w:t>within ten business days of their occurrence</w:t>
      </w:r>
      <w:r w:rsidR="009F27D6">
        <w:t xml:space="preserve">.  </w:t>
      </w:r>
      <w:r w:rsidR="002E4A0D">
        <w:t xml:space="preserve">The Annual Financial Information, </w:t>
      </w:r>
      <w:r>
        <w:t xml:space="preserve">the </w:t>
      </w:r>
      <w:r w:rsidR="002E4A0D">
        <w:t xml:space="preserve">Audited Financial Statements and the notices of </w:t>
      </w:r>
      <w:r>
        <w:t xml:space="preserve">enumerated </w:t>
      </w:r>
      <w:r w:rsidR="002E4A0D">
        <w:t xml:space="preserve">events will be filed or caused to be filed by the Bridge Enterprise or its designee for such purpose with the MSRB through the </w:t>
      </w:r>
      <w:r w:rsidR="00BA13CB">
        <w:t xml:space="preserve">EMMA </w:t>
      </w:r>
      <w:r w:rsidR="00924C0D">
        <w:t>s</w:t>
      </w:r>
      <w:r w:rsidR="00BA13CB">
        <w:t xml:space="preserve">ystem, </w:t>
      </w:r>
      <w:r w:rsidR="00BA13CB" w:rsidRPr="008B096D">
        <w:t>in an electronic format as prescribed by the MSRB</w:t>
      </w:r>
      <w:r w:rsidR="009F27D6">
        <w:t xml:space="preserve">.  </w:t>
      </w:r>
      <w:r w:rsidR="002E4A0D">
        <w:t>See Appendix E for the form of the Bridge Enterprise’s Continuing Disclosure Undertaking</w:t>
      </w:r>
      <w:r w:rsidR="009F27D6">
        <w:t>.</w:t>
      </w:r>
    </w:p>
    <w:p w:rsidR="00404174" w:rsidRDefault="00404174" w:rsidP="007E483D">
      <w:pPr>
        <w:pStyle w:val="BodyText"/>
      </w:pPr>
      <w:r w:rsidRPr="00BA13CB">
        <w:t xml:space="preserve">The Bridge Enterprise entered into a continuing disclosure undertaking with respect to the Series 2010A Senior Bonds.  With respect to such continuing disclosure undertaking, the Bridge Enterprise failed to file on a timely basis, on the EMMA website, its audited financial statements for the </w:t>
      </w:r>
      <w:r w:rsidR="00BA13CB" w:rsidRPr="00BA13CB">
        <w:t>F</w:t>
      </w:r>
      <w:r w:rsidRPr="00BA13CB">
        <w:t xml:space="preserve">iscal </w:t>
      </w:r>
      <w:r w:rsidR="00BA13CB" w:rsidRPr="00BA13CB">
        <w:t>Y</w:t>
      </w:r>
      <w:r w:rsidRPr="00BA13CB">
        <w:t xml:space="preserve">ear ended June 30, 2015.  The audited financial statements were </w:t>
      </w:r>
      <w:r w:rsidR="008F7862">
        <w:t xml:space="preserve">eventually </w:t>
      </w:r>
      <w:r w:rsidRPr="00BA13CB">
        <w:t>filed on the EMMA website</w:t>
      </w:r>
      <w:r w:rsidR="00865E08">
        <w:t xml:space="preserve"> eleven days </w:t>
      </w:r>
      <w:r w:rsidRPr="00BA13CB">
        <w:t>after the required filing date set forth in the continuing disclosure undertaking.</w:t>
      </w:r>
    </w:p>
    <w:p w:rsidR="002E4A0D" w:rsidRDefault="002E4A0D" w:rsidP="007E483D">
      <w:pPr>
        <w:pStyle w:val="Kutak1L1"/>
      </w:pPr>
      <w:bookmarkStart w:id="87" w:name="_Toc21694959"/>
      <w:r>
        <w:t>LITIGATION AND GOVERNMENTAL IMMUNITY</w:t>
      </w:r>
      <w:bookmarkEnd w:id="87"/>
    </w:p>
    <w:p w:rsidR="002E4A0D" w:rsidRDefault="00FD1306" w:rsidP="007E483D">
      <w:pPr>
        <w:pStyle w:val="Kutak1L2"/>
      </w:pPr>
      <w:bookmarkStart w:id="88" w:name="_Toc21694960"/>
      <w:r>
        <w:t>No Litigation Affecting the Series 2019A Senior Bonds</w:t>
      </w:r>
      <w:bookmarkEnd w:id="88"/>
    </w:p>
    <w:p w:rsidR="002E4A0D" w:rsidRDefault="002E4A0D" w:rsidP="002E4A0D">
      <w:pPr>
        <w:pStyle w:val="BodyText"/>
      </w:pPr>
      <w:r>
        <w:t xml:space="preserve">There is no litigation or proceeding pending, or, to the best knowledge of the Bridge Enterprise, threatened, which would affect the right of the Bridge Enterprise to execute, deliver, or perform its obligations under the Indenture or to issue, execute, deliver, or perform its obligations under the </w:t>
      </w:r>
      <w:r w:rsidR="006C3474">
        <w:t>Series 2019A Senior Bond</w:t>
      </w:r>
      <w:r>
        <w:t>s.</w:t>
      </w:r>
    </w:p>
    <w:p w:rsidR="002E4A0D" w:rsidRDefault="002E4A0D" w:rsidP="007E483D">
      <w:pPr>
        <w:pStyle w:val="Kutak1L2"/>
      </w:pPr>
      <w:bookmarkStart w:id="89" w:name="_Toc21694961"/>
      <w:r>
        <w:t>Governmental Immunity Act</w:t>
      </w:r>
      <w:bookmarkEnd w:id="89"/>
    </w:p>
    <w:p w:rsidR="00A30028" w:rsidRDefault="00A30028" w:rsidP="00A30028">
      <w:pPr>
        <w:pStyle w:val="BodyText"/>
      </w:pPr>
      <w:r>
        <w:t>The Colorado Governmental Immunity Act, Article 10 of Title 24, C.R.S. (the “Immunity Act”), provides that public entities and their employees acting within the course and scope of their employment are immune from liability for tort claims under State law based on the principle of sovereign immunity, except for those specifically identified events or occurrences defined in the Immunity Act.  Whenever recovery is permitted, the Immunity Act also generally limits the maximum amount that may be recovered.  For incidents occurring prior to July 1, 2013, the limits are $150,000 for injury to one person in a single occurrence and an aggregate of $600,000 for injury to two or more persons in a single occurrence, except that no one person may recover in excess of $150,000; and for incidents occurring on and after July 1, 2013, the maximum amounts that may be recovered under the Immunity Act are $350,000 for injury to one person in a single occurrence and an aggregate of $990,000 for injury to two or more persons in a single occurrence, except that no one person may recover in excess of $350,000.  These limits are subject to adjustment on January 1, 2018, and every four years thereafter based on the percentage change in the Consumer Price Index.  In individual cases the General Assembly may authorize the recovery from the State of amounts in excess of these limits by legislative action initiated either directly by the General Assembly or upon recommendation of the State Claims Board.  The Immunity Act does not limit recovery against an employee who is acting outside the course and scope of his/her employment.  The Immunity Act specifies the sources from which judgments against public entities may be collected and provides that public entities are not liable for punitive or exemplary damages.  The Immunity Act does not prohibit claims in Colorado state court against public entities or their employees based on contract and may not prohibit such claims based on other common law theories.  However, the Immunity Act does bar certain federal actions or claims against the State or State employees sued in their official capacities under federal statutes when such actions are brought in state court.  The Eleventh Amendment to the U.S. Constitution bars certain federal actions or claims against the State or its employees sued in their official capacities under federal statutes when such actions are brought in federal court.</w:t>
      </w:r>
    </w:p>
    <w:p w:rsidR="002E4A0D" w:rsidRDefault="00A30028" w:rsidP="00A30028">
      <w:pPr>
        <w:pStyle w:val="BodyText"/>
      </w:pPr>
      <w:r>
        <w:t>Colorado House Bill 12-1361 amended the Immunity Act by waiving sovereign immunity of the State in an action for injuries resulting from a prescribed fire started or maintained by the State or any of its employees on or after January 1, 2012.  A prescribed fire is defined as the application of fire in accordance with a written prescription for vegetative fuels, but excluding a controlled burn used in farming industry to clear land of existing crop residue, kill weeds and weed seeds or to reduce fuel build-up and decrease the likelihood of future fire.</w:t>
      </w:r>
    </w:p>
    <w:p w:rsidR="002E4A0D" w:rsidRDefault="002E4A0D" w:rsidP="007E483D">
      <w:pPr>
        <w:pStyle w:val="Kutak1L1"/>
      </w:pPr>
      <w:bookmarkStart w:id="90" w:name="_Toc21694962"/>
      <w:r>
        <w:t>UNDERWRITING</w:t>
      </w:r>
      <w:bookmarkEnd w:id="90"/>
    </w:p>
    <w:p w:rsidR="00296DBE" w:rsidRDefault="00296DBE" w:rsidP="00296DBE">
      <w:pPr>
        <w:pStyle w:val="BodyText"/>
      </w:pPr>
      <w:r>
        <w:t xml:space="preserve">The </w:t>
      </w:r>
      <w:r w:rsidR="006C3474">
        <w:t>Series 2019A Senior Bond</w:t>
      </w:r>
      <w:r>
        <w:t xml:space="preserve">s will be purchased by </w:t>
      </w:r>
      <w:r w:rsidR="00C4527A" w:rsidRPr="009753FC">
        <w:t>Morgan Stanley &amp; Co. LLC</w:t>
      </w:r>
      <w:r w:rsidR="00E7543E">
        <w:t xml:space="preserve"> (</w:t>
      </w:r>
      <w:r>
        <w:t xml:space="preserve">the “Underwriter”) from the Bridge Enterprise at a price of $____________ (which represents the par amount of the </w:t>
      </w:r>
      <w:r w:rsidR="006C3474">
        <w:t>Series 2019A Senior Bond</w:t>
      </w:r>
      <w:r>
        <w:t>s, plus an original issue premium of $____________, less an original issue discount of $____________, less an underwriter</w:t>
      </w:r>
      <w:r w:rsidR="00E7543E">
        <w:t>’s</w:t>
      </w:r>
      <w:r>
        <w:t xml:space="preserve"> discount of $____________), subject to the terms of the Bond Purchase Agreement, dated ____________, 2019 (the “Bond Purchase Agreement”), between</w:t>
      </w:r>
      <w:r w:rsidR="00E7543E">
        <w:t xml:space="preserve"> the Underwriter </w:t>
      </w:r>
      <w:r>
        <w:t>and the Bridge Enterprise.</w:t>
      </w:r>
    </w:p>
    <w:p w:rsidR="00296DBE" w:rsidRDefault="00296DBE" w:rsidP="00296DBE">
      <w:pPr>
        <w:pStyle w:val="BodyText"/>
      </w:pPr>
      <w:r>
        <w:t xml:space="preserve">The Bond Purchase Agreement provides that the Underwriter will purchase all of the </w:t>
      </w:r>
      <w:r w:rsidR="006C3474">
        <w:t>Series 2019A Senior Bond</w:t>
      </w:r>
      <w:r>
        <w:t xml:space="preserve">s if any are purchased, and that the obligation to make such purchase is subject to certain terms and conditions set forth in the Bond Purchase Agreement, the approval of certain legal matters by counsel, and certain other conditions.  The initial public offering prices of the </w:t>
      </w:r>
      <w:r w:rsidR="006C3474">
        <w:t>Series 2019A Senior Bond</w:t>
      </w:r>
      <w:r>
        <w:t xml:space="preserve">s set forth on the inside front cover hereof may be changed from time to time by the Underwriter.  The Underwriter may offer and sell the </w:t>
      </w:r>
      <w:r w:rsidR="006C3474">
        <w:t>Series 2019A Senior Bond</w:t>
      </w:r>
      <w:r>
        <w:t>s into unit investment trusts or money market funds at prices lower than the public offering prices stated on the inside front cover hereof.</w:t>
      </w:r>
    </w:p>
    <w:p w:rsidR="00296DBE" w:rsidRDefault="00296DBE" w:rsidP="00296DBE">
      <w:pPr>
        <w:pStyle w:val="BodyText"/>
      </w:pPr>
      <w:r>
        <w:t xml:space="preserve">The Underwriter and </w:t>
      </w:r>
      <w:r w:rsidR="00E7543E">
        <w:t>its</w:t>
      </w:r>
      <w:r>
        <w:t xml:space="preserve"> affiliates are full service financial institutions engaged in various activities, which may include securities trading, commercial and investment banking, financial advisory, investment management, principal investment, hedging, financing and brokerage activities.  </w:t>
      </w:r>
      <w:r w:rsidR="009312D8">
        <w:t xml:space="preserve">The </w:t>
      </w:r>
      <w:r>
        <w:t xml:space="preserve">Underwriter and </w:t>
      </w:r>
      <w:r w:rsidR="009312D8">
        <w:t>its</w:t>
      </w:r>
      <w:r>
        <w:t xml:space="preserve">  affiliates have, from time to time, performed, and may in the future perform, various investment banking services for the Bridge Enterprise and CDOT, for which they received or will receive customary fees and expenses.  </w:t>
      </w:r>
    </w:p>
    <w:p w:rsidR="002E4A0D" w:rsidRDefault="00296DBE" w:rsidP="00296DBE">
      <w:pPr>
        <w:pStyle w:val="BodyText"/>
      </w:pPr>
      <w:r>
        <w:t xml:space="preserve">In the ordinary course of </w:t>
      </w:r>
      <w:r w:rsidR="009312D8">
        <w:t>their</w:t>
      </w:r>
      <w:r>
        <w:t xml:space="preserve"> various business activities, the Underwriter and </w:t>
      </w:r>
      <w:r w:rsidR="009312D8">
        <w:t>its</w:t>
      </w:r>
      <w:r>
        <w:t xml:space="preserve"> affiliates may make or hold a broad array of investments and actively trade debt and equity securities (or related derivative securities) and financial instruments (which may include bank loans and/or credit default swaps) for their own account and for the accounts of their customers and may at any time hold long and short positions in such securities and instruments.  Such investment and securities activities may involve securities and instruments of the Bridge Enterprise or CDOT.</w:t>
      </w:r>
    </w:p>
    <w:p w:rsidR="00F73146" w:rsidRDefault="00F73146" w:rsidP="00F73146">
      <w:pPr>
        <w:pStyle w:val="BodyText"/>
      </w:pPr>
      <w:r w:rsidRPr="009753FC">
        <w:t>Morgan Stanley &amp; Co. LLC</w:t>
      </w:r>
      <w:r>
        <w:t xml:space="preserve"> (“Morgan Stanley”) provided the information contained in this paragraph for inclusion in this Official Statement and the Bridge Enterprise does not take any responsibility for or make any representation as to its accuracy or completeness.  Morgan Stanley</w:t>
      </w:r>
      <w:r w:rsidRPr="009753FC">
        <w:t xml:space="preserve">, the Underwriter of the </w:t>
      </w:r>
      <w:r>
        <w:t>Series 2019A Senior Bonds</w:t>
      </w:r>
      <w:r w:rsidRPr="009753FC">
        <w:t xml:space="preserve">, has entered into a retail distribution arrangement with its affiliate Morgan Stanley Smith Barney LLC. </w:t>
      </w:r>
      <w:r>
        <w:t xml:space="preserve"> </w:t>
      </w:r>
      <w:r w:rsidRPr="009753FC">
        <w:t>As part of this arrangement, Morgan Stanley</w:t>
      </w:r>
      <w:r>
        <w:t xml:space="preserve"> </w:t>
      </w:r>
      <w:r w:rsidRPr="009753FC">
        <w:t xml:space="preserve">may distribute municipal securities to retail investors through the financial advisor network of Morgan Stanley Smith Barney LLC.  As part of this arrangement, Morgan Stanley may compensate Morgan Stanley Smith Barney LLC for its selling efforts with respect to the </w:t>
      </w:r>
      <w:r>
        <w:t>Series 2019A Senior Bonds</w:t>
      </w:r>
      <w:r w:rsidRPr="009753FC">
        <w:t>.</w:t>
      </w:r>
    </w:p>
    <w:p w:rsidR="006838D0" w:rsidRPr="00393384" w:rsidRDefault="006838D0" w:rsidP="00FD1306">
      <w:pPr>
        <w:pStyle w:val="Kutak1L1"/>
        <w:widowControl w:val="0"/>
        <w:numPr>
          <w:ilvl w:val="0"/>
          <w:numId w:val="23"/>
        </w:numPr>
        <w:rPr>
          <w:szCs w:val="22"/>
        </w:rPr>
      </w:pPr>
      <w:bookmarkStart w:id="91" w:name="_Toc21694963"/>
      <w:r w:rsidRPr="00393384">
        <w:rPr>
          <w:szCs w:val="22"/>
        </w:rPr>
        <w:t>VERIFICATION OF MATHEMATICAL COMPUTATIONS</w:t>
      </w:r>
      <w:bookmarkEnd w:id="91"/>
    </w:p>
    <w:p w:rsidR="006838D0" w:rsidRDefault="006838D0" w:rsidP="00FD1306">
      <w:pPr>
        <w:pStyle w:val="BodyText"/>
        <w:keepNext/>
        <w:keepLines/>
        <w:widowControl w:val="0"/>
      </w:pPr>
      <w:r>
        <w:rPr>
          <w:szCs w:val="22"/>
        </w:rPr>
        <w:t xml:space="preserve">Causey </w:t>
      </w:r>
      <w:proofErr w:type="spellStart"/>
      <w:r>
        <w:rPr>
          <w:szCs w:val="22"/>
        </w:rPr>
        <w:t>Demgen</w:t>
      </w:r>
      <w:proofErr w:type="spellEnd"/>
      <w:r>
        <w:rPr>
          <w:szCs w:val="22"/>
        </w:rPr>
        <w:t xml:space="preserve"> &amp; Moore P.C.</w:t>
      </w:r>
      <w:r w:rsidRPr="00393384">
        <w:rPr>
          <w:szCs w:val="22"/>
        </w:rPr>
        <w:t>, the Verification Agent, will verify</w:t>
      </w:r>
      <w:r>
        <w:rPr>
          <w:szCs w:val="22"/>
        </w:rPr>
        <w:t xml:space="preserve"> </w:t>
      </w:r>
      <w:r w:rsidRPr="00393384">
        <w:rPr>
          <w:szCs w:val="22"/>
        </w:rPr>
        <w:t xml:space="preserve">the mathematical accuracy of the computations contained in the schedules </w:t>
      </w:r>
      <w:r>
        <w:rPr>
          <w:szCs w:val="22"/>
        </w:rPr>
        <w:t xml:space="preserve">provided by </w:t>
      </w:r>
      <w:r w:rsidR="0011179E" w:rsidRPr="00490ED2">
        <w:t>Stifel, Nicolaus &amp; Company, Incorporated</w:t>
      </w:r>
      <w:r w:rsidR="0011179E">
        <w:t>,</w:t>
      </w:r>
      <w:r w:rsidRPr="00DF27B5">
        <w:rPr>
          <w:szCs w:val="22"/>
        </w:rPr>
        <w:t xml:space="preserve"> </w:t>
      </w:r>
      <w:r w:rsidRPr="00393384">
        <w:rPr>
          <w:szCs w:val="22"/>
        </w:rPr>
        <w:t>to determine that the amounts to be held in the Escrow Fund</w:t>
      </w:r>
      <w:r>
        <w:rPr>
          <w:szCs w:val="22"/>
        </w:rPr>
        <w:t xml:space="preserve"> </w:t>
      </w:r>
      <w:r w:rsidR="00F73146" w:rsidRPr="0067484B">
        <w:t xml:space="preserve">will be sufficient to pay </w:t>
      </w:r>
      <w:r w:rsidR="00F73146">
        <w:t>(a) the interest on the Refunded Bonds on June 1, 2020, and (b) the</w:t>
      </w:r>
      <w:r w:rsidR="00F73146" w:rsidRPr="0067484B">
        <w:t xml:space="preserve"> redemption price of and interest on </w:t>
      </w:r>
      <w:r w:rsidR="00F73146">
        <w:t xml:space="preserve">the </w:t>
      </w:r>
      <w:r w:rsidR="00F73146" w:rsidRPr="0067484B">
        <w:t xml:space="preserve">Refunded Bonds on </w:t>
      </w:r>
      <w:r w:rsidR="00F73146">
        <w:t>December 1, 2020</w:t>
      </w:r>
      <w:r w:rsidR="00F73146" w:rsidRPr="0067484B">
        <w:t>.</w:t>
      </w:r>
    </w:p>
    <w:p w:rsidR="002E4A0D" w:rsidRDefault="00296DBE" w:rsidP="00E744C1">
      <w:pPr>
        <w:pStyle w:val="Kutak1L1"/>
      </w:pPr>
      <w:bookmarkStart w:id="92" w:name="_Toc21694964"/>
      <w:r>
        <w:t>MUNICIPAL ADVISOR</w:t>
      </w:r>
      <w:bookmarkEnd w:id="92"/>
    </w:p>
    <w:p w:rsidR="009B0D39" w:rsidRDefault="00490ED2" w:rsidP="002E4A0D">
      <w:pPr>
        <w:pStyle w:val="BodyText"/>
      </w:pPr>
      <w:r w:rsidRPr="00490ED2">
        <w:t xml:space="preserve">Stifel, Nicolaus &amp; Company, Incorporated, Denver, Colorado, is acting as </w:t>
      </w:r>
      <w:r>
        <w:t>Municipal Advisor</w:t>
      </w:r>
      <w:r w:rsidRPr="00490ED2">
        <w:t xml:space="preserve"> to </w:t>
      </w:r>
      <w:r>
        <w:t xml:space="preserve">the Bridge enterprise </w:t>
      </w:r>
      <w:r w:rsidRPr="00490ED2">
        <w:t xml:space="preserve">in connection with </w:t>
      </w:r>
      <w:r>
        <w:t>the issuance of the Series 2019A Senior Bonds</w:t>
      </w:r>
      <w:r w:rsidRPr="00490ED2">
        <w:t xml:space="preserve">, and in such capacity has assisted in the preparation of this Official Statement and other matters relating to the planning, structuring, rating and execution and delivery of the </w:t>
      </w:r>
      <w:r>
        <w:t>Series 2019A Senior Bonds</w:t>
      </w:r>
      <w:r w:rsidRPr="00490ED2">
        <w:t xml:space="preserve">.  The </w:t>
      </w:r>
      <w:r>
        <w:t>Municipal Advisor</w:t>
      </w:r>
      <w:r w:rsidRPr="00490ED2">
        <w:t xml:space="preserve"> is not obligated to undertake, and has not undertaken, either to make an independent verification of or to assume responsibility for the accuracy or completeness of the information contained in this Official Statement.  The </w:t>
      </w:r>
      <w:r>
        <w:t>Municipal Advisor</w:t>
      </w:r>
      <w:r w:rsidRPr="00490ED2">
        <w:t xml:space="preserve"> will act as an independent advisory firm and will not be engaged in underwriting or distributing the </w:t>
      </w:r>
      <w:r>
        <w:t>Series 2019A Senior Bonds</w:t>
      </w:r>
      <w:r w:rsidRPr="00490ED2">
        <w:t xml:space="preserve">.  </w:t>
      </w:r>
      <w:r>
        <w:t>[</w:t>
      </w:r>
      <w:r w:rsidRPr="00490ED2">
        <w:t xml:space="preserve">The </w:t>
      </w:r>
      <w:r>
        <w:t>Municipal Advisor</w:t>
      </w:r>
      <w:r w:rsidRPr="00490ED2">
        <w:t xml:space="preserve">’s fee for services rendered with respect to the sale of the </w:t>
      </w:r>
      <w:r>
        <w:t>Series 2019A Senior Bonds</w:t>
      </w:r>
      <w:r w:rsidRPr="00490ED2">
        <w:t xml:space="preserve"> is not contingent upon the </w:t>
      </w:r>
      <w:r>
        <w:t>issuance of the Series 2019A Senior Bonds</w:t>
      </w:r>
      <w:r w:rsidRPr="00490ED2">
        <w:t>.</w:t>
      </w:r>
      <w:r>
        <w:t>]</w:t>
      </w:r>
    </w:p>
    <w:p w:rsidR="002E4A0D" w:rsidRDefault="002E4A0D" w:rsidP="00E744C1">
      <w:pPr>
        <w:pStyle w:val="Kutak1L1"/>
      </w:pPr>
      <w:bookmarkStart w:id="93" w:name="_Toc21694965"/>
      <w:r>
        <w:t>CERTAIN LEGAL MATTERS</w:t>
      </w:r>
      <w:bookmarkEnd w:id="93"/>
    </w:p>
    <w:p w:rsidR="002E4A0D" w:rsidRDefault="00EF2D0F" w:rsidP="002E4A0D">
      <w:pPr>
        <w:pStyle w:val="BodyText"/>
      </w:pPr>
      <w:r w:rsidRPr="00060C1A">
        <w:t xml:space="preserve">All legal matters incident to the validity and enforceability of the </w:t>
      </w:r>
      <w:r>
        <w:t>Series 2019A Senior Bonds</w:t>
      </w:r>
      <w:r w:rsidRPr="00060C1A">
        <w:t xml:space="preserve">, as well as the treatment of interest on the </w:t>
      </w:r>
      <w:r>
        <w:t xml:space="preserve">Series 2019A Senior Bonds </w:t>
      </w:r>
      <w:r w:rsidRPr="00060C1A">
        <w:t xml:space="preserve"> for purposes of federal and State income taxation, are subject to the approving legal opinion of Kutak Rock LLP, as </w:t>
      </w:r>
      <w:r>
        <w:t xml:space="preserve">Bond </w:t>
      </w:r>
      <w:r w:rsidRPr="00060C1A">
        <w:t>Counsel</w:t>
      </w:r>
      <w:r>
        <w:t xml:space="preserve"> to the Bridge Enterprise</w:t>
      </w:r>
      <w:r w:rsidRPr="00060C1A">
        <w:t xml:space="preserve">.  A form of the opinion of </w:t>
      </w:r>
      <w:r>
        <w:t>Bond</w:t>
      </w:r>
      <w:r w:rsidRPr="00060C1A">
        <w:t xml:space="preserve"> Counsel is appended to this Official Statement</w:t>
      </w:r>
      <w:r>
        <w:t xml:space="preserve"> as Appendix F</w:t>
      </w:r>
      <w:r w:rsidRPr="00060C1A">
        <w:t xml:space="preserve">.  Kutak Rock LLP also has served as disclosure counsel to </w:t>
      </w:r>
      <w:r>
        <w:t xml:space="preserve">the Bridge Enterprise </w:t>
      </w:r>
      <w:r w:rsidRPr="00060C1A">
        <w:t xml:space="preserve">in connection with the preparation of this Official Statement.  Certain legal matters will be passed upon for </w:t>
      </w:r>
      <w:r>
        <w:t xml:space="preserve">the Bridge Enterprise </w:t>
      </w:r>
      <w:r w:rsidRPr="00060C1A">
        <w:t xml:space="preserve">by the Office of the Attorney General of the State.  Certain legal matters will be passed upon for the Underwriter by their counsel, </w:t>
      </w:r>
      <w:r w:rsidRPr="005D796E">
        <w:t>Hogan Lovells US LLP</w:t>
      </w:r>
      <w:r w:rsidRPr="00060C1A">
        <w:t xml:space="preserve">.  Payment of legal fees to Kutak Rock LLP is contingent upon the </w:t>
      </w:r>
      <w:r>
        <w:t>issuance of the Series 2019A Senior Bonds</w:t>
      </w:r>
      <w:r w:rsidR="002E4A0D">
        <w:t>.</w:t>
      </w:r>
    </w:p>
    <w:p w:rsidR="002E4A0D" w:rsidRDefault="002E4A0D" w:rsidP="00E744C1">
      <w:pPr>
        <w:pStyle w:val="Kutak1L1"/>
      </w:pPr>
      <w:bookmarkStart w:id="94" w:name="_Toc21694966"/>
      <w:r>
        <w:t>MISCELLANEOUS</w:t>
      </w:r>
      <w:bookmarkEnd w:id="94"/>
    </w:p>
    <w:p w:rsidR="00490ED2" w:rsidRPr="00060C1A" w:rsidRDefault="00490ED2" w:rsidP="00490ED2">
      <w:pPr>
        <w:pStyle w:val="BodyText"/>
      </w:pPr>
      <w:r>
        <w:t>T</w:t>
      </w:r>
      <w:r w:rsidRPr="00060C1A">
        <w:t xml:space="preserve">he cover page, inside front cover page, prefatory notices and appendices to this Official Statement are integral parts hereof and must be read together with all other parts of this Official Statement.  The descriptions of the documents, statutes, reports or other instruments included herein do not purport to be comprehensive or definitive and are qualified in the entirety by reference to each such document, statute, report or other instrument.  During the offering period of the </w:t>
      </w:r>
      <w:r>
        <w:t>Series 2019A Senior Bonds,</w:t>
      </w:r>
      <w:r w:rsidRPr="00060C1A">
        <w:t xml:space="preserve"> copies of the documents referred to herein may be obtained from the </w:t>
      </w:r>
      <w:r>
        <w:t xml:space="preserve">Municipal </w:t>
      </w:r>
      <w:r w:rsidRPr="00060C1A">
        <w:t xml:space="preserve">Advisor or the Underwriter as provided in </w:t>
      </w:r>
      <w:r>
        <w:t>“</w:t>
      </w:r>
      <w:r w:rsidRPr="00060C1A">
        <w:t>INTRODUCTION—Additional Information.</w:t>
      </w:r>
      <w:r>
        <w:t>”</w:t>
      </w:r>
      <w:r w:rsidRPr="00060C1A">
        <w:t xml:space="preserve">  So far as any statements made in this Official Statement involve matters of opinion, forecasts, projections or estimates, whether or not expressly stated, they are set forth as such and not as representations of fact.</w:t>
      </w:r>
    </w:p>
    <w:p w:rsidR="00FD1306" w:rsidRPr="00060C1A" w:rsidRDefault="00FD1306" w:rsidP="00FD1306">
      <w:pPr>
        <w:pStyle w:val="Kutak1L1"/>
        <w:widowControl w:val="0"/>
      </w:pPr>
      <w:bookmarkStart w:id="95" w:name="_Toc21694967"/>
      <w:r w:rsidRPr="00060C1A">
        <w:t>OFFICIAL STATEMENT CERTIFICATION</w:t>
      </w:r>
      <w:bookmarkEnd w:id="95"/>
    </w:p>
    <w:p w:rsidR="00FD1306" w:rsidRPr="00060C1A" w:rsidRDefault="00FD1306" w:rsidP="00FD1306">
      <w:pPr>
        <w:pStyle w:val="BodyText"/>
        <w:keepNext/>
        <w:keepLines/>
        <w:widowControl w:val="0"/>
      </w:pPr>
      <w:r w:rsidRPr="00060C1A">
        <w:t xml:space="preserve">The preparation and distribution of this Official Statement have been authorized by </w:t>
      </w:r>
      <w:r>
        <w:t>the Bridge Enterprise</w:t>
      </w:r>
      <w:r w:rsidRPr="00060C1A">
        <w:t xml:space="preserve">.  This Official Statement </w:t>
      </w:r>
      <w:r>
        <w:t>has been duly executed and delivered by the Director of the Bridge Enterprise on behalf of the Bridge Enterprise</w:t>
      </w:r>
      <w:r w:rsidRPr="00060C1A">
        <w:t>.</w:t>
      </w:r>
    </w:p>
    <w:p w:rsidR="002E4A0D" w:rsidRDefault="002E4A0D" w:rsidP="008A2FA0">
      <w:pPr>
        <w:pStyle w:val="PleadingSignature"/>
        <w:tabs>
          <w:tab w:val="clear" w:pos="5040"/>
        </w:tabs>
        <w:spacing w:after="720"/>
        <w:jc w:val="left"/>
      </w:pPr>
      <w:r>
        <w:t>STATE OF COLORADO</w:t>
      </w:r>
      <w:r w:rsidR="008A2FA0">
        <w:br/>
      </w:r>
      <w:r w:rsidR="001B2DD2">
        <w:t xml:space="preserve">Jared </w:t>
      </w:r>
      <w:r w:rsidR="001078DF">
        <w:t xml:space="preserve">S. </w:t>
      </w:r>
      <w:r w:rsidR="001B2DD2">
        <w:t>Polis</w:t>
      </w:r>
      <w:r>
        <w:t>, Governor</w:t>
      </w:r>
      <w:r w:rsidR="008A2FA0">
        <w:br/>
      </w:r>
      <w:r>
        <w:t>COLORADO BRIDGE ENTERPRISE</w:t>
      </w:r>
    </w:p>
    <w:p w:rsidR="002E4A0D" w:rsidRPr="008A2FA0" w:rsidRDefault="008A2FA0" w:rsidP="008A2FA0">
      <w:pPr>
        <w:pStyle w:val="PleadingSignature"/>
        <w:tabs>
          <w:tab w:val="clear" w:pos="5040"/>
        </w:tabs>
        <w:jc w:val="left"/>
      </w:pPr>
      <w:r>
        <w:t>By</w:t>
      </w:r>
      <w:r>
        <w:rPr>
          <w:u w:val="single"/>
        </w:rPr>
        <w:tab/>
      </w:r>
    </w:p>
    <w:p w:rsidR="002E4A0D" w:rsidRDefault="002E4A0D" w:rsidP="008A2FA0">
      <w:pPr>
        <w:pStyle w:val="PleadingSignature"/>
        <w:tabs>
          <w:tab w:val="clear" w:pos="5040"/>
        </w:tabs>
        <w:ind w:left="5040"/>
        <w:jc w:val="left"/>
      </w:pPr>
      <w:r>
        <w:t>Director of the Colorado</w:t>
      </w:r>
      <w:r w:rsidR="008A2FA0">
        <w:t xml:space="preserve"> </w:t>
      </w:r>
      <w:r>
        <w:t>Bridge Enterprise</w:t>
      </w:r>
    </w:p>
    <w:p w:rsidR="00086FB4" w:rsidRDefault="00086FB4" w:rsidP="002E4A0D">
      <w:pPr>
        <w:pStyle w:val="BodyText"/>
        <w:sectPr w:rsidR="00086FB4" w:rsidSect="00BE5983">
          <w:headerReference w:type="even" r:id="rId44"/>
          <w:headerReference w:type="default" r:id="rId45"/>
          <w:footerReference w:type="even" r:id="rId46"/>
          <w:footerReference w:type="default" r:id="rId47"/>
          <w:headerReference w:type="first" r:id="rId48"/>
          <w:footerReference w:type="first" r:id="rId49"/>
          <w:footnotePr>
            <w:numFmt w:val="chicago"/>
            <w:numRestart w:val="eachPage"/>
          </w:footnotePr>
          <w:pgSz w:w="12240" w:h="15840" w:code="1"/>
          <w:pgMar w:top="1440" w:right="1440" w:bottom="1440" w:left="1440" w:header="720" w:footer="720" w:gutter="0"/>
          <w:cols w:space="720"/>
          <w:titlePg/>
          <w:docGrid w:linePitch="360"/>
        </w:sectPr>
      </w:pPr>
    </w:p>
    <w:p w:rsidR="007B58BD" w:rsidRDefault="002E4A0D" w:rsidP="007B58BD">
      <w:pPr>
        <w:pStyle w:val="Heading1"/>
      </w:pPr>
      <w:bookmarkStart w:id="98" w:name="_Toc21694968"/>
      <w:r w:rsidRPr="006F0FF7">
        <w:t>APPENDIX</w:t>
      </w:r>
      <w:r>
        <w:t xml:space="preserve"> A</w:t>
      </w:r>
      <w:r w:rsidR="000B3B31">
        <w:t>-1</w:t>
      </w:r>
      <w:r w:rsidR="006F0FF7">
        <w:br/>
      </w:r>
      <w:r w:rsidR="00EF32BC">
        <w:br/>
      </w:r>
      <w:r w:rsidR="007B58BD">
        <w:t>AUDITED FINANCIAL STATEMENTS OF COLORADO BRIDGE ENTERPRISE</w:t>
      </w:r>
      <w:r w:rsidR="007B58BD">
        <w:br/>
        <w:t>FOR THE FISCAL YEARS ENDED JUNE 30, 2018 AND 2017</w:t>
      </w:r>
      <w:bookmarkEnd w:id="98"/>
    </w:p>
    <w:p w:rsidR="007B58BD" w:rsidRDefault="007B58BD" w:rsidP="007B58BD">
      <w:pPr>
        <w:pStyle w:val="Heading1"/>
        <w:sectPr w:rsidR="007B58BD" w:rsidSect="00E222CA">
          <w:footerReference w:type="default" r:id="rId50"/>
          <w:footerReference w:type="first" r:id="rId51"/>
          <w:pgSz w:w="12240" w:h="15840" w:code="1"/>
          <w:pgMar w:top="1440" w:right="1440" w:bottom="1440" w:left="1440" w:header="720" w:footer="720" w:gutter="0"/>
          <w:pgNumType w:start="1"/>
          <w:cols w:space="720"/>
          <w:titlePg/>
          <w:docGrid w:linePitch="360"/>
        </w:sectPr>
      </w:pPr>
    </w:p>
    <w:p w:rsidR="000B3B31" w:rsidRPr="000B3B31" w:rsidRDefault="000B3B31" w:rsidP="000B3B31">
      <w:pPr>
        <w:pStyle w:val="TOC1"/>
        <w:ind w:left="0" w:right="0" w:firstLine="0"/>
        <w:jc w:val="center"/>
        <w:rPr>
          <w:b/>
          <w:sz w:val="24"/>
          <w:szCs w:val="24"/>
        </w:rPr>
      </w:pPr>
      <w:r w:rsidRPr="000B3B31">
        <w:rPr>
          <w:b/>
          <w:sz w:val="24"/>
          <w:szCs w:val="24"/>
        </w:rPr>
        <w:t>APPENDIX A-2</w:t>
      </w:r>
      <w:r>
        <w:rPr>
          <w:b/>
          <w:sz w:val="24"/>
          <w:szCs w:val="24"/>
        </w:rPr>
        <w:br/>
      </w:r>
      <w:r>
        <w:rPr>
          <w:b/>
          <w:sz w:val="24"/>
          <w:szCs w:val="24"/>
        </w:rPr>
        <w:br/>
      </w:r>
      <w:r w:rsidRPr="000B3B31">
        <w:rPr>
          <w:b/>
          <w:sz w:val="24"/>
          <w:szCs w:val="24"/>
        </w:rPr>
        <w:tab/>
        <w:t>CERTAIN UNAUDITED FINANCIAL INFORMATION OF COLORADO BRIDGE ENTERPRISE FOR THE FISCAL YEAR ENDED JUNE 30, 2019</w:t>
      </w:r>
    </w:p>
    <w:p w:rsidR="000B3B31" w:rsidRDefault="000B3B31" w:rsidP="006F0FF7">
      <w:pPr>
        <w:pStyle w:val="Heading1"/>
        <w:sectPr w:rsidR="000B3B31" w:rsidSect="00E222CA">
          <w:pgSz w:w="12240" w:h="15840" w:code="1"/>
          <w:pgMar w:top="1440" w:right="1440" w:bottom="1440" w:left="1440" w:header="720" w:footer="720" w:gutter="0"/>
          <w:pgNumType w:start="1"/>
          <w:cols w:space="720"/>
          <w:titlePg/>
          <w:docGrid w:linePitch="360"/>
        </w:sectPr>
      </w:pPr>
    </w:p>
    <w:p w:rsidR="00A5175D" w:rsidRDefault="00A5175D" w:rsidP="006F0FF7">
      <w:pPr>
        <w:pStyle w:val="Heading1"/>
        <w:sectPr w:rsidR="00A5175D" w:rsidSect="00E222CA">
          <w:pgSz w:w="12240" w:h="15840" w:code="1"/>
          <w:pgMar w:top="1440" w:right="1440" w:bottom="1440" w:left="1440" w:header="720" w:footer="720" w:gutter="0"/>
          <w:pgNumType w:start="1"/>
          <w:cols w:space="720"/>
          <w:titlePg/>
          <w:docGrid w:linePitch="360"/>
        </w:sectPr>
      </w:pPr>
      <w:bookmarkStart w:id="101" w:name="_Toc21694969"/>
      <w:r>
        <w:t>APPENDIX B</w:t>
      </w:r>
      <w:r>
        <w:br/>
      </w:r>
      <w:r>
        <w:br/>
      </w:r>
      <w:r w:rsidR="00B56F59">
        <w:t xml:space="preserve">OSPB </w:t>
      </w:r>
      <w:r w:rsidR="008F7862">
        <w:t>SEPTEMBER</w:t>
      </w:r>
      <w:r w:rsidR="00B56F59">
        <w:t xml:space="preserve"> 2019 REVENUE FORECAST</w:t>
      </w:r>
      <w:r>
        <w:br/>
      </w:r>
      <w:r>
        <w:br/>
      </w:r>
      <w:bookmarkEnd w:id="101"/>
    </w:p>
    <w:p w:rsidR="002E4A0D" w:rsidRDefault="00A5175D" w:rsidP="006F0FF7">
      <w:pPr>
        <w:pStyle w:val="Heading1"/>
      </w:pPr>
      <w:bookmarkStart w:id="102" w:name="_Toc21694970"/>
      <w:r>
        <w:t>APPENDIX C</w:t>
      </w:r>
      <w:r>
        <w:br/>
      </w:r>
      <w:r>
        <w:br/>
      </w:r>
      <w:r w:rsidR="002E4A0D">
        <w:t>CERTAIN STATE ECONOMIC AND DEMOGRAPHIC INFORMATION</w:t>
      </w:r>
      <w:bookmarkEnd w:id="102"/>
    </w:p>
    <w:p w:rsidR="00E81EA5" w:rsidRPr="005B1ADC" w:rsidRDefault="00E81EA5" w:rsidP="00E81EA5">
      <w:pPr>
        <w:pStyle w:val="BodyText"/>
        <w:rPr>
          <w:szCs w:val="22"/>
        </w:rPr>
      </w:pPr>
      <w:r w:rsidRPr="005B1ADC">
        <w:rPr>
          <w:szCs w:val="22"/>
        </w:rPr>
        <w:t xml:space="preserve">The following information was prepared and provided by Development Research Partners, Inc. to give prospective investors general information concerning selected economic and demographic conditions existing in Colorado as of the dates indicated.  See also “INTRODUCTION—State Economic and Demographic Information.”  The statistics have been obtained from the referenced sources and represent the most current information available as of </w:t>
      </w:r>
      <w:r w:rsidR="002431A0">
        <w:rPr>
          <w:szCs w:val="22"/>
        </w:rPr>
        <w:t>May</w:t>
      </w:r>
      <w:r>
        <w:rPr>
          <w:szCs w:val="22"/>
        </w:rPr>
        <w:t xml:space="preserve"> 2019</w:t>
      </w:r>
      <w:r w:rsidRPr="005B1ADC">
        <w:rPr>
          <w:szCs w:val="22"/>
        </w:rPr>
        <w:t xml:space="preserve"> from the sources indicated; however, since certain information is released with a significant time lag, the information in some cases will not be indicative of existing or future economic and demographic conditions.  Further, the reported data has not been adjusted to reflect economic trends, notably inflation.  Finally, other economic and demographic information concerning the State not presented herein may be available, and prospective investors may want to review such information prior to making their investment decision.  </w:t>
      </w:r>
      <w:r w:rsidRPr="002431A0">
        <w:rPr>
          <w:i/>
          <w:szCs w:val="22"/>
        </w:rPr>
        <w:t>The following information is not to be relied upon as a representation or guarantee of the Bridge Enterprise, CDOT or the State or any officer or employee of or advisor to the Bridge Enterprise, CDOT or the State</w:t>
      </w:r>
      <w:r w:rsidRPr="005B1ADC">
        <w:rPr>
          <w:szCs w:val="22"/>
        </w:rPr>
        <w:t xml:space="preserve">.  See also “APPENDIX </w:t>
      </w:r>
      <w:r>
        <w:rPr>
          <w:szCs w:val="22"/>
        </w:rPr>
        <w:t>B</w:t>
      </w:r>
      <w:r w:rsidRPr="005B1ADC">
        <w:rPr>
          <w:szCs w:val="22"/>
        </w:rPr>
        <w:t xml:space="preserve">—OSPB </w:t>
      </w:r>
      <w:r w:rsidR="008F7862">
        <w:rPr>
          <w:szCs w:val="22"/>
        </w:rPr>
        <w:t>SEPTEMBER</w:t>
      </w:r>
      <w:r>
        <w:rPr>
          <w:szCs w:val="22"/>
        </w:rPr>
        <w:t xml:space="preserve"> 2019</w:t>
      </w:r>
      <w:r w:rsidRPr="005B1ADC">
        <w:rPr>
          <w:szCs w:val="22"/>
        </w:rPr>
        <w:t xml:space="preserve"> REVENUE FORECAST.”</w:t>
      </w:r>
    </w:p>
    <w:p w:rsidR="00E81EA5" w:rsidRPr="005B1ADC" w:rsidRDefault="00E81EA5" w:rsidP="00E81EA5">
      <w:pPr>
        <w:pStyle w:val="LeftHeading"/>
        <w:rPr>
          <w:szCs w:val="22"/>
        </w:rPr>
      </w:pPr>
      <w:r w:rsidRPr="005B1ADC">
        <w:rPr>
          <w:szCs w:val="22"/>
        </w:rPr>
        <w:t>Overview</w:t>
      </w:r>
    </w:p>
    <w:p w:rsidR="00E81EA5" w:rsidRPr="005B1ADC" w:rsidRDefault="00E81EA5" w:rsidP="00E81EA5">
      <w:pPr>
        <w:pStyle w:val="BodyText"/>
        <w:rPr>
          <w:szCs w:val="22"/>
        </w:rPr>
      </w:pPr>
      <w:r w:rsidRPr="005B1ADC">
        <w:rPr>
          <w:szCs w:val="22"/>
        </w:rPr>
        <w:t>Colorado, the most populous state in the Rocky Mountain region, has three distinct geographic and economic areas.  The eastern half of the State consists of the eastern plains, which are flat, open and largely devoted to agriculture.  The Front Range lies along the eastern base of the Rocky Mountains and contains most of the State’s metropolitan areas.  The western half of the State—which includes the Rocky Mountains and the Western Slope—includes many acres of national park and forest land and significant reserves of minerals, natural gas and other resources.</w:t>
      </w:r>
    </w:p>
    <w:p w:rsidR="00E81EA5" w:rsidRPr="005B1ADC" w:rsidRDefault="00E81EA5" w:rsidP="00E81EA5">
      <w:pPr>
        <w:pStyle w:val="BodyText"/>
        <w:rPr>
          <w:szCs w:val="22"/>
        </w:rPr>
      </w:pPr>
      <w:r w:rsidRPr="005B1ADC">
        <w:rPr>
          <w:szCs w:val="22"/>
        </w:rPr>
        <w:t>The State’s population and wealth are concentrated in the Front Range, principally in four major metropolitan areas: Denver/Boulder, Colorado Springs, Fort Collins/Greeley and Pueblo.  Denver, the State’s capital, is the economic center of the State and the Rocky Mountain region.  About 56% of the State’s population and 62% of its jobs are located in the Denver/Boulder metropolitan area, which is a hub for transportation, communication, financial activities and professional and business services.  The aerospace, bioscience and energy industries are also key contributors to economic growth in the Denver/Boulder metropolitan area and the State as a whole.</w:t>
      </w:r>
    </w:p>
    <w:p w:rsidR="00E81EA5" w:rsidRPr="005B1ADC" w:rsidRDefault="00E81EA5" w:rsidP="00E81EA5">
      <w:pPr>
        <w:pStyle w:val="BodyText"/>
        <w:rPr>
          <w:szCs w:val="22"/>
        </w:rPr>
      </w:pPr>
      <w:r w:rsidRPr="005B1ADC">
        <w:rPr>
          <w:szCs w:val="22"/>
        </w:rPr>
        <w:t xml:space="preserve">The State’s economic performance depends heavily on economic performance at the national level.  See also “APPENDIX </w:t>
      </w:r>
      <w:r w:rsidR="005D5772">
        <w:rPr>
          <w:szCs w:val="22"/>
        </w:rPr>
        <w:t>B</w:t>
      </w:r>
      <w:r w:rsidRPr="005B1ADC">
        <w:rPr>
          <w:szCs w:val="22"/>
        </w:rPr>
        <w:t xml:space="preserve">—OSPB </w:t>
      </w:r>
      <w:r w:rsidR="008F7862">
        <w:rPr>
          <w:szCs w:val="22"/>
        </w:rPr>
        <w:t>SEPTEMBER</w:t>
      </w:r>
      <w:r w:rsidR="005D5772">
        <w:rPr>
          <w:szCs w:val="22"/>
        </w:rPr>
        <w:t xml:space="preserve"> 2019</w:t>
      </w:r>
      <w:r w:rsidRPr="005B1ADC">
        <w:rPr>
          <w:szCs w:val="22"/>
        </w:rPr>
        <w:t xml:space="preserve"> REVENUE FORECAST.”</w:t>
      </w:r>
    </w:p>
    <w:p w:rsidR="00F46BAA" w:rsidRDefault="00F46BAA" w:rsidP="00F46BAA">
      <w:pPr>
        <w:pStyle w:val="LeftHeading"/>
      </w:pPr>
      <w:r>
        <w:br w:type="page"/>
      </w:r>
    </w:p>
    <w:p w:rsidR="002E4A0D" w:rsidRDefault="002E4A0D" w:rsidP="00F46BAA">
      <w:pPr>
        <w:pStyle w:val="LeftHeading"/>
      </w:pPr>
      <w:r>
        <w:t>Population and Age Distribution</w:t>
      </w:r>
    </w:p>
    <w:p w:rsidR="008149CD" w:rsidRPr="008149CD" w:rsidRDefault="008149CD" w:rsidP="00225E2F">
      <w:pPr>
        <w:pStyle w:val="BodyText"/>
      </w:pPr>
      <w:r w:rsidRPr="008149CD">
        <w:t xml:space="preserve">The following table provides population figures for </w:t>
      </w:r>
      <w:r w:rsidR="002431A0">
        <w:t xml:space="preserve">Colorado </w:t>
      </w:r>
      <w:r w:rsidRPr="008149CD">
        <w:t>and t</w:t>
      </w:r>
      <w:r w:rsidR="00225E2F">
        <w:t xml:space="preserve">he United States </w:t>
      </w:r>
      <w:r w:rsidR="002431A0">
        <w:t>for the past 10 years</w:t>
      </w:r>
      <w:r w:rsidRPr="008149CD">
        <w:t>.</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584"/>
        <w:gridCol w:w="1584"/>
        <w:gridCol w:w="1584"/>
        <w:gridCol w:w="1584"/>
      </w:tblGrid>
      <w:tr w:rsidR="008149CD" w:rsidRPr="008149CD" w:rsidTr="00365EBF">
        <w:trPr>
          <w:jc w:val="center"/>
        </w:trPr>
        <w:tc>
          <w:tcPr>
            <w:tcW w:w="7920" w:type="dxa"/>
            <w:gridSpan w:val="5"/>
            <w:vAlign w:val="bottom"/>
          </w:tcPr>
          <w:p w:rsidR="008149CD" w:rsidRPr="008149CD" w:rsidRDefault="00225E2F" w:rsidP="00225E2F">
            <w:pPr>
              <w:keepNext/>
              <w:spacing w:after="240"/>
              <w:jc w:val="center"/>
              <w:rPr>
                <w:b/>
              </w:rPr>
            </w:pPr>
            <w:r>
              <w:rPr>
                <w:b/>
              </w:rPr>
              <w:t>Population Estimates</w:t>
            </w:r>
            <w:r>
              <w:rPr>
                <w:b/>
              </w:rPr>
              <w:br/>
            </w:r>
            <w:r w:rsidR="005D5772">
              <w:rPr>
                <w:b/>
              </w:rPr>
              <w:t>(</w:t>
            </w:r>
            <w:r>
              <w:rPr>
                <w:b/>
              </w:rPr>
              <w:t>A</w:t>
            </w:r>
            <w:r w:rsidR="008149CD" w:rsidRPr="008149CD">
              <w:rPr>
                <w:b/>
              </w:rPr>
              <w:t>s of July 1</w:t>
            </w:r>
            <w:r w:rsidR="005D5772">
              <w:rPr>
                <w:b/>
              </w:rPr>
              <w:t>)</w:t>
            </w:r>
          </w:p>
        </w:tc>
      </w:tr>
      <w:tr w:rsidR="008149CD" w:rsidRPr="008149CD" w:rsidTr="00365EBF">
        <w:trPr>
          <w:jc w:val="center"/>
        </w:trPr>
        <w:tc>
          <w:tcPr>
            <w:tcW w:w="1584" w:type="dxa"/>
            <w:vAlign w:val="bottom"/>
          </w:tcPr>
          <w:p w:rsidR="008149CD" w:rsidRPr="008149CD" w:rsidRDefault="008149CD" w:rsidP="005D5772">
            <w:pPr>
              <w:keepNext/>
              <w:spacing w:after="60"/>
              <w:jc w:val="center"/>
              <w:rPr>
                <w:b/>
              </w:rPr>
            </w:pPr>
          </w:p>
        </w:tc>
        <w:tc>
          <w:tcPr>
            <w:tcW w:w="3168" w:type="dxa"/>
            <w:gridSpan w:val="2"/>
            <w:vAlign w:val="bottom"/>
          </w:tcPr>
          <w:p w:rsidR="005D5772" w:rsidRPr="008149CD" w:rsidRDefault="008149CD" w:rsidP="005D5772">
            <w:pPr>
              <w:keepNext/>
              <w:pBdr>
                <w:bottom w:val="single" w:sz="4" w:space="1" w:color="auto"/>
              </w:pBdr>
              <w:spacing w:after="60"/>
              <w:jc w:val="center"/>
              <w:rPr>
                <w:b/>
              </w:rPr>
            </w:pPr>
            <w:r w:rsidRPr="008149CD">
              <w:rPr>
                <w:b/>
              </w:rPr>
              <w:t>Colorado</w:t>
            </w:r>
          </w:p>
        </w:tc>
        <w:tc>
          <w:tcPr>
            <w:tcW w:w="3168" w:type="dxa"/>
            <w:gridSpan w:val="2"/>
            <w:vAlign w:val="bottom"/>
          </w:tcPr>
          <w:p w:rsidR="008149CD" w:rsidRPr="008149CD" w:rsidRDefault="008149CD" w:rsidP="005D5772">
            <w:pPr>
              <w:keepNext/>
              <w:pBdr>
                <w:bottom w:val="single" w:sz="4" w:space="1" w:color="auto"/>
              </w:pBdr>
              <w:spacing w:after="60"/>
              <w:jc w:val="center"/>
              <w:rPr>
                <w:b/>
              </w:rPr>
            </w:pPr>
            <w:r w:rsidRPr="008149CD">
              <w:rPr>
                <w:b/>
              </w:rPr>
              <w:t>United States</w:t>
            </w:r>
          </w:p>
        </w:tc>
      </w:tr>
      <w:tr w:rsidR="008149CD" w:rsidRPr="008149CD" w:rsidTr="00365EBF">
        <w:trPr>
          <w:jc w:val="center"/>
        </w:trPr>
        <w:tc>
          <w:tcPr>
            <w:tcW w:w="1584" w:type="dxa"/>
            <w:vAlign w:val="bottom"/>
          </w:tcPr>
          <w:p w:rsidR="008149CD" w:rsidRPr="008149CD" w:rsidRDefault="008149CD" w:rsidP="005D5772">
            <w:pPr>
              <w:keepNext/>
              <w:spacing w:after="120"/>
              <w:jc w:val="center"/>
              <w:rPr>
                <w:b/>
              </w:rPr>
            </w:pPr>
          </w:p>
        </w:tc>
        <w:tc>
          <w:tcPr>
            <w:tcW w:w="1584" w:type="dxa"/>
            <w:vAlign w:val="bottom"/>
          </w:tcPr>
          <w:p w:rsidR="008149CD" w:rsidRPr="008149CD" w:rsidRDefault="008149CD" w:rsidP="005D5772">
            <w:pPr>
              <w:keepNext/>
              <w:pBdr>
                <w:bottom w:val="single" w:sz="4" w:space="1" w:color="auto"/>
              </w:pBdr>
              <w:spacing w:after="120"/>
              <w:jc w:val="center"/>
              <w:rPr>
                <w:b/>
              </w:rPr>
            </w:pPr>
            <w:r w:rsidRPr="008149CD">
              <w:rPr>
                <w:b/>
              </w:rPr>
              <w:t>Population (millions)</w:t>
            </w:r>
          </w:p>
        </w:tc>
        <w:tc>
          <w:tcPr>
            <w:tcW w:w="1584" w:type="dxa"/>
            <w:vAlign w:val="bottom"/>
          </w:tcPr>
          <w:p w:rsidR="008149CD" w:rsidRPr="008149CD" w:rsidRDefault="008149CD" w:rsidP="005D5772">
            <w:pPr>
              <w:keepNext/>
              <w:pBdr>
                <w:bottom w:val="single" w:sz="4" w:space="1" w:color="auto"/>
              </w:pBdr>
              <w:spacing w:after="120"/>
              <w:jc w:val="center"/>
              <w:rPr>
                <w:b/>
              </w:rPr>
            </w:pPr>
            <w:r w:rsidRPr="008149CD">
              <w:rPr>
                <w:b/>
              </w:rPr>
              <w:t>% Change</w:t>
            </w:r>
          </w:p>
        </w:tc>
        <w:tc>
          <w:tcPr>
            <w:tcW w:w="1584" w:type="dxa"/>
            <w:vAlign w:val="bottom"/>
          </w:tcPr>
          <w:p w:rsidR="008149CD" w:rsidRPr="008149CD" w:rsidRDefault="008149CD" w:rsidP="005D5772">
            <w:pPr>
              <w:keepNext/>
              <w:pBdr>
                <w:bottom w:val="single" w:sz="4" w:space="1" w:color="auto"/>
              </w:pBdr>
              <w:spacing w:after="120"/>
              <w:jc w:val="center"/>
              <w:rPr>
                <w:b/>
              </w:rPr>
            </w:pPr>
            <w:r w:rsidRPr="008149CD">
              <w:rPr>
                <w:b/>
              </w:rPr>
              <w:t>Population (millions)</w:t>
            </w:r>
          </w:p>
        </w:tc>
        <w:tc>
          <w:tcPr>
            <w:tcW w:w="1584" w:type="dxa"/>
            <w:vAlign w:val="bottom"/>
          </w:tcPr>
          <w:p w:rsidR="008149CD" w:rsidRPr="008149CD" w:rsidRDefault="008149CD" w:rsidP="005D5772">
            <w:pPr>
              <w:keepNext/>
              <w:pBdr>
                <w:bottom w:val="single" w:sz="4" w:space="1" w:color="auto"/>
              </w:pBdr>
              <w:spacing w:after="120"/>
              <w:jc w:val="center"/>
              <w:rPr>
                <w:b/>
              </w:rPr>
            </w:pPr>
            <w:r w:rsidRPr="008149CD">
              <w:rPr>
                <w:b/>
              </w:rPr>
              <w:t>% Change</w:t>
            </w:r>
          </w:p>
        </w:tc>
      </w:tr>
      <w:tr w:rsidR="008149CD" w:rsidRPr="008149CD" w:rsidTr="00365EBF">
        <w:trPr>
          <w:jc w:val="center"/>
        </w:trPr>
        <w:tc>
          <w:tcPr>
            <w:tcW w:w="1584" w:type="dxa"/>
            <w:vAlign w:val="bottom"/>
          </w:tcPr>
          <w:p w:rsidR="008149CD" w:rsidRPr="008149CD" w:rsidRDefault="005D5772" w:rsidP="008149CD">
            <w:pPr>
              <w:keepNext/>
              <w:jc w:val="center"/>
            </w:pPr>
            <w:r>
              <w:t>2008</w:t>
            </w:r>
          </w:p>
        </w:tc>
        <w:tc>
          <w:tcPr>
            <w:tcW w:w="1584" w:type="dxa"/>
            <w:vAlign w:val="bottom"/>
          </w:tcPr>
          <w:p w:rsidR="008149CD" w:rsidRPr="008149CD" w:rsidRDefault="002431A0" w:rsidP="008149CD">
            <w:pPr>
              <w:keepNext/>
              <w:tabs>
                <w:tab w:val="decimal" w:pos="648"/>
              </w:tabs>
              <w:jc w:val="left"/>
            </w:pPr>
            <w:r>
              <w:t>4.9</w:t>
            </w:r>
          </w:p>
        </w:tc>
        <w:tc>
          <w:tcPr>
            <w:tcW w:w="1584" w:type="dxa"/>
            <w:vAlign w:val="bottom"/>
          </w:tcPr>
          <w:p w:rsidR="008149CD" w:rsidRPr="008149CD" w:rsidRDefault="002431A0" w:rsidP="008149CD">
            <w:pPr>
              <w:keepNext/>
              <w:tabs>
                <w:tab w:val="decimal" w:pos="774"/>
              </w:tabs>
              <w:jc w:val="left"/>
            </w:pPr>
            <w:r>
              <w:t>1.7</w:t>
            </w:r>
            <w:r w:rsidR="008149CD" w:rsidRPr="008149CD">
              <w:t>%</w:t>
            </w:r>
          </w:p>
        </w:tc>
        <w:tc>
          <w:tcPr>
            <w:tcW w:w="1584" w:type="dxa"/>
            <w:vAlign w:val="bottom"/>
          </w:tcPr>
          <w:p w:rsidR="008149CD" w:rsidRPr="008149CD" w:rsidRDefault="002431A0" w:rsidP="008149CD">
            <w:pPr>
              <w:keepNext/>
              <w:tabs>
                <w:tab w:val="decimal" w:pos="720"/>
              </w:tabs>
              <w:jc w:val="left"/>
            </w:pPr>
            <w:r>
              <w:t>304.0</w:t>
            </w:r>
          </w:p>
        </w:tc>
        <w:tc>
          <w:tcPr>
            <w:tcW w:w="1584" w:type="dxa"/>
            <w:vAlign w:val="bottom"/>
          </w:tcPr>
          <w:p w:rsidR="008149CD" w:rsidRPr="008149CD" w:rsidRDefault="002431A0" w:rsidP="008149CD">
            <w:pPr>
              <w:keepNext/>
              <w:tabs>
                <w:tab w:val="decimal" w:pos="846"/>
              </w:tabs>
              <w:jc w:val="left"/>
            </w:pPr>
            <w:r>
              <w:t>0.9</w:t>
            </w:r>
            <w:r w:rsidR="008149CD" w:rsidRPr="008149CD">
              <w:t>%</w:t>
            </w:r>
          </w:p>
        </w:tc>
      </w:tr>
      <w:tr w:rsidR="008149CD" w:rsidRPr="008149CD" w:rsidTr="00365EBF">
        <w:trPr>
          <w:jc w:val="center"/>
        </w:trPr>
        <w:tc>
          <w:tcPr>
            <w:tcW w:w="1584" w:type="dxa"/>
            <w:vAlign w:val="bottom"/>
          </w:tcPr>
          <w:p w:rsidR="008149CD" w:rsidRPr="008149CD" w:rsidRDefault="005D5772" w:rsidP="008149CD">
            <w:pPr>
              <w:keepNext/>
              <w:jc w:val="center"/>
            </w:pPr>
            <w:r>
              <w:t>2009</w:t>
            </w:r>
          </w:p>
        </w:tc>
        <w:tc>
          <w:tcPr>
            <w:tcW w:w="1584" w:type="dxa"/>
            <w:vAlign w:val="bottom"/>
          </w:tcPr>
          <w:p w:rsidR="008149CD" w:rsidRPr="008149CD" w:rsidRDefault="002431A0" w:rsidP="008149CD">
            <w:pPr>
              <w:keepNext/>
              <w:tabs>
                <w:tab w:val="decimal" w:pos="648"/>
              </w:tabs>
              <w:jc w:val="left"/>
            </w:pPr>
            <w:r>
              <w:t>5.0</w:t>
            </w:r>
          </w:p>
        </w:tc>
        <w:tc>
          <w:tcPr>
            <w:tcW w:w="1584" w:type="dxa"/>
            <w:vAlign w:val="bottom"/>
          </w:tcPr>
          <w:p w:rsidR="008149CD" w:rsidRPr="008149CD" w:rsidRDefault="002431A0" w:rsidP="008149CD">
            <w:pPr>
              <w:keepNext/>
              <w:tabs>
                <w:tab w:val="decimal" w:pos="774"/>
              </w:tabs>
              <w:jc w:val="left"/>
            </w:pPr>
            <w:r>
              <w:t>1.5</w:t>
            </w:r>
          </w:p>
        </w:tc>
        <w:tc>
          <w:tcPr>
            <w:tcW w:w="1584" w:type="dxa"/>
            <w:vAlign w:val="bottom"/>
          </w:tcPr>
          <w:p w:rsidR="008149CD" w:rsidRPr="008149CD" w:rsidRDefault="002431A0" w:rsidP="008149CD">
            <w:pPr>
              <w:keepNext/>
              <w:tabs>
                <w:tab w:val="decimal" w:pos="720"/>
              </w:tabs>
              <w:jc w:val="left"/>
            </w:pPr>
            <w:r>
              <w:t>306.7</w:t>
            </w:r>
          </w:p>
        </w:tc>
        <w:tc>
          <w:tcPr>
            <w:tcW w:w="1584" w:type="dxa"/>
            <w:vAlign w:val="bottom"/>
          </w:tcPr>
          <w:p w:rsidR="008149CD" w:rsidRPr="008149CD" w:rsidRDefault="002431A0" w:rsidP="008149CD">
            <w:pPr>
              <w:keepNext/>
              <w:tabs>
                <w:tab w:val="decimal" w:pos="846"/>
              </w:tabs>
              <w:jc w:val="left"/>
            </w:pPr>
            <w:r>
              <w:t>0.9</w:t>
            </w:r>
          </w:p>
        </w:tc>
      </w:tr>
      <w:tr w:rsidR="008149CD" w:rsidRPr="008149CD" w:rsidTr="00365EBF">
        <w:trPr>
          <w:jc w:val="center"/>
        </w:trPr>
        <w:tc>
          <w:tcPr>
            <w:tcW w:w="1584" w:type="dxa"/>
            <w:vAlign w:val="bottom"/>
          </w:tcPr>
          <w:p w:rsidR="008149CD" w:rsidRPr="008149CD" w:rsidRDefault="005D5772" w:rsidP="008149CD">
            <w:pPr>
              <w:keepNext/>
              <w:jc w:val="center"/>
            </w:pPr>
            <w:r>
              <w:t>2010</w:t>
            </w:r>
          </w:p>
        </w:tc>
        <w:tc>
          <w:tcPr>
            <w:tcW w:w="1584" w:type="dxa"/>
            <w:vAlign w:val="bottom"/>
          </w:tcPr>
          <w:p w:rsidR="008149CD" w:rsidRPr="008149CD" w:rsidRDefault="002431A0" w:rsidP="008149CD">
            <w:pPr>
              <w:keepNext/>
              <w:tabs>
                <w:tab w:val="decimal" w:pos="648"/>
              </w:tabs>
              <w:jc w:val="left"/>
            </w:pPr>
            <w:r>
              <w:t>5.1</w:t>
            </w:r>
          </w:p>
        </w:tc>
        <w:tc>
          <w:tcPr>
            <w:tcW w:w="1584" w:type="dxa"/>
            <w:vAlign w:val="bottom"/>
          </w:tcPr>
          <w:p w:rsidR="008149CD" w:rsidRPr="008149CD" w:rsidRDefault="002431A0" w:rsidP="008149CD">
            <w:pPr>
              <w:keepNext/>
              <w:tabs>
                <w:tab w:val="decimal" w:pos="774"/>
              </w:tabs>
              <w:jc w:val="left"/>
            </w:pPr>
            <w:r>
              <w:t>1.5</w:t>
            </w:r>
          </w:p>
        </w:tc>
        <w:tc>
          <w:tcPr>
            <w:tcW w:w="1584" w:type="dxa"/>
            <w:vAlign w:val="bottom"/>
          </w:tcPr>
          <w:p w:rsidR="008149CD" w:rsidRPr="008149CD" w:rsidRDefault="002431A0" w:rsidP="008149CD">
            <w:pPr>
              <w:keepNext/>
              <w:tabs>
                <w:tab w:val="decimal" w:pos="720"/>
              </w:tabs>
              <w:jc w:val="left"/>
            </w:pPr>
            <w:r>
              <w:t>309.3</w:t>
            </w:r>
          </w:p>
        </w:tc>
        <w:tc>
          <w:tcPr>
            <w:tcW w:w="1584" w:type="dxa"/>
            <w:vAlign w:val="bottom"/>
          </w:tcPr>
          <w:p w:rsidR="008149CD" w:rsidRPr="008149CD" w:rsidRDefault="002431A0" w:rsidP="008149CD">
            <w:pPr>
              <w:keepNext/>
              <w:tabs>
                <w:tab w:val="decimal" w:pos="846"/>
              </w:tabs>
              <w:jc w:val="left"/>
            </w:pPr>
            <w:r>
              <w:t>0.9</w:t>
            </w:r>
          </w:p>
        </w:tc>
      </w:tr>
      <w:tr w:rsidR="008149CD" w:rsidRPr="008149CD" w:rsidTr="00365EBF">
        <w:trPr>
          <w:jc w:val="center"/>
        </w:trPr>
        <w:tc>
          <w:tcPr>
            <w:tcW w:w="1584" w:type="dxa"/>
            <w:vAlign w:val="bottom"/>
          </w:tcPr>
          <w:p w:rsidR="008149CD" w:rsidRPr="008149CD" w:rsidRDefault="005D5772" w:rsidP="008149CD">
            <w:pPr>
              <w:keepNext/>
              <w:jc w:val="center"/>
            </w:pPr>
            <w:r>
              <w:t>2011</w:t>
            </w:r>
          </w:p>
        </w:tc>
        <w:tc>
          <w:tcPr>
            <w:tcW w:w="1584" w:type="dxa"/>
            <w:vAlign w:val="bottom"/>
          </w:tcPr>
          <w:p w:rsidR="008149CD" w:rsidRPr="008149CD" w:rsidRDefault="002431A0" w:rsidP="008149CD">
            <w:pPr>
              <w:keepNext/>
              <w:tabs>
                <w:tab w:val="decimal" w:pos="648"/>
              </w:tabs>
              <w:jc w:val="left"/>
            </w:pPr>
            <w:r>
              <w:t>5.1</w:t>
            </w:r>
          </w:p>
        </w:tc>
        <w:tc>
          <w:tcPr>
            <w:tcW w:w="1584" w:type="dxa"/>
            <w:vAlign w:val="bottom"/>
          </w:tcPr>
          <w:p w:rsidR="008149CD" w:rsidRPr="008149CD" w:rsidRDefault="002431A0" w:rsidP="008149CD">
            <w:pPr>
              <w:keepNext/>
              <w:tabs>
                <w:tab w:val="decimal" w:pos="774"/>
              </w:tabs>
              <w:jc w:val="left"/>
            </w:pPr>
            <w:r>
              <w:t>1.4</w:t>
            </w:r>
          </w:p>
        </w:tc>
        <w:tc>
          <w:tcPr>
            <w:tcW w:w="1584" w:type="dxa"/>
            <w:vAlign w:val="bottom"/>
          </w:tcPr>
          <w:p w:rsidR="008149CD" w:rsidRPr="008149CD" w:rsidRDefault="002431A0" w:rsidP="008149CD">
            <w:pPr>
              <w:keepNext/>
              <w:tabs>
                <w:tab w:val="decimal" w:pos="720"/>
              </w:tabs>
              <w:jc w:val="left"/>
            </w:pPr>
            <w:r>
              <w:t>311.6</w:t>
            </w:r>
          </w:p>
        </w:tc>
        <w:tc>
          <w:tcPr>
            <w:tcW w:w="1584" w:type="dxa"/>
            <w:vAlign w:val="bottom"/>
          </w:tcPr>
          <w:p w:rsidR="008149CD" w:rsidRPr="008149CD" w:rsidRDefault="002431A0" w:rsidP="008149CD">
            <w:pPr>
              <w:keepNext/>
              <w:tabs>
                <w:tab w:val="decimal" w:pos="846"/>
              </w:tabs>
              <w:jc w:val="left"/>
            </w:pPr>
            <w:r>
              <w:t>0.7</w:t>
            </w:r>
          </w:p>
        </w:tc>
      </w:tr>
      <w:tr w:rsidR="008149CD" w:rsidRPr="008149CD" w:rsidTr="00365EBF">
        <w:trPr>
          <w:jc w:val="center"/>
        </w:trPr>
        <w:tc>
          <w:tcPr>
            <w:tcW w:w="1584" w:type="dxa"/>
            <w:vAlign w:val="bottom"/>
          </w:tcPr>
          <w:p w:rsidR="008149CD" w:rsidRPr="008149CD" w:rsidRDefault="005D5772" w:rsidP="008149CD">
            <w:pPr>
              <w:keepNext/>
              <w:jc w:val="center"/>
            </w:pPr>
            <w:r>
              <w:t>2012</w:t>
            </w:r>
          </w:p>
        </w:tc>
        <w:tc>
          <w:tcPr>
            <w:tcW w:w="1584" w:type="dxa"/>
            <w:vAlign w:val="bottom"/>
          </w:tcPr>
          <w:p w:rsidR="008149CD" w:rsidRPr="008149CD" w:rsidRDefault="002431A0" w:rsidP="008149CD">
            <w:pPr>
              <w:keepNext/>
              <w:tabs>
                <w:tab w:val="decimal" w:pos="648"/>
              </w:tabs>
              <w:jc w:val="left"/>
            </w:pPr>
            <w:r>
              <w:t>5.2</w:t>
            </w:r>
          </w:p>
        </w:tc>
        <w:tc>
          <w:tcPr>
            <w:tcW w:w="1584" w:type="dxa"/>
            <w:vAlign w:val="bottom"/>
          </w:tcPr>
          <w:p w:rsidR="008149CD" w:rsidRPr="008149CD" w:rsidRDefault="002431A0" w:rsidP="008149CD">
            <w:pPr>
              <w:keepNext/>
              <w:tabs>
                <w:tab w:val="decimal" w:pos="774"/>
              </w:tabs>
              <w:jc w:val="left"/>
            </w:pPr>
            <w:r>
              <w:t>1.4</w:t>
            </w:r>
          </w:p>
        </w:tc>
        <w:tc>
          <w:tcPr>
            <w:tcW w:w="1584" w:type="dxa"/>
            <w:vAlign w:val="bottom"/>
          </w:tcPr>
          <w:p w:rsidR="008149CD" w:rsidRPr="008149CD" w:rsidRDefault="002431A0" w:rsidP="008149CD">
            <w:pPr>
              <w:keepNext/>
              <w:tabs>
                <w:tab w:val="decimal" w:pos="720"/>
              </w:tabs>
              <w:jc w:val="left"/>
            </w:pPr>
            <w:r>
              <w:t>313.9</w:t>
            </w:r>
          </w:p>
        </w:tc>
        <w:tc>
          <w:tcPr>
            <w:tcW w:w="1584" w:type="dxa"/>
            <w:vAlign w:val="bottom"/>
          </w:tcPr>
          <w:p w:rsidR="008149CD" w:rsidRPr="008149CD" w:rsidRDefault="002431A0" w:rsidP="008149CD">
            <w:pPr>
              <w:keepNext/>
              <w:tabs>
                <w:tab w:val="decimal" w:pos="846"/>
              </w:tabs>
              <w:jc w:val="left"/>
            </w:pPr>
            <w:r>
              <w:t>0.7</w:t>
            </w:r>
          </w:p>
        </w:tc>
      </w:tr>
      <w:tr w:rsidR="008149CD" w:rsidRPr="008149CD" w:rsidTr="00365EBF">
        <w:trPr>
          <w:jc w:val="center"/>
        </w:trPr>
        <w:tc>
          <w:tcPr>
            <w:tcW w:w="1584" w:type="dxa"/>
            <w:vAlign w:val="bottom"/>
          </w:tcPr>
          <w:p w:rsidR="008149CD" w:rsidRPr="008149CD" w:rsidRDefault="005D5772" w:rsidP="008149CD">
            <w:pPr>
              <w:keepNext/>
              <w:jc w:val="center"/>
            </w:pPr>
            <w:r>
              <w:t>2013</w:t>
            </w:r>
          </w:p>
        </w:tc>
        <w:tc>
          <w:tcPr>
            <w:tcW w:w="1584" w:type="dxa"/>
            <w:vAlign w:val="bottom"/>
          </w:tcPr>
          <w:p w:rsidR="008149CD" w:rsidRPr="008149CD" w:rsidRDefault="002431A0" w:rsidP="008149CD">
            <w:pPr>
              <w:keepNext/>
              <w:tabs>
                <w:tab w:val="decimal" w:pos="648"/>
              </w:tabs>
              <w:jc w:val="left"/>
            </w:pPr>
            <w:r>
              <w:t>5.3</w:t>
            </w:r>
          </w:p>
        </w:tc>
        <w:tc>
          <w:tcPr>
            <w:tcW w:w="1584" w:type="dxa"/>
            <w:vAlign w:val="bottom"/>
          </w:tcPr>
          <w:p w:rsidR="008149CD" w:rsidRPr="008149CD" w:rsidRDefault="002431A0" w:rsidP="008149CD">
            <w:pPr>
              <w:keepNext/>
              <w:tabs>
                <w:tab w:val="decimal" w:pos="774"/>
              </w:tabs>
              <w:jc w:val="left"/>
            </w:pPr>
            <w:r>
              <w:t>1.5</w:t>
            </w:r>
          </w:p>
        </w:tc>
        <w:tc>
          <w:tcPr>
            <w:tcW w:w="1584" w:type="dxa"/>
            <w:vAlign w:val="bottom"/>
          </w:tcPr>
          <w:p w:rsidR="008149CD" w:rsidRPr="008149CD" w:rsidRDefault="002431A0" w:rsidP="008149CD">
            <w:pPr>
              <w:keepNext/>
              <w:tabs>
                <w:tab w:val="decimal" w:pos="720"/>
              </w:tabs>
              <w:jc w:val="left"/>
            </w:pPr>
            <w:r>
              <w:t>316.1</w:t>
            </w:r>
          </w:p>
        </w:tc>
        <w:tc>
          <w:tcPr>
            <w:tcW w:w="1584" w:type="dxa"/>
            <w:vAlign w:val="bottom"/>
          </w:tcPr>
          <w:p w:rsidR="008149CD" w:rsidRPr="008149CD" w:rsidRDefault="002431A0" w:rsidP="008149CD">
            <w:pPr>
              <w:keepNext/>
              <w:tabs>
                <w:tab w:val="decimal" w:pos="846"/>
              </w:tabs>
              <w:jc w:val="left"/>
            </w:pPr>
            <w:r>
              <w:t>0.7</w:t>
            </w:r>
          </w:p>
        </w:tc>
      </w:tr>
      <w:tr w:rsidR="008149CD" w:rsidRPr="008149CD" w:rsidTr="00365EBF">
        <w:trPr>
          <w:jc w:val="center"/>
        </w:trPr>
        <w:tc>
          <w:tcPr>
            <w:tcW w:w="1584" w:type="dxa"/>
            <w:vAlign w:val="bottom"/>
          </w:tcPr>
          <w:p w:rsidR="008149CD" w:rsidRPr="008149CD" w:rsidRDefault="005D5772" w:rsidP="008149CD">
            <w:pPr>
              <w:keepNext/>
              <w:jc w:val="center"/>
            </w:pPr>
            <w:r>
              <w:t>2014</w:t>
            </w:r>
          </w:p>
        </w:tc>
        <w:tc>
          <w:tcPr>
            <w:tcW w:w="1584" w:type="dxa"/>
            <w:vAlign w:val="bottom"/>
          </w:tcPr>
          <w:p w:rsidR="008149CD" w:rsidRPr="008149CD" w:rsidRDefault="002431A0" w:rsidP="008149CD">
            <w:pPr>
              <w:keepNext/>
              <w:tabs>
                <w:tab w:val="decimal" w:pos="648"/>
              </w:tabs>
              <w:jc w:val="left"/>
            </w:pPr>
            <w:r>
              <w:t>5.3</w:t>
            </w:r>
          </w:p>
        </w:tc>
        <w:tc>
          <w:tcPr>
            <w:tcW w:w="1584" w:type="dxa"/>
            <w:vAlign w:val="bottom"/>
          </w:tcPr>
          <w:p w:rsidR="008149CD" w:rsidRPr="008149CD" w:rsidRDefault="002431A0" w:rsidP="008149CD">
            <w:pPr>
              <w:keepNext/>
              <w:tabs>
                <w:tab w:val="decimal" w:pos="774"/>
              </w:tabs>
              <w:jc w:val="left"/>
            </w:pPr>
            <w:r>
              <w:t>1.5</w:t>
            </w:r>
          </w:p>
        </w:tc>
        <w:tc>
          <w:tcPr>
            <w:tcW w:w="1584" w:type="dxa"/>
            <w:vAlign w:val="bottom"/>
          </w:tcPr>
          <w:p w:rsidR="008149CD" w:rsidRPr="008149CD" w:rsidRDefault="002431A0" w:rsidP="008149CD">
            <w:pPr>
              <w:keepNext/>
              <w:tabs>
                <w:tab w:val="decimal" w:pos="720"/>
              </w:tabs>
              <w:jc w:val="left"/>
            </w:pPr>
            <w:r>
              <w:t>318.4</w:t>
            </w:r>
          </w:p>
        </w:tc>
        <w:tc>
          <w:tcPr>
            <w:tcW w:w="1584" w:type="dxa"/>
            <w:vAlign w:val="bottom"/>
          </w:tcPr>
          <w:p w:rsidR="008149CD" w:rsidRPr="008149CD" w:rsidRDefault="002431A0" w:rsidP="008149CD">
            <w:pPr>
              <w:keepNext/>
              <w:tabs>
                <w:tab w:val="decimal" w:pos="846"/>
              </w:tabs>
              <w:jc w:val="left"/>
            </w:pPr>
            <w:r>
              <w:t>0.7</w:t>
            </w:r>
          </w:p>
        </w:tc>
      </w:tr>
      <w:tr w:rsidR="008149CD" w:rsidRPr="008149CD" w:rsidTr="00365EBF">
        <w:trPr>
          <w:jc w:val="center"/>
        </w:trPr>
        <w:tc>
          <w:tcPr>
            <w:tcW w:w="1584" w:type="dxa"/>
            <w:vAlign w:val="bottom"/>
          </w:tcPr>
          <w:p w:rsidR="008149CD" w:rsidRPr="008149CD" w:rsidRDefault="005D5772" w:rsidP="008149CD">
            <w:pPr>
              <w:keepNext/>
              <w:jc w:val="center"/>
            </w:pPr>
            <w:r>
              <w:t>2015</w:t>
            </w:r>
          </w:p>
        </w:tc>
        <w:tc>
          <w:tcPr>
            <w:tcW w:w="1584" w:type="dxa"/>
            <w:vAlign w:val="bottom"/>
          </w:tcPr>
          <w:p w:rsidR="008149CD" w:rsidRPr="008149CD" w:rsidRDefault="002431A0" w:rsidP="008149CD">
            <w:pPr>
              <w:keepNext/>
              <w:tabs>
                <w:tab w:val="decimal" w:pos="648"/>
              </w:tabs>
              <w:jc w:val="left"/>
            </w:pPr>
            <w:r>
              <w:t>5.4</w:t>
            </w:r>
          </w:p>
        </w:tc>
        <w:tc>
          <w:tcPr>
            <w:tcW w:w="1584" w:type="dxa"/>
            <w:vAlign w:val="bottom"/>
          </w:tcPr>
          <w:p w:rsidR="008149CD" w:rsidRPr="008149CD" w:rsidRDefault="002431A0" w:rsidP="008149CD">
            <w:pPr>
              <w:keepNext/>
              <w:tabs>
                <w:tab w:val="decimal" w:pos="774"/>
              </w:tabs>
              <w:jc w:val="left"/>
            </w:pPr>
            <w:r>
              <w:t>1.9</w:t>
            </w:r>
          </w:p>
        </w:tc>
        <w:tc>
          <w:tcPr>
            <w:tcW w:w="1584" w:type="dxa"/>
            <w:vAlign w:val="bottom"/>
          </w:tcPr>
          <w:p w:rsidR="008149CD" w:rsidRPr="008149CD" w:rsidRDefault="002431A0" w:rsidP="008149CD">
            <w:pPr>
              <w:keepNext/>
              <w:tabs>
                <w:tab w:val="decimal" w:pos="720"/>
              </w:tabs>
              <w:jc w:val="left"/>
            </w:pPr>
            <w:r>
              <w:t>320.7</w:t>
            </w:r>
          </w:p>
        </w:tc>
        <w:tc>
          <w:tcPr>
            <w:tcW w:w="1584" w:type="dxa"/>
            <w:vAlign w:val="bottom"/>
          </w:tcPr>
          <w:p w:rsidR="008149CD" w:rsidRPr="008149CD" w:rsidRDefault="002431A0" w:rsidP="008149CD">
            <w:pPr>
              <w:keepNext/>
              <w:tabs>
                <w:tab w:val="decimal" w:pos="846"/>
              </w:tabs>
              <w:jc w:val="left"/>
            </w:pPr>
            <w:r>
              <w:t>0.7</w:t>
            </w:r>
          </w:p>
        </w:tc>
      </w:tr>
      <w:tr w:rsidR="008149CD" w:rsidRPr="008149CD" w:rsidTr="00365EBF">
        <w:trPr>
          <w:jc w:val="center"/>
        </w:trPr>
        <w:tc>
          <w:tcPr>
            <w:tcW w:w="1584" w:type="dxa"/>
            <w:vAlign w:val="bottom"/>
          </w:tcPr>
          <w:p w:rsidR="008149CD" w:rsidRPr="008149CD" w:rsidRDefault="005D5772" w:rsidP="008149CD">
            <w:pPr>
              <w:keepNext/>
              <w:jc w:val="center"/>
            </w:pPr>
            <w:r>
              <w:t>2016</w:t>
            </w:r>
          </w:p>
        </w:tc>
        <w:tc>
          <w:tcPr>
            <w:tcW w:w="1584" w:type="dxa"/>
            <w:vAlign w:val="bottom"/>
          </w:tcPr>
          <w:p w:rsidR="008149CD" w:rsidRPr="008149CD" w:rsidRDefault="002431A0" w:rsidP="008149CD">
            <w:pPr>
              <w:keepNext/>
              <w:tabs>
                <w:tab w:val="decimal" w:pos="648"/>
              </w:tabs>
              <w:jc w:val="left"/>
            </w:pPr>
            <w:r>
              <w:t>5.5</w:t>
            </w:r>
          </w:p>
        </w:tc>
        <w:tc>
          <w:tcPr>
            <w:tcW w:w="1584" w:type="dxa"/>
            <w:vAlign w:val="bottom"/>
          </w:tcPr>
          <w:p w:rsidR="008149CD" w:rsidRPr="008149CD" w:rsidRDefault="002431A0" w:rsidP="008149CD">
            <w:pPr>
              <w:keepNext/>
              <w:tabs>
                <w:tab w:val="decimal" w:pos="774"/>
              </w:tabs>
              <w:jc w:val="left"/>
            </w:pPr>
            <w:r>
              <w:t>1.6</w:t>
            </w:r>
          </w:p>
        </w:tc>
        <w:tc>
          <w:tcPr>
            <w:tcW w:w="1584" w:type="dxa"/>
            <w:vAlign w:val="bottom"/>
          </w:tcPr>
          <w:p w:rsidR="008149CD" w:rsidRPr="008149CD" w:rsidRDefault="002431A0" w:rsidP="008149CD">
            <w:pPr>
              <w:keepNext/>
              <w:tabs>
                <w:tab w:val="decimal" w:pos="720"/>
              </w:tabs>
              <w:jc w:val="left"/>
            </w:pPr>
            <w:r>
              <w:t>323.1</w:t>
            </w:r>
          </w:p>
        </w:tc>
        <w:tc>
          <w:tcPr>
            <w:tcW w:w="1584" w:type="dxa"/>
            <w:vAlign w:val="bottom"/>
          </w:tcPr>
          <w:p w:rsidR="008149CD" w:rsidRPr="008149CD" w:rsidRDefault="002431A0" w:rsidP="008149CD">
            <w:pPr>
              <w:keepNext/>
              <w:tabs>
                <w:tab w:val="decimal" w:pos="846"/>
              </w:tabs>
              <w:jc w:val="left"/>
            </w:pPr>
            <w:r>
              <w:t>0.7</w:t>
            </w:r>
          </w:p>
        </w:tc>
      </w:tr>
      <w:tr w:rsidR="008149CD" w:rsidRPr="008149CD" w:rsidTr="00365EBF">
        <w:trPr>
          <w:jc w:val="center"/>
        </w:trPr>
        <w:tc>
          <w:tcPr>
            <w:tcW w:w="1584" w:type="dxa"/>
            <w:vAlign w:val="bottom"/>
          </w:tcPr>
          <w:p w:rsidR="008149CD" w:rsidRPr="008149CD" w:rsidRDefault="005D5772" w:rsidP="008149CD">
            <w:pPr>
              <w:keepNext/>
              <w:jc w:val="center"/>
            </w:pPr>
            <w:r>
              <w:t>2017</w:t>
            </w:r>
          </w:p>
        </w:tc>
        <w:tc>
          <w:tcPr>
            <w:tcW w:w="1584" w:type="dxa"/>
            <w:vAlign w:val="bottom"/>
          </w:tcPr>
          <w:p w:rsidR="008149CD" w:rsidRPr="008149CD" w:rsidRDefault="002431A0" w:rsidP="008149CD">
            <w:pPr>
              <w:keepNext/>
              <w:tabs>
                <w:tab w:val="decimal" w:pos="648"/>
              </w:tabs>
              <w:jc w:val="left"/>
            </w:pPr>
            <w:r>
              <w:t>5.6</w:t>
            </w:r>
          </w:p>
        </w:tc>
        <w:tc>
          <w:tcPr>
            <w:tcW w:w="1584" w:type="dxa"/>
            <w:vAlign w:val="bottom"/>
          </w:tcPr>
          <w:p w:rsidR="008149CD" w:rsidRPr="008149CD" w:rsidRDefault="002431A0" w:rsidP="008149CD">
            <w:pPr>
              <w:keepNext/>
              <w:tabs>
                <w:tab w:val="decimal" w:pos="774"/>
              </w:tabs>
              <w:jc w:val="left"/>
            </w:pPr>
            <w:r>
              <w:t>1.4</w:t>
            </w:r>
          </w:p>
        </w:tc>
        <w:tc>
          <w:tcPr>
            <w:tcW w:w="1584" w:type="dxa"/>
            <w:vAlign w:val="bottom"/>
          </w:tcPr>
          <w:p w:rsidR="008149CD" w:rsidRPr="008149CD" w:rsidRDefault="002431A0" w:rsidP="008149CD">
            <w:pPr>
              <w:keepNext/>
              <w:tabs>
                <w:tab w:val="decimal" w:pos="720"/>
              </w:tabs>
              <w:jc w:val="left"/>
            </w:pPr>
            <w:r>
              <w:t>325.1</w:t>
            </w:r>
          </w:p>
        </w:tc>
        <w:tc>
          <w:tcPr>
            <w:tcW w:w="1584" w:type="dxa"/>
            <w:vAlign w:val="bottom"/>
          </w:tcPr>
          <w:p w:rsidR="008149CD" w:rsidRPr="008149CD" w:rsidRDefault="002431A0" w:rsidP="008149CD">
            <w:pPr>
              <w:keepNext/>
              <w:tabs>
                <w:tab w:val="decimal" w:pos="846"/>
              </w:tabs>
              <w:jc w:val="left"/>
            </w:pPr>
            <w:r>
              <w:t>0.6</w:t>
            </w:r>
          </w:p>
        </w:tc>
      </w:tr>
      <w:tr w:rsidR="008149CD" w:rsidRPr="008149CD" w:rsidTr="00365EBF">
        <w:trPr>
          <w:jc w:val="center"/>
        </w:trPr>
        <w:tc>
          <w:tcPr>
            <w:tcW w:w="1584" w:type="dxa"/>
            <w:vAlign w:val="bottom"/>
          </w:tcPr>
          <w:p w:rsidR="008149CD" w:rsidRPr="008149CD" w:rsidRDefault="005D5772" w:rsidP="008149CD">
            <w:pPr>
              <w:keepNext/>
              <w:jc w:val="center"/>
            </w:pPr>
            <w:r>
              <w:t>2018</w:t>
            </w:r>
          </w:p>
        </w:tc>
        <w:tc>
          <w:tcPr>
            <w:tcW w:w="1584" w:type="dxa"/>
            <w:vAlign w:val="bottom"/>
          </w:tcPr>
          <w:p w:rsidR="008149CD" w:rsidRPr="008149CD" w:rsidRDefault="002431A0" w:rsidP="008149CD">
            <w:pPr>
              <w:keepNext/>
              <w:tabs>
                <w:tab w:val="decimal" w:pos="648"/>
              </w:tabs>
              <w:jc w:val="left"/>
            </w:pPr>
            <w:r>
              <w:t>5.7</w:t>
            </w:r>
          </w:p>
        </w:tc>
        <w:tc>
          <w:tcPr>
            <w:tcW w:w="1584" w:type="dxa"/>
            <w:vAlign w:val="bottom"/>
          </w:tcPr>
          <w:p w:rsidR="008149CD" w:rsidRPr="008149CD" w:rsidRDefault="002431A0" w:rsidP="008149CD">
            <w:pPr>
              <w:keepNext/>
              <w:tabs>
                <w:tab w:val="decimal" w:pos="774"/>
              </w:tabs>
              <w:jc w:val="left"/>
            </w:pPr>
            <w:r>
              <w:t>1.4</w:t>
            </w:r>
          </w:p>
        </w:tc>
        <w:tc>
          <w:tcPr>
            <w:tcW w:w="1584" w:type="dxa"/>
            <w:vAlign w:val="bottom"/>
          </w:tcPr>
          <w:p w:rsidR="008149CD" w:rsidRPr="008149CD" w:rsidRDefault="002431A0" w:rsidP="008149CD">
            <w:pPr>
              <w:keepNext/>
              <w:tabs>
                <w:tab w:val="decimal" w:pos="720"/>
              </w:tabs>
              <w:jc w:val="left"/>
            </w:pPr>
            <w:r>
              <w:t>327.2</w:t>
            </w:r>
          </w:p>
        </w:tc>
        <w:tc>
          <w:tcPr>
            <w:tcW w:w="1584" w:type="dxa"/>
            <w:vAlign w:val="bottom"/>
          </w:tcPr>
          <w:p w:rsidR="008149CD" w:rsidRPr="008149CD" w:rsidRDefault="002431A0" w:rsidP="008149CD">
            <w:pPr>
              <w:keepNext/>
              <w:tabs>
                <w:tab w:val="decimal" w:pos="846"/>
              </w:tabs>
              <w:jc w:val="left"/>
            </w:pPr>
            <w:r>
              <w:t>0.6</w:t>
            </w:r>
          </w:p>
        </w:tc>
      </w:tr>
      <w:tr w:rsidR="008149CD" w:rsidRPr="00163143" w:rsidTr="00365EBF">
        <w:trPr>
          <w:jc w:val="center"/>
        </w:trPr>
        <w:tc>
          <w:tcPr>
            <w:tcW w:w="7920" w:type="dxa"/>
            <w:gridSpan w:val="5"/>
            <w:vAlign w:val="bottom"/>
          </w:tcPr>
          <w:p w:rsidR="008149CD" w:rsidRPr="00EA6D02" w:rsidRDefault="008149CD" w:rsidP="008149CD">
            <w:pPr>
              <w:keepNext/>
              <w:rPr>
                <w:sz w:val="20"/>
              </w:rPr>
            </w:pPr>
            <w:r w:rsidRPr="00EA6D02">
              <w:rPr>
                <w:sz w:val="20"/>
              </w:rPr>
              <w:t>____________________</w:t>
            </w:r>
          </w:p>
          <w:p w:rsidR="008149CD" w:rsidRPr="00EA6D02" w:rsidRDefault="008149CD" w:rsidP="008149CD">
            <w:pPr>
              <w:keepNext/>
              <w:rPr>
                <w:sz w:val="20"/>
              </w:rPr>
            </w:pPr>
            <w:r w:rsidRPr="00EA6D02">
              <w:rPr>
                <w:sz w:val="20"/>
              </w:rPr>
              <w:t xml:space="preserve">Note: </w:t>
            </w:r>
            <w:r w:rsidR="002431A0">
              <w:rPr>
                <w:sz w:val="20"/>
              </w:rPr>
              <w:t>Figures for 2008 through 2017 are estimates.  The U.S. 2018 count is an estimate, and the 2018 count for Colorado is a forecast</w:t>
            </w:r>
            <w:r w:rsidRPr="00EA6D02">
              <w:rPr>
                <w:sz w:val="20"/>
              </w:rPr>
              <w:t>.</w:t>
            </w:r>
          </w:p>
          <w:p w:rsidR="008149CD" w:rsidRPr="00EA6D02" w:rsidRDefault="008149CD" w:rsidP="008149CD">
            <w:pPr>
              <w:keepNext/>
              <w:rPr>
                <w:sz w:val="20"/>
              </w:rPr>
            </w:pPr>
            <w:r w:rsidRPr="00EA6D02">
              <w:rPr>
                <w:sz w:val="20"/>
              </w:rPr>
              <w:t>Sources: Colorado Division of Local Government, State Demography Office; U.S. Census Burea</w:t>
            </w:r>
            <w:r w:rsidR="00163143" w:rsidRPr="00EA6D02">
              <w:rPr>
                <w:sz w:val="20"/>
              </w:rPr>
              <w:t>u, Population Estimates Program</w:t>
            </w:r>
          </w:p>
        </w:tc>
      </w:tr>
    </w:tbl>
    <w:p w:rsidR="008149CD" w:rsidRPr="008149CD" w:rsidRDefault="008149CD" w:rsidP="008149CD"/>
    <w:p w:rsidR="00197320" w:rsidRPr="005B1ADC" w:rsidRDefault="00197320" w:rsidP="00197320">
      <w:pPr>
        <w:pStyle w:val="BodyText"/>
        <w:rPr>
          <w:szCs w:val="22"/>
        </w:rPr>
      </w:pPr>
      <w:r w:rsidRPr="005B1ADC">
        <w:rPr>
          <w:szCs w:val="22"/>
        </w:rPr>
        <w:t>The following table provides the age distribution for the most recent year available for the State’s population and the population nationwide:</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584"/>
        <w:gridCol w:w="1584"/>
        <w:gridCol w:w="1584"/>
        <w:gridCol w:w="1584"/>
      </w:tblGrid>
      <w:tr w:rsidR="008149CD" w:rsidRPr="008149CD" w:rsidTr="00365EBF">
        <w:trPr>
          <w:jc w:val="center"/>
        </w:trPr>
        <w:tc>
          <w:tcPr>
            <w:tcW w:w="7920" w:type="dxa"/>
            <w:gridSpan w:val="5"/>
            <w:vAlign w:val="bottom"/>
          </w:tcPr>
          <w:p w:rsidR="008149CD" w:rsidRPr="008149CD" w:rsidRDefault="00225E2F" w:rsidP="00225E2F">
            <w:pPr>
              <w:keepNext/>
              <w:spacing w:after="240"/>
              <w:jc w:val="center"/>
              <w:rPr>
                <w:b/>
              </w:rPr>
            </w:pPr>
            <w:r>
              <w:rPr>
                <w:b/>
              </w:rPr>
              <w:t>Age Distribution</w:t>
            </w:r>
            <w:r>
              <w:rPr>
                <w:b/>
              </w:rPr>
              <w:br/>
              <w:t>A</w:t>
            </w:r>
            <w:r w:rsidR="00EA6D02">
              <w:rPr>
                <w:b/>
              </w:rPr>
              <w:t>s of July 1,</w:t>
            </w:r>
          </w:p>
        </w:tc>
      </w:tr>
      <w:tr w:rsidR="008149CD" w:rsidRPr="008149CD" w:rsidTr="00365EBF">
        <w:trPr>
          <w:jc w:val="center"/>
        </w:trPr>
        <w:tc>
          <w:tcPr>
            <w:tcW w:w="1584" w:type="dxa"/>
            <w:vAlign w:val="bottom"/>
          </w:tcPr>
          <w:p w:rsidR="008149CD" w:rsidRPr="008149CD" w:rsidRDefault="008149CD" w:rsidP="00EA6D02">
            <w:pPr>
              <w:keepNext/>
              <w:spacing w:after="60"/>
              <w:jc w:val="center"/>
              <w:rPr>
                <w:b/>
              </w:rPr>
            </w:pPr>
          </w:p>
        </w:tc>
        <w:tc>
          <w:tcPr>
            <w:tcW w:w="3168" w:type="dxa"/>
            <w:gridSpan w:val="2"/>
            <w:vAlign w:val="bottom"/>
          </w:tcPr>
          <w:p w:rsidR="008149CD" w:rsidRPr="008149CD" w:rsidRDefault="008149CD" w:rsidP="00EA6D02">
            <w:pPr>
              <w:keepNext/>
              <w:pBdr>
                <w:bottom w:val="single" w:sz="4" w:space="1" w:color="auto"/>
              </w:pBdr>
              <w:spacing w:after="60"/>
              <w:jc w:val="center"/>
              <w:rPr>
                <w:b/>
              </w:rPr>
            </w:pPr>
            <w:r w:rsidRPr="008149CD">
              <w:rPr>
                <w:b/>
              </w:rPr>
              <w:t>Colorado</w:t>
            </w:r>
            <w:r w:rsidR="00EA6D02">
              <w:rPr>
                <w:b/>
              </w:rPr>
              <w:t>, 2018</w:t>
            </w:r>
          </w:p>
        </w:tc>
        <w:tc>
          <w:tcPr>
            <w:tcW w:w="3168" w:type="dxa"/>
            <w:gridSpan w:val="2"/>
            <w:vAlign w:val="bottom"/>
          </w:tcPr>
          <w:p w:rsidR="008149CD" w:rsidRPr="008149CD" w:rsidRDefault="008149CD" w:rsidP="00EA6D02">
            <w:pPr>
              <w:keepNext/>
              <w:pBdr>
                <w:bottom w:val="single" w:sz="4" w:space="1" w:color="auto"/>
              </w:pBdr>
              <w:spacing w:after="60"/>
              <w:jc w:val="center"/>
              <w:rPr>
                <w:b/>
              </w:rPr>
            </w:pPr>
            <w:r w:rsidRPr="008149CD">
              <w:rPr>
                <w:b/>
              </w:rPr>
              <w:t>United States</w:t>
            </w:r>
            <w:r w:rsidR="00EA6D02">
              <w:rPr>
                <w:b/>
              </w:rPr>
              <w:t>, 2017</w:t>
            </w:r>
          </w:p>
        </w:tc>
      </w:tr>
      <w:tr w:rsidR="008149CD" w:rsidRPr="008149CD" w:rsidTr="00365EBF">
        <w:trPr>
          <w:jc w:val="center"/>
        </w:trPr>
        <w:tc>
          <w:tcPr>
            <w:tcW w:w="1584" w:type="dxa"/>
            <w:vAlign w:val="bottom"/>
          </w:tcPr>
          <w:p w:rsidR="008149CD" w:rsidRPr="008149CD" w:rsidRDefault="008149CD" w:rsidP="00EA6D02">
            <w:pPr>
              <w:keepNext/>
              <w:pBdr>
                <w:bottom w:val="single" w:sz="4" w:space="1" w:color="auto"/>
              </w:pBdr>
              <w:spacing w:after="120"/>
              <w:jc w:val="center"/>
              <w:rPr>
                <w:b/>
              </w:rPr>
            </w:pPr>
          </w:p>
        </w:tc>
        <w:tc>
          <w:tcPr>
            <w:tcW w:w="1584" w:type="dxa"/>
            <w:vAlign w:val="bottom"/>
          </w:tcPr>
          <w:p w:rsidR="008149CD" w:rsidRPr="008149CD" w:rsidRDefault="008149CD" w:rsidP="00EA6D02">
            <w:pPr>
              <w:keepNext/>
              <w:pBdr>
                <w:bottom w:val="single" w:sz="4" w:space="1" w:color="auto"/>
              </w:pBdr>
              <w:spacing w:after="120"/>
              <w:jc w:val="center"/>
              <w:rPr>
                <w:b/>
              </w:rPr>
            </w:pPr>
            <w:r w:rsidRPr="008149CD">
              <w:rPr>
                <w:b/>
              </w:rPr>
              <w:t>Population (millions)</w:t>
            </w:r>
          </w:p>
        </w:tc>
        <w:tc>
          <w:tcPr>
            <w:tcW w:w="1584" w:type="dxa"/>
            <w:vAlign w:val="bottom"/>
          </w:tcPr>
          <w:p w:rsidR="008149CD" w:rsidRPr="008149CD" w:rsidRDefault="008149CD" w:rsidP="00EA6D02">
            <w:pPr>
              <w:keepNext/>
              <w:pBdr>
                <w:bottom w:val="single" w:sz="4" w:space="1" w:color="auto"/>
              </w:pBdr>
              <w:spacing w:after="120"/>
              <w:jc w:val="center"/>
              <w:rPr>
                <w:b/>
              </w:rPr>
            </w:pPr>
            <w:r w:rsidRPr="008149CD">
              <w:rPr>
                <w:b/>
              </w:rPr>
              <w:t>% of total</w:t>
            </w:r>
          </w:p>
        </w:tc>
        <w:tc>
          <w:tcPr>
            <w:tcW w:w="1584" w:type="dxa"/>
            <w:vAlign w:val="bottom"/>
          </w:tcPr>
          <w:p w:rsidR="008149CD" w:rsidRPr="008149CD" w:rsidRDefault="008149CD" w:rsidP="00EA6D02">
            <w:pPr>
              <w:keepNext/>
              <w:pBdr>
                <w:bottom w:val="single" w:sz="4" w:space="1" w:color="auto"/>
              </w:pBdr>
              <w:spacing w:after="120"/>
              <w:jc w:val="center"/>
              <w:rPr>
                <w:b/>
              </w:rPr>
            </w:pPr>
            <w:r w:rsidRPr="008149CD">
              <w:rPr>
                <w:b/>
              </w:rPr>
              <w:t>Population (millions)</w:t>
            </w:r>
          </w:p>
        </w:tc>
        <w:tc>
          <w:tcPr>
            <w:tcW w:w="1584" w:type="dxa"/>
            <w:vAlign w:val="bottom"/>
          </w:tcPr>
          <w:p w:rsidR="008149CD" w:rsidRPr="008149CD" w:rsidRDefault="008149CD" w:rsidP="00EA6D02">
            <w:pPr>
              <w:keepNext/>
              <w:pBdr>
                <w:bottom w:val="single" w:sz="4" w:space="1" w:color="auto"/>
              </w:pBdr>
              <w:spacing w:after="120"/>
              <w:jc w:val="center"/>
              <w:rPr>
                <w:b/>
              </w:rPr>
            </w:pPr>
            <w:r w:rsidRPr="008149CD">
              <w:rPr>
                <w:b/>
              </w:rPr>
              <w:t>% of total</w:t>
            </w:r>
          </w:p>
        </w:tc>
      </w:tr>
      <w:tr w:rsidR="008149CD" w:rsidRPr="008149CD" w:rsidTr="00365EBF">
        <w:trPr>
          <w:jc w:val="center"/>
        </w:trPr>
        <w:tc>
          <w:tcPr>
            <w:tcW w:w="1584" w:type="dxa"/>
            <w:vAlign w:val="bottom"/>
          </w:tcPr>
          <w:p w:rsidR="008149CD" w:rsidRPr="008149CD" w:rsidRDefault="008149CD" w:rsidP="008149CD">
            <w:pPr>
              <w:keepNext/>
              <w:jc w:val="center"/>
            </w:pPr>
            <w:r w:rsidRPr="008149CD">
              <w:t>Under 18</w:t>
            </w:r>
          </w:p>
        </w:tc>
        <w:tc>
          <w:tcPr>
            <w:tcW w:w="1584" w:type="dxa"/>
            <w:vAlign w:val="bottom"/>
          </w:tcPr>
          <w:p w:rsidR="008149CD" w:rsidRPr="008149CD" w:rsidRDefault="00197320" w:rsidP="008149CD">
            <w:pPr>
              <w:keepNext/>
              <w:tabs>
                <w:tab w:val="decimal" w:pos="648"/>
              </w:tabs>
              <w:jc w:val="left"/>
            </w:pPr>
            <w:r>
              <w:t>1.27</w:t>
            </w:r>
          </w:p>
        </w:tc>
        <w:tc>
          <w:tcPr>
            <w:tcW w:w="1584" w:type="dxa"/>
            <w:vAlign w:val="bottom"/>
          </w:tcPr>
          <w:p w:rsidR="008149CD" w:rsidRPr="008149CD" w:rsidRDefault="00197320" w:rsidP="008149CD">
            <w:pPr>
              <w:keepNext/>
              <w:tabs>
                <w:tab w:val="decimal" w:pos="774"/>
              </w:tabs>
              <w:jc w:val="left"/>
            </w:pPr>
            <w:r>
              <w:t>22.2</w:t>
            </w:r>
            <w:r w:rsidR="008149CD" w:rsidRPr="008149CD">
              <w:t>%</w:t>
            </w:r>
          </w:p>
        </w:tc>
        <w:tc>
          <w:tcPr>
            <w:tcW w:w="1584" w:type="dxa"/>
            <w:vAlign w:val="bottom"/>
          </w:tcPr>
          <w:p w:rsidR="008149CD" w:rsidRPr="008149CD" w:rsidRDefault="00197320" w:rsidP="008149CD">
            <w:pPr>
              <w:keepNext/>
              <w:tabs>
                <w:tab w:val="decimal" w:pos="720"/>
              </w:tabs>
              <w:jc w:val="left"/>
            </w:pPr>
            <w:r>
              <w:t>73.66</w:t>
            </w:r>
          </w:p>
        </w:tc>
        <w:tc>
          <w:tcPr>
            <w:tcW w:w="1584" w:type="dxa"/>
            <w:vAlign w:val="bottom"/>
          </w:tcPr>
          <w:p w:rsidR="008149CD" w:rsidRPr="008149CD" w:rsidRDefault="00197320" w:rsidP="008149CD">
            <w:pPr>
              <w:keepNext/>
              <w:tabs>
                <w:tab w:val="decimal" w:pos="846"/>
              </w:tabs>
              <w:jc w:val="left"/>
            </w:pPr>
            <w:r>
              <w:t>22.6</w:t>
            </w:r>
            <w:r w:rsidR="008149CD" w:rsidRPr="008149CD">
              <w:t>%</w:t>
            </w:r>
          </w:p>
        </w:tc>
      </w:tr>
      <w:tr w:rsidR="008149CD" w:rsidRPr="008149CD" w:rsidTr="00365EBF">
        <w:trPr>
          <w:jc w:val="center"/>
        </w:trPr>
        <w:tc>
          <w:tcPr>
            <w:tcW w:w="1584" w:type="dxa"/>
            <w:vAlign w:val="bottom"/>
          </w:tcPr>
          <w:p w:rsidR="008149CD" w:rsidRPr="008149CD" w:rsidRDefault="008149CD" w:rsidP="008149CD">
            <w:pPr>
              <w:keepNext/>
              <w:jc w:val="center"/>
            </w:pPr>
            <w:r w:rsidRPr="008149CD">
              <w:t>18 to 24</w:t>
            </w:r>
          </w:p>
        </w:tc>
        <w:tc>
          <w:tcPr>
            <w:tcW w:w="1584" w:type="dxa"/>
            <w:vAlign w:val="bottom"/>
          </w:tcPr>
          <w:p w:rsidR="008149CD" w:rsidRPr="008149CD" w:rsidRDefault="00197320" w:rsidP="008149CD">
            <w:pPr>
              <w:keepNext/>
              <w:tabs>
                <w:tab w:val="decimal" w:pos="648"/>
              </w:tabs>
              <w:jc w:val="left"/>
            </w:pPr>
            <w:r>
              <w:t>0.55</w:t>
            </w:r>
          </w:p>
        </w:tc>
        <w:tc>
          <w:tcPr>
            <w:tcW w:w="1584" w:type="dxa"/>
            <w:vAlign w:val="bottom"/>
          </w:tcPr>
          <w:p w:rsidR="008149CD" w:rsidRPr="008149CD" w:rsidRDefault="00197320" w:rsidP="008149CD">
            <w:pPr>
              <w:keepNext/>
              <w:tabs>
                <w:tab w:val="decimal" w:pos="774"/>
              </w:tabs>
              <w:jc w:val="left"/>
            </w:pPr>
            <w:r>
              <w:t>9.8</w:t>
            </w:r>
          </w:p>
        </w:tc>
        <w:tc>
          <w:tcPr>
            <w:tcW w:w="1584" w:type="dxa"/>
            <w:vAlign w:val="bottom"/>
          </w:tcPr>
          <w:p w:rsidR="008149CD" w:rsidRPr="008149CD" w:rsidRDefault="00197320" w:rsidP="008149CD">
            <w:pPr>
              <w:keepNext/>
              <w:tabs>
                <w:tab w:val="decimal" w:pos="720"/>
              </w:tabs>
              <w:jc w:val="left"/>
            </w:pPr>
            <w:r>
              <w:t>30.62</w:t>
            </w:r>
          </w:p>
        </w:tc>
        <w:tc>
          <w:tcPr>
            <w:tcW w:w="1584" w:type="dxa"/>
            <w:vAlign w:val="bottom"/>
          </w:tcPr>
          <w:p w:rsidR="008149CD" w:rsidRPr="008149CD" w:rsidRDefault="00197320" w:rsidP="008149CD">
            <w:pPr>
              <w:keepNext/>
              <w:tabs>
                <w:tab w:val="decimal" w:pos="846"/>
              </w:tabs>
              <w:jc w:val="left"/>
            </w:pPr>
            <w:r>
              <w:t>9.4</w:t>
            </w:r>
          </w:p>
        </w:tc>
      </w:tr>
      <w:tr w:rsidR="008149CD" w:rsidRPr="008149CD" w:rsidTr="00365EBF">
        <w:trPr>
          <w:jc w:val="center"/>
        </w:trPr>
        <w:tc>
          <w:tcPr>
            <w:tcW w:w="1584" w:type="dxa"/>
            <w:vAlign w:val="bottom"/>
          </w:tcPr>
          <w:p w:rsidR="008149CD" w:rsidRPr="008149CD" w:rsidRDefault="008149CD" w:rsidP="008149CD">
            <w:pPr>
              <w:keepNext/>
              <w:jc w:val="center"/>
            </w:pPr>
            <w:r w:rsidRPr="008149CD">
              <w:t>25 to 44</w:t>
            </w:r>
          </w:p>
        </w:tc>
        <w:tc>
          <w:tcPr>
            <w:tcW w:w="1584" w:type="dxa"/>
            <w:vAlign w:val="bottom"/>
          </w:tcPr>
          <w:p w:rsidR="008149CD" w:rsidRPr="008149CD" w:rsidRDefault="00197320" w:rsidP="008149CD">
            <w:pPr>
              <w:keepNext/>
              <w:tabs>
                <w:tab w:val="decimal" w:pos="648"/>
              </w:tabs>
              <w:jc w:val="left"/>
            </w:pPr>
            <w:r>
              <w:t>1.63</w:t>
            </w:r>
          </w:p>
        </w:tc>
        <w:tc>
          <w:tcPr>
            <w:tcW w:w="1584" w:type="dxa"/>
            <w:vAlign w:val="bottom"/>
          </w:tcPr>
          <w:p w:rsidR="008149CD" w:rsidRPr="008149CD" w:rsidRDefault="00197320" w:rsidP="008149CD">
            <w:pPr>
              <w:keepNext/>
              <w:tabs>
                <w:tab w:val="decimal" w:pos="774"/>
              </w:tabs>
              <w:jc w:val="left"/>
            </w:pPr>
            <w:r>
              <w:t>28.6</w:t>
            </w:r>
          </w:p>
        </w:tc>
        <w:tc>
          <w:tcPr>
            <w:tcW w:w="1584" w:type="dxa"/>
            <w:vAlign w:val="bottom"/>
          </w:tcPr>
          <w:p w:rsidR="008149CD" w:rsidRPr="008149CD" w:rsidRDefault="00197320" w:rsidP="008149CD">
            <w:pPr>
              <w:keepNext/>
              <w:tabs>
                <w:tab w:val="decimal" w:pos="720"/>
              </w:tabs>
              <w:jc w:val="left"/>
            </w:pPr>
            <w:r>
              <w:t>86.22</w:t>
            </w:r>
          </w:p>
        </w:tc>
        <w:tc>
          <w:tcPr>
            <w:tcW w:w="1584" w:type="dxa"/>
            <w:vAlign w:val="bottom"/>
          </w:tcPr>
          <w:p w:rsidR="008149CD" w:rsidRPr="008149CD" w:rsidRDefault="00197320" w:rsidP="008149CD">
            <w:pPr>
              <w:keepNext/>
              <w:tabs>
                <w:tab w:val="decimal" w:pos="846"/>
              </w:tabs>
              <w:jc w:val="left"/>
            </w:pPr>
            <w:r>
              <w:t>26.5</w:t>
            </w:r>
          </w:p>
        </w:tc>
      </w:tr>
      <w:tr w:rsidR="008149CD" w:rsidRPr="008149CD" w:rsidTr="00365EBF">
        <w:trPr>
          <w:jc w:val="center"/>
        </w:trPr>
        <w:tc>
          <w:tcPr>
            <w:tcW w:w="1584" w:type="dxa"/>
            <w:vAlign w:val="bottom"/>
          </w:tcPr>
          <w:p w:rsidR="008149CD" w:rsidRPr="008149CD" w:rsidRDefault="008149CD" w:rsidP="008149CD">
            <w:pPr>
              <w:keepNext/>
              <w:jc w:val="center"/>
            </w:pPr>
            <w:r w:rsidRPr="008149CD">
              <w:t>45 to 64</w:t>
            </w:r>
          </w:p>
        </w:tc>
        <w:tc>
          <w:tcPr>
            <w:tcW w:w="1584" w:type="dxa"/>
            <w:vAlign w:val="bottom"/>
          </w:tcPr>
          <w:p w:rsidR="008149CD" w:rsidRPr="008149CD" w:rsidRDefault="00197320" w:rsidP="008149CD">
            <w:pPr>
              <w:keepNext/>
              <w:tabs>
                <w:tab w:val="decimal" w:pos="648"/>
              </w:tabs>
              <w:jc w:val="left"/>
            </w:pPr>
            <w:r>
              <w:t>1.43</w:t>
            </w:r>
          </w:p>
        </w:tc>
        <w:tc>
          <w:tcPr>
            <w:tcW w:w="1584" w:type="dxa"/>
            <w:vAlign w:val="bottom"/>
          </w:tcPr>
          <w:p w:rsidR="008149CD" w:rsidRPr="008149CD" w:rsidRDefault="00197320" w:rsidP="008149CD">
            <w:pPr>
              <w:keepNext/>
              <w:tabs>
                <w:tab w:val="decimal" w:pos="774"/>
              </w:tabs>
              <w:jc w:val="left"/>
            </w:pPr>
            <w:r>
              <w:t>25.2</w:t>
            </w:r>
          </w:p>
        </w:tc>
        <w:tc>
          <w:tcPr>
            <w:tcW w:w="1584" w:type="dxa"/>
            <w:vAlign w:val="bottom"/>
          </w:tcPr>
          <w:p w:rsidR="008149CD" w:rsidRPr="008149CD" w:rsidRDefault="00197320" w:rsidP="008149CD">
            <w:pPr>
              <w:keepNext/>
              <w:tabs>
                <w:tab w:val="decimal" w:pos="720"/>
              </w:tabs>
              <w:jc w:val="left"/>
            </w:pPr>
            <w:r>
              <w:t>84.37</w:t>
            </w:r>
          </w:p>
        </w:tc>
        <w:tc>
          <w:tcPr>
            <w:tcW w:w="1584" w:type="dxa"/>
            <w:vAlign w:val="bottom"/>
          </w:tcPr>
          <w:p w:rsidR="008149CD" w:rsidRPr="008149CD" w:rsidRDefault="00197320" w:rsidP="008149CD">
            <w:pPr>
              <w:keepNext/>
              <w:tabs>
                <w:tab w:val="decimal" w:pos="846"/>
              </w:tabs>
              <w:jc w:val="left"/>
            </w:pPr>
            <w:r>
              <w:t>25.9</w:t>
            </w:r>
          </w:p>
        </w:tc>
      </w:tr>
      <w:tr w:rsidR="008149CD" w:rsidRPr="008149CD" w:rsidTr="00365EBF">
        <w:trPr>
          <w:jc w:val="center"/>
        </w:trPr>
        <w:tc>
          <w:tcPr>
            <w:tcW w:w="1584" w:type="dxa"/>
            <w:vAlign w:val="bottom"/>
          </w:tcPr>
          <w:p w:rsidR="008149CD" w:rsidRPr="008149CD" w:rsidRDefault="008149CD" w:rsidP="008149CD">
            <w:pPr>
              <w:keepNext/>
              <w:jc w:val="center"/>
            </w:pPr>
            <w:r w:rsidRPr="008149CD">
              <w:t>65+</w:t>
            </w:r>
          </w:p>
        </w:tc>
        <w:tc>
          <w:tcPr>
            <w:tcW w:w="1584" w:type="dxa"/>
            <w:vAlign w:val="bottom"/>
          </w:tcPr>
          <w:p w:rsidR="008149CD" w:rsidRPr="00197320" w:rsidRDefault="00197320" w:rsidP="008149CD">
            <w:pPr>
              <w:keepNext/>
              <w:tabs>
                <w:tab w:val="decimal" w:pos="648"/>
              </w:tabs>
              <w:jc w:val="left"/>
              <w:rPr>
                <w:u w:val="single"/>
              </w:rPr>
            </w:pPr>
            <w:r w:rsidRPr="00197320">
              <w:rPr>
                <w:u w:val="single"/>
              </w:rPr>
              <w:t>0.81</w:t>
            </w:r>
          </w:p>
        </w:tc>
        <w:tc>
          <w:tcPr>
            <w:tcW w:w="1584" w:type="dxa"/>
            <w:vAlign w:val="bottom"/>
          </w:tcPr>
          <w:p w:rsidR="008149CD" w:rsidRPr="00197320" w:rsidRDefault="00197320" w:rsidP="008149CD">
            <w:pPr>
              <w:keepNext/>
              <w:tabs>
                <w:tab w:val="decimal" w:pos="774"/>
              </w:tabs>
              <w:jc w:val="left"/>
              <w:rPr>
                <w:u w:val="single"/>
              </w:rPr>
            </w:pPr>
            <w:r w:rsidRPr="00197320">
              <w:rPr>
                <w:u w:val="single"/>
              </w:rPr>
              <w:t>14.2</w:t>
            </w:r>
          </w:p>
        </w:tc>
        <w:tc>
          <w:tcPr>
            <w:tcW w:w="1584" w:type="dxa"/>
            <w:vAlign w:val="bottom"/>
          </w:tcPr>
          <w:p w:rsidR="008149CD" w:rsidRPr="00197320" w:rsidRDefault="00197320" w:rsidP="008149CD">
            <w:pPr>
              <w:keepNext/>
              <w:tabs>
                <w:tab w:val="decimal" w:pos="720"/>
              </w:tabs>
              <w:jc w:val="left"/>
              <w:rPr>
                <w:u w:val="single"/>
              </w:rPr>
            </w:pPr>
            <w:r>
              <w:rPr>
                <w:u w:val="single"/>
              </w:rPr>
              <w:t xml:space="preserve">  50.86</w:t>
            </w:r>
          </w:p>
        </w:tc>
        <w:tc>
          <w:tcPr>
            <w:tcW w:w="1584" w:type="dxa"/>
            <w:vAlign w:val="bottom"/>
          </w:tcPr>
          <w:p w:rsidR="008149CD" w:rsidRPr="00197320" w:rsidRDefault="00197320" w:rsidP="008149CD">
            <w:pPr>
              <w:keepNext/>
              <w:tabs>
                <w:tab w:val="decimal" w:pos="846"/>
              </w:tabs>
              <w:jc w:val="left"/>
              <w:rPr>
                <w:u w:val="single"/>
              </w:rPr>
            </w:pPr>
            <w:r>
              <w:rPr>
                <w:u w:val="single"/>
              </w:rPr>
              <w:t xml:space="preserve">  15.6</w:t>
            </w:r>
          </w:p>
        </w:tc>
      </w:tr>
      <w:tr w:rsidR="008149CD" w:rsidRPr="008149CD" w:rsidTr="00365EBF">
        <w:trPr>
          <w:jc w:val="center"/>
        </w:trPr>
        <w:tc>
          <w:tcPr>
            <w:tcW w:w="1584" w:type="dxa"/>
            <w:vAlign w:val="bottom"/>
          </w:tcPr>
          <w:p w:rsidR="008149CD" w:rsidRPr="008149CD" w:rsidRDefault="008149CD" w:rsidP="008149CD">
            <w:pPr>
              <w:keepNext/>
              <w:jc w:val="center"/>
            </w:pPr>
            <w:r w:rsidRPr="008149CD">
              <w:t>Total</w:t>
            </w:r>
          </w:p>
        </w:tc>
        <w:tc>
          <w:tcPr>
            <w:tcW w:w="1584" w:type="dxa"/>
            <w:vAlign w:val="bottom"/>
          </w:tcPr>
          <w:p w:rsidR="008149CD" w:rsidRPr="008149CD" w:rsidRDefault="00197320" w:rsidP="008149CD">
            <w:pPr>
              <w:keepNext/>
              <w:tabs>
                <w:tab w:val="decimal" w:pos="648"/>
              </w:tabs>
              <w:jc w:val="left"/>
            </w:pPr>
            <w:r>
              <w:t>5.69</w:t>
            </w:r>
          </w:p>
        </w:tc>
        <w:tc>
          <w:tcPr>
            <w:tcW w:w="1584" w:type="dxa"/>
            <w:vAlign w:val="bottom"/>
          </w:tcPr>
          <w:p w:rsidR="008149CD" w:rsidRPr="008149CD" w:rsidRDefault="00197320" w:rsidP="008149CD">
            <w:pPr>
              <w:keepNext/>
              <w:tabs>
                <w:tab w:val="decimal" w:pos="774"/>
              </w:tabs>
              <w:jc w:val="left"/>
            </w:pPr>
            <w:r>
              <w:t>100.0</w:t>
            </w:r>
          </w:p>
        </w:tc>
        <w:tc>
          <w:tcPr>
            <w:tcW w:w="1584" w:type="dxa"/>
            <w:vAlign w:val="bottom"/>
          </w:tcPr>
          <w:p w:rsidR="008149CD" w:rsidRPr="008149CD" w:rsidRDefault="00197320" w:rsidP="008149CD">
            <w:pPr>
              <w:keepNext/>
              <w:tabs>
                <w:tab w:val="decimal" w:pos="720"/>
              </w:tabs>
              <w:jc w:val="left"/>
            </w:pPr>
            <w:r>
              <w:t>325.72</w:t>
            </w:r>
          </w:p>
        </w:tc>
        <w:tc>
          <w:tcPr>
            <w:tcW w:w="1584" w:type="dxa"/>
            <w:vAlign w:val="bottom"/>
          </w:tcPr>
          <w:p w:rsidR="008149CD" w:rsidRPr="008149CD" w:rsidRDefault="00197320" w:rsidP="008149CD">
            <w:pPr>
              <w:keepNext/>
              <w:tabs>
                <w:tab w:val="decimal" w:pos="846"/>
              </w:tabs>
              <w:jc w:val="left"/>
            </w:pPr>
            <w:r>
              <w:t>100.0</w:t>
            </w:r>
          </w:p>
        </w:tc>
      </w:tr>
      <w:tr w:rsidR="008149CD" w:rsidRPr="008149CD" w:rsidTr="00365EBF">
        <w:trPr>
          <w:jc w:val="center"/>
        </w:trPr>
        <w:tc>
          <w:tcPr>
            <w:tcW w:w="1584" w:type="dxa"/>
            <w:vAlign w:val="bottom"/>
          </w:tcPr>
          <w:p w:rsidR="008149CD" w:rsidRPr="008149CD" w:rsidRDefault="008149CD" w:rsidP="008149CD">
            <w:pPr>
              <w:keepNext/>
              <w:jc w:val="center"/>
            </w:pPr>
          </w:p>
        </w:tc>
        <w:tc>
          <w:tcPr>
            <w:tcW w:w="1584" w:type="dxa"/>
            <w:vAlign w:val="bottom"/>
          </w:tcPr>
          <w:p w:rsidR="008149CD" w:rsidRPr="008149CD" w:rsidRDefault="008149CD" w:rsidP="008149CD">
            <w:pPr>
              <w:keepNext/>
              <w:tabs>
                <w:tab w:val="decimal" w:pos="648"/>
              </w:tabs>
              <w:jc w:val="left"/>
            </w:pPr>
          </w:p>
        </w:tc>
        <w:tc>
          <w:tcPr>
            <w:tcW w:w="1584" w:type="dxa"/>
            <w:vAlign w:val="bottom"/>
          </w:tcPr>
          <w:p w:rsidR="008149CD" w:rsidRPr="008149CD" w:rsidRDefault="008149CD" w:rsidP="008149CD">
            <w:pPr>
              <w:keepNext/>
              <w:tabs>
                <w:tab w:val="decimal" w:pos="774"/>
              </w:tabs>
              <w:jc w:val="left"/>
            </w:pPr>
          </w:p>
        </w:tc>
        <w:tc>
          <w:tcPr>
            <w:tcW w:w="1584" w:type="dxa"/>
            <w:vAlign w:val="bottom"/>
          </w:tcPr>
          <w:p w:rsidR="008149CD" w:rsidRPr="008149CD" w:rsidRDefault="008149CD" w:rsidP="008149CD">
            <w:pPr>
              <w:keepNext/>
              <w:tabs>
                <w:tab w:val="decimal" w:pos="720"/>
              </w:tabs>
              <w:jc w:val="left"/>
            </w:pPr>
          </w:p>
        </w:tc>
        <w:tc>
          <w:tcPr>
            <w:tcW w:w="1584" w:type="dxa"/>
            <w:vAlign w:val="bottom"/>
          </w:tcPr>
          <w:p w:rsidR="008149CD" w:rsidRPr="008149CD" w:rsidRDefault="008149CD" w:rsidP="008149CD">
            <w:pPr>
              <w:keepNext/>
              <w:tabs>
                <w:tab w:val="decimal" w:pos="846"/>
              </w:tabs>
              <w:jc w:val="left"/>
            </w:pPr>
          </w:p>
        </w:tc>
      </w:tr>
      <w:tr w:rsidR="008149CD" w:rsidRPr="008149CD" w:rsidTr="00365EBF">
        <w:trPr>
          <w:jc w:val="center"/>
        </w:trPr>
        <w:tc>
          <w:tcPr>
            <w:tcW w:w="1584" w:type="dxa"/>
            <w:vAlign w:val="bottom"/>
          </w:tcPr>
          <w:p w:rsidR="008149CD" w:rsidRPr="008149CD" w:rsidRDefault="008149CD" w:rsidP="008149CD">
            <w:pPr>
              <w:keepNext/>
              <w:jc w:val="center"/>
            </w:pPr>
            <w:r w:rsidRPr="008149CD">
              <w:t>Median Age</w:t>
            </w:r>
          </w:p>
        </w:tc>
        <w:tc>
          <w:tcPr>
            <w:tcW w:w="3168" w:type="dxa"/>
            <w:gridSpan w:val="2"/>
            <w:vAlign w:val="bottom"/>
          </w:tcPr>
          <w:p w:rsidR="008149CD" w:rsidRPr="008149CD" w:rsidRDefault="00197320" w:rsidP="00197320">
            <w:pPr>
              <w:keepNext/>
              <w:jc w:val="center"/>
            </w:pPr>
            <w:r>
              <w:t>37.4</w:t>
            </w:r>
          </w:p>
        </w:tc>
        <w:tc>
          <w:tcPr>
            <w:tcW w:w="3168" w:type="dxa"/>
            <w:gridSpan w:val="2"/>
            <w:vAlign w:val="bottom"/>
          </w:tcPr>
          <w:p w:rsidR="008149CD" w:rsidRPr="008149CD" w:rsidRDefault="00197320" w:rsidP="00197320">
            <w:pPr>
              <w:keepNext/>
              <w:jc w:val="center"/>
            </w:pPr>
            <w:r>
              <w:t>39.4</w:t>
            </w:r>
          </w:p>
        </w:tc>
      </w:tr>
      <w:tr w:rsidR="008149CD" w:rsidRPr="00163143" w:rsidTr="00365EBF">
        <w:trPr>
          <w:jc w:val="center"/>
        </w:trPr>
        <w:tc>
          <w:tcPr>
            <w:tcW w:w="7920" w:type="dxa"/>
            <w:gridSpan w:val="5"/>
            <w:vAlign w:val="bottom"/>
          </w:tcPr>
          <w:p w:rsidR="00197320" w:rsidRPr="005B1ADC" w:rsidRDefault="00197320" w:rsidP="00197320">
            <w:pPr>
              <w:rPr>
                <w:sz w:val="20"/>
              </w:rPr>
            </w:pPr>
            <w:r w:rsidRPr="005B1ADC">
              <w:rPr>
                <w:sz w:val="20"/>
              </w:rPr>
              <w:t>Note: Totals may not add due to rounding.  The U.S. 201</w:t>
            </w:r>
            <w:r>
              <w:rPr>
                <w:sz w:val="20"/>
              </w:rPr>
              <w:t>7</w:t>
            </w:r>
            <w:r w:rsidRPr="005B1ADC">
              <w:rPr>
                <w:sz w:val="20"/>
              </w:rPr>
              <w:t xml:space="preserve"> count is an estimate, and the Colorado 201</w:t>
            </w:r>
            <w:r>
              <w:rPr>
                <w:sz w:val="20"/>
              </w:rPr>
              <w:t>8</w:t>
            </w:r>
            <w:r w:rsidRPr="005B1ADC">
              <w:rPr>
                <w:sz w:val="20"/>
              </w:rPr>
              <w:t xml:space="preserve"> count is a forecast.</w:t>
            </w:r>
          </w:p>
          <w:p w:rsidR="008149CD" w:rsidRPr="00163143" w:rsidRDefault="00197320" w:rsidP="00197320">
            <w:pPr>
              <w:keepNext/>
            </w:pPr>
            <w:r w:rsidRPr="005B1ADC">
              <w:rPr>
                <w:sz w:val="20"/>
              </w:rPr>
              <w:t>Sources: Colorado Division of Local Government, State Demography Office; U.S. Census Bureau, Population Estimates Program</w:t>
            </w:r>
          </w:p>
        </w:tc>
      </w:tr>
    </w:tbl>
    <w:p w:rsidR="008149CD" w:rsidRPr="008149CD" w:rsidRDefault="008149CD" w:rsidP="008149CD"/>
    <w:p w:rsidR="008149CD" w:rsidRPr="008149CD" w:rsidRDefault="008149CD" w:rsidP="00225E2F">
      <w:pPr>
        <w:pStyle w:val="LeftHeading"/>
      </w:pPr>
      <w:r w:rsidRPr="008149CD">
        <w:t>Income</w:t>
      </w:r>
    </w:p>
    <w:p w:rsidR="008149CD" w:rsidRPr="008149CD" w:rsidRDefault="008149CD" w:rsidP="00225E2F">
      <w:pPr>
        <w:pStyle w:val="BodyText"/>
      </w:pPr>
      <w:r w:rsidRPr="008149CD">
        <w:t>The following table provides annual per capita personal income figures for the State, the Rocky Mountain Region and the United States.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tblGrid>
      <w:tr w:rsidR="008149CD" w:rsidRPr="008149CD" w:rsidTr="00365EBF">
        <w:trPr>
          <w:jc w:val="center"/>
        </w:trPr>
        <w:tc>
          <w:tcPr>
            <w:tcW w:w="9350" w:type="dxa"/>
            <w:gridSpan w:val="7"/>
          </w:tcPr>
          <w:p w:rsidR="008149CD" w:rsidRPr="008149CD" w:rsidRDefault="008149CD" w:rsidP="008149CD">
            <w:pPr>
              <w:keepNext/>
              <w:spacing w:after="240"/>
              <w:jc w:val="center"/>
              <w:rPr>
                <w:b/>
              </w:rPr>
            </w:pPr>
            <w:r w:rsidRPr="008149CD">
              <w:rPr>
                <w:b/>
              </w:rPr>
              <w:t>Per Capita Personal Income in Current Dollars</w:t>
            </w:r>
            <w:r w:rsidR="00163143">
              <w:rPr>
                <w:b/>
                <w:vertAlign w:val="superscript"/>
              </w:rPr>
              <w:t>1</w:t>
            </w:r>
          </w:p>
        </w:tc>
      </w:tr>
      <w:tr w:rsidR="008149CD" w:rsidRPr="008149CD" w:rsidTr="00365EBF">
        <w:trPr>
          <w:jc w:val="center"/>
        </w:trPr>
        <w:tc>
          <w:tcPr>
            <w:tcW w:w="1335" w:type="dxa"/>
          </w:tcPr>
          <w:p w:rsidR="008149CD" w:rsidRPr="008149CD" w:rsidRDefault="008149CD" w:rsidP="00EA6D02">
            <w:pPr>
              <w:keepNext/>
              <w:spacing w:after="60"/>
            </w:pPr>
          </w:p>
        </w:tc>
        <w:tc>
          <w:tcPr>
            <w:tcW w:w="2671" w:type="dxa"/>
            <w:gridSpan w:val="2"/>
            <w:vAlign w:val="bottom"/>
          </w:tcPr>
          <w:p w:rsidR="008149CD" w:rsidRPr="008149CD" w:rsidRDefault="008149CD" w:rsidP="00EA6D02">
            <w:pPr>
              <w:keepNext/>
              <w:pBdr>
                <w:bottom w:val="single" w:sz="4" w:space="1" w:color="auto"/>
              </w:pBdr>
              <w:spacing w:after="60"/>
              <w:jc w:val="center"/>
              <w:rPr>
                <w:b/>
              </w:rPr>
            </w:pPr>
            <w:r w:rsidRPr="008149CD">
              <w:rPr>
                <w:b/>
              </w:rPr>
              <w:t>Colorado</w:t>
            </w:r>
          </w:p>
        </w:tc>
        <w:tc>
          <w:tcPr>
            <w:tcW w:w="2672" w:type="dxa"/>
            <w:gridSpan w:val="2"/>
            <w:vAlign w:val="bottom"/>
          </w:tcPr>
          <w:p w:rsidR="008149CD" w:rsidRPr="008149CD" w:rsidRDefault="008149CD" w:rsidP="00EA6D02">
            <w:pPr>
              <w:keepNext/>
              <w:pBdr>
                <w:bottom w:val="single" w:sz="4" w:space="1" w:color="auto"/>
              </w:pBdr>
              <w:spacing w:after="60"/>
              <w:jc w:val="center"/>
              <w:rPr>
                <w:b/>
              </w:rPr>
            </w:pPr>
            <w:r w:rsidRPr="008149CD">
              <w:rPr>
                <w:b/>
              </w:rPr>
              <w:t>Rocky Mountain Region</w:t>
            </w:r>
            <w:r w:rsidR="00163143" w:rsidRPr="00163143">
              <w:rPr>
                <w:b/>
                <w:vertAlign w:val="superscript"/>
              </w:rPr>
              <w:t>2</w:t>
            </w:r>
          </w:p>
        </w:tc>
        <w:tc>
          <w:tcPr>
            <w:tcW w:w="2672" w:type="dxa"/>
            <w:gridSpan w:val="2"/>
            <w:vAlign w:val="bottom"/>
          </w:tcPr>
          <w:p w:rsidR="008149CD" w:rsidRPr="008149CD" w:rsidRDefault="008149CD" w:rsidP="00EA6D02">
            <w:pPr>
              <w:keepNext/>
              <w:pBdr>
                <w:bottom w:val="single" w:sz="4" w:space="1" w:color="auto"/>
              </w:pBdr>
              <w:spacing w:after="60"/>
              <w:jc w:val="center"/>
              <w:rPr>
                <w:b/>
              </w:rPr>
            </w:pPr>
            <w:r w:rsidRPr="008149CD">
              <w:rPr>
                <w:b/>
              </w:rPr>
              <w:t>United States</w:t>
            </w:r>
          </w:p>
        </w:tc>
      </w:tr>
      <w:tr w:rsidR="008149CD" w:rsidRPr="008149CD" w:rsidTr="00365EBF">
        <w:trPr>
          <w:jc w:val="center"/>
        </w:trPr>
        <w:tc>
          <w:tcPr>
            <w:tcW w:w="1335" w:type="dxa"/>
          </w:tcPr>
          <w:p w:rsidR="008149CD" w:rsidRPr="008149CD" w:rsidRDefault="008149CD" w:rsidP="00EA6D02">
            <w:pPr>
              <w:keepNext/>
              <w:spacing w:after="120"/>
            </w:pPr>
          </w:p>
        </w:tc>
        <w:tc>
          <w:tcPr>
            <w:tcW w:w="1335" w:type="dxa"/>
            <w:vAlign w:val="bottom"/>
          </w:tcPr>
          <w:p w:rsidR="008149CD" w:rsidRPr="008149CD" w:rsidRDefault="008149CD" w:rsidP="00EA6D02">
            <w:pPr>
              <w:keepNext/>
              <w:pBdr>
                <w:bottom w:val="single" w:sz="4" w:space="1" w:color="auto"/>
              </w:pBdr>
              <w:spacing w:after="120"/>
              <w:jc w:val="center"/>
              <w:rPr>
                <w:b/>
              </w:rPr>
            </w:pPr>
            <w:r w:rsidRPr="008149CD">
              <w:rPr>
                <w:b/>
              </w:rPr>
              <w:t>Income</w:t>
            </w:r>
          </w:p>
        </w:tc>
        <w:tc>
          <w:tcPr>
            <w:tcW w:w="1336" w:type="dxa"/>
            <w:vAlign w:val="bottom"/>
          </w:tcPr>
          <w:p w:rsidR="008149CD" w:rsidRPr="008149CD" w:rsidRDefault="008149CD" w:rsidP="00EA6D02">
            <w:pPr>
              <w:keepNext/>
              <w:pBdr>
                <w:bottom w:val="single" w:sz="4" w:space="1" w:color="auto"/>
              </w:pBdr>
              <w:spacing w:after="120"/>
              <w:jc w:val="center"/>
              <w:rPr>
                <w:b/>
              </w:rPr>
            </w:pPr>
            <w:r w:rsidRPr="008149CD">
              <w:rPr>
                <w:b/>
              </w:rPr>
              <w:t>% Change</w:t>
            </w:r>
          </w:p>
        </w:tc>
        <w:tc>
          <w:tcPr>
            <w:tcW w:w="1336" w:type="dxa"/>
            <w:vAlign w:val="bottom"/>
          </w:tcPr>
          <w:p w:rsidR="008149CD" w:rsidRPr="008149CD" w:rsidRDefault="008149CD" w:rsidP="00EA6D02">
            <w:pPr>
              <w:keepNext/>
              <w:pBdr>
                <w:bottom w:val="single" w:sz="4" w:space="1" w:color="auto"/>
              </w:pBdr>
              <w:spacing w:after="120"/>
              <w:jc w:val="center"/>
              <w:rPr>
                <w:b/>
              </w:rPr>
            </w:pPr>
            <w:r w:rsidRPr="008149CD">
              <w:rPr>
                <w:b/>
              </w:rPr>
              <w:t>Income</w:t>
            </w:r>
          </w:p>
        </w:tc>
        <w:tc>
          <w:tcPr>
            <w:tcW w:w="1336" w:type="dxa"/>
            <w:vAlign w:val="bottom"/>
          </w:tcPr>
          <w:p w:rsidR="008149CD" w:rsidRPr="008149CD" w:rsidRDefault="008149CD" w:rsidP="00EA6D02">
            <w:pPr>
              <w:keepNext/>
              <w:pBdr>
                <w:bottom w:val="single" w:sz="4" w:space="1" w:color="auto"/>
              </w:pBdr>
              <w:spacing w:after="120"/>
              <w:jc w:val="center"/>
              <w:rPr>
                <w:b/>
              </w:rPr>
            </w:pPr>
            <w:r w:rsidRPr="008149CD">
              <w:rPr>
                <w:b/>
              </w:rPr>
              <w:t>% Change</w:t>
            </w:r>
          </w:p>
        </w:tc>
        <w:tc>
          <w:tcPr>
            <w:tcW w:w="1336" w:type="dxa"/>
            <w:vAlign w:val="bottom"/>
          </w:tcPr>
          <w:p w:rsidR="008149CD" w:rsidRPr="008149CD" w:rsidRDefault="008149CD" w:rsidP="00EA6D02">
            <w:pPr>
              <w:keepNext/>
              <w:pBdr>
                <w:bottom w:val="single" w:sz="4" w:space="1" w:color="auto"/>
              </w:pBdr>
              <w:spacing w:after="120"/>
              <w:jc w:val="center"/>
              <w:rPr>
                <w:b/>
              </w:rPr>
            </w:pPr>
            <w:r w:rsidRPr="008149CD">
              <w:rPr>
                <w:b/>
              </w:rPr>
              <w:t>Income</w:t>
            </w:r>
          </w:p>
        </w:tc>
        <w:tc>
          <w:tcPr>
            <w:tcW w:w="1336" w:type="dxa"/>
            <w:vAlign w:val="bottom"/>
          </w:tcPr>
          <w:p w:rsidR="008149CD" w:rsidRPr="008149CD" w:rsidRDefault="008149CD" w:rsidP="00EA6D02">
            <w:pPr>
              <w:keepNext/>
              <w:pBdr>
                <w:bottom w:val="single" w:sz="4" w:space="1" w:color="auto"/>
              </w:pBdr>
              <w:spacing w:after="120"/>
              <w:jc w:val="center"/>
              <w:rPr>
                <w:b/>
              </w:rPr>
            </w:pPr>
            <w:r w:rsidRPr="008149CD">
              <w:rPr>
                <w:b/>
              </w:rPr>
              <w:t>% Change</w:t>
            </w:r>
          </w:p>
        </w:tc>
      </w:tr>
      <w:tr w:rsidR="008149CD" w:rsidRPr="008149CD" w:rsidTr="00365EBF">
        <w:trPr>
          <w:jc w:val="center"/>
        </w:trPr>
        <w:tc>
          <w:tcPr>
            <w:tcW w:w="1335" w:type="dxa"/>
          </w:tcPr>
          <w:p w:rsidR="008149CD" w:rsidRPr="008149CD" w:rsidRDefault="00EA6D02" w:rsidP="008149CD">
            <w:pPr>
              <w:keepNext/>
              <w:jc w:val="center"/>
            </w:pPr>
            <w:r>
              <w:t>2014</w:t>
            </w:r>
          </w:p>
        </w:tc>
        <w:tc>
          <w:tcPr>
            <w:tcW w:w="1335" w:type="dxa"/>
          </w:tcPr>
          <w:p w:rsidR="008149CD" w:rsidRPr="008149CD" w:rsidRDefault="008149CD" w:rsidP="00197320">
            <w:pPr>
              <w:keepNext/>
              <w:tabs>
                <w:tab w:val="decimal" w:pos="897"/>
              </w:tabs>
            </w:pPr>
            <w:r w:rsidRPr="008149CD">
              <w:t>$</w:t>
            </w:r>
            <w:r w:rsidR="00197320">
              <w:t>50,662</w:t>
            </w:r>
          </w:p>
        </w:tc>
        <w:tc>
          <w:tcPr>
            <w:tcW w:w="1336" w:type="dxa"/>
          </w:tcPr>
          <w:p w:rsidR="008149CD" w:rsidRPr="008149CD" w:rsidRDefault="00197320" w:rsidP="00197320">
            <w:pPr>
              <w:keepNext/>
              <w:tabs>
                <w:tab w:val="decimal" w:pos="552"/>
              </w:tabs>
            </w:pPr>
            <w:r>
              <w:t>7.3</w:t>
            </w:r>
            <w:r w:rsidR="008149CD" w:rsidRPr="008149CD">
              <w:t>%</w:t>
            </w:r>
          </w:p>
        </w:tc>
        <w:tc>
          <w:tcPr>
            <w:tcW w:w="1336" w:type="dxa"/>
          </w:tcPr>
          <w:p w:rsidR="008149CD" w:rsidRPr="008149CD" w:rsidRDefault="008149CD" w:rsidP="00223128">
            <w:pPr>
              <w:keepNext/>
              <w:tabs>
                <w:tab w:val="decimal" w:pos="836"/>
              </w:tabs>
            </w:pPr>
            <w:r w:rsidRPr="008149CD">
              <w:t>$</w:t>
            </w:r>
            <w:r w:rsidR="00197320">
              <w:t>45,268</w:t>
            </w:r>
          </w:p>
        </w:tc>
        <w:tc>
          <w:tcPr>
            <w:tcW w:w="1336" w:type="dxa"/>
          </w:tcPr>
          <w:p w:rsidR="008149CD" w:rsidRPr="008149CD" w:rsidRDefault="00223128" w:rsidP="008149CD">
            <w:pPr>
              <w:keepNext/>
              <w:tabs>
                <w:tab w:val="decimal" w:pos="580"/>
              </w:tabs>
            </w:pPr>
            <w:r>
              <w:t>6.1</w:t>
            </w:r>
            <w:r w:rsidR="008149CD" w:rsidRPr="008149CD">
              <w:t>%</w:t>
            </w:r>
          </w:p>
        </w:tc>
        <w:tc>
          <w:tcPr>
            <w:tcW w:w="1336" w:type="dxa"/>
          </w:tcPr>
          <w:p w:rsidR="008149CD" w:rsidRPr="008149CD" w:rsidRDefault="008149CD" w:rsidP="00223128">
            <w:pPr>
              <w:keepNext/>
              <w:tabs>
                <w:tab w:val="decimal" w:pos="864"/>
              </w:tabs>
            </w:pPr>
            <w:r w:rsidRPr="008149CD">
              <w:t>$</w:t>
            </w:r>
            <w:r w:rsidR="00223128">
              <w:t>47,060</w:t>
            </w:r>
          </w:p>
        </w:tc>
        <w:tc>
          <w:tcPr>
            <w:tcW w:w="1336" w:type="dxa"/>
          </w:tcPr>
          <w:p w:rsidR="008149CD" w:rsidRPr="008149CD" w:rsidRDefault="00223128" w:rsidP="00223128">
            <w:pPr>
              <w:keepNext/>
              <w:tabs>
                <w:tab w:val="decimal" w:pos="428"/>
              </w:tabs>
            </w:pPr>
            <w:r>
              <w:t>4.9</w:t>
            </w:r>
            <w:r w:rsidR="008149CD" w:rsidRPr="008149CD">
              <w:t>%</w:t>
            </w:r>
          </w:p>
        </w:tc>
      </w:tr>
      <w:tr w:rsidR="008149CD" w:rsidRPr="008149CD" w:rsidTr="00365EBF">
        <w:trPr>
          <w:jc w:val="center"/>
        </w:trPr>
        <w:tc>
          <w:tcPr>
            <w:tcW w:w="1335" w:type="dxa"/>
          </w:tcPr>
          <w:p w:rsidR="008149CD" w:rsidRPr="008149CD" w:rsidRDefault="00EA6D02" w:rsidP="008149CD">
            <w:pPr>
              <w:keepNext/>
              <w:jc w:val="center"/>
            </w:pPr>
            <w:r>
              <w:t>2015</w:t>
            </w:r>
          </w:p>
        </w:tc>
        <w:tc>
          <w:tcPr>
            <w:tcW w:w="1335" w:type="dxa"/>
          </w:tcPr>
          <w:p w:rsidR="008149CD" w:rsidRPr="008149CD" w:rsidRDefault="00197320" w:rsidP="00197320">
            <w:pPr>
              <w:keepNext/>
              <w:tabs>
                <w:tab w:val="decimal" w:pos="897"/>
              </w:tabs>
            </w:pPr>
            <w:r>
              <w:t>52,116</w:t>
            </w:r>
          </w:p>
        </w:tc>
        <w:tc>
          <w:tcPr>
            <w:tcW w:w="1336" w:type="dxa"/>
          </w:tcPr>
          <w:p w:rsidR="008149CD" w:rsidRPr="008149CD" w:rsidRDefault="00197320" w:rsidP="00197320">
            <w:pPr>
              <w:keepNext/>
              <w:tabs>
                <w:tab w:val="decimal" w:pos="552"/>
              </w:tabs>
            </w:pPr>
            <w:r>
              <w:t>2.9</w:t>
            </w:r>
          </w:p>
        </w:tc>
        <w:tc>
          <w:tcPr>
            <w:tcW w:w="1336" w:type="dxa"/>
          </w:tcPr>
          <w:p w:rsidR="008149CD" w:rsidRPr="008149CD" w:rsidRDefault="00197320" w:rsidP="00223128">
            <w:pPr>
              <w:keepNext/>
              <w:tabs>
                <w:tab w:val="decimal" w:pos="836"/>
              </w:tabs>
            </w:pPr>
            <w:r>
              <w:t>47,000</w:t>
            </w:r>
          </w:p>
        </w:tc>
        <w:tc>
          <w:tcPr>
            <w:tcW w:w="1336" w:type="dxa"/>
          </w:tcPr>
          <w:p w:rsidR="008149CD" w:rsidRPr="008149CD" w:rsidRDefault="00223128" w:rsidP="008149CD">
            <w:pPr>
              <w:keepNext/>
              <w:tabs>
                <w:tab w:val="decimal" w:pos="580"/>
              </w:tabs>
            </w:pPr>
            <w:r>
              <w:t>3.8</w:t>
            </w:r>
          </w:p>
        </w:tc>
        <w:tc>
          <w:tcPr>
            <w:tcW w:w="1336" w:type="dxa"/>
          </w:tcPr>
          <w:p w:rsidR="008149CD" w:rsidRPr="008149CD" w:rsidRDefault="00223128" w:rsidP="00223128">
            <w:pPr>
              <w:keepNext/>
              <w:tabs>
                <w:tab w:val="decimal" w:pos="864"/>
              </w:tabs>
            </w:pPr>
            <w:r>
              <w:t>48,985</w:t>
            </w:r>
          </w:p>
        </w:tc>
        <w:tc>
          <w:tcPr>
            <w:tcW w:w="1336" w:type="dxa"/>
          </w:tcPr>
          <w:p w:rsidR="008149CD" w:rsidRPr="008149CD" w:rsidRDefault="00223128" w:rsidP="00223128">
            <w:pPr>
              <w:keepNext/>
              <w:tabs>
                <w:tab w:val="decimal" w:pos="428"/>
              </w:tabs>
            </w:pPr>
            <w:r>
              <w:t>4.1</w:t>
            </w:r>
          </w:p>
        </w:tc>
      </w:tr>
      <w:tr w:rsidR="008149CD" w:rsidRPr="008149CD" w:rsidTr="00365EBF">
        <w:trPr>
          <w:jc w:val="center"/>
        </w:trPr>
        <w:tc>
          <w:tcPr>
            <w:tcW w:w="1335" w:type="dxa"/>
          </w:tcPr>
          <w:p w:rsidR="008149CD" w:rsidRPr="008149CD" w:rsidRDefault="00EA6D02" w:rsidP="008149CD">
            <w:pPr>
              <w:keepNext/>
              <w:jc w:val="center"/>
            </w:pPr>
            <w:r>
              <w:t>2016</w:t>
            </w:r>
          </w:p>
        </w:tc>
        <w:tc>
          <w:tcPr>
            <w:tcW w:w="1335" w:type="dxa"/>
          </w:tcPr>
          <w:p w:rsidR="008149CD" w:rsidRPr="008149CD" w:rsidRDefault="00197320" w:rsidP="00197320">
            <w:pPr>
              <w:keepNext/>
              <w:tabs>
                <w:tab w:val="decimal" w:pos="897"/>
              </w:tabs>
            </w:pPr>
            <w:r>
              <w:t>52,269</w:t>
            </w:r>
          </w:p>
        </w:tc>
        <w:tc>
          <w:tcPr>
            <w:tcW w:w="1336" w:type="dxa"/>
          </w:tcPr>
          <w:p w:rsidR="008149CD" w:rsidRPr="008149CD" w:rsidRDefault="00197320" w:rsidP="00197320">
            <w:pPr>
              <w:keepNext/>
              <w:tabs>
                <w:tab w:val="decimal" w:pos="552"/>
              </w:tabs>
            </w:pPr>
            <w:r>
              <w:t>0.3</w:t>
            </w:r>
          </w:p>
        </w:tc>
        <w:tc>
          <w:tcPr>
            <w:tcW w:w="1336" w:type="dxa"/>
          </w:tcPr>
          <w:p w:rsidR="008149CD" w:rsidRPr="008149CD" w:rsidRDefault="00197320" w:rsidP="00223128">
            <w:pPr>
              <w:keepNext/>
              <w:tabs>
                <w:tab w:val="decimal" w:pos="836"/>
              </w:tabs>
            </w:pPr>
            <w:r>
              <w:t>47,451</w:t>
            </w:r>
          </w:p>
        </w:tc>
        <w:tc>
          <w:tcPr>
            <w:tcW w:w="1336" w:type="dxa"/>
          </w:tcPr>
          <w:p w:rsidR="008149CD" w:rsidRPr="008149CD" w:rsidRDefault="00223128" w:rsidP="008149CD">
            <w:pPr>
              <w:keepNext/>
              <w:tabs>
                <w:tab w:val="decimal" w:pos="580"/>
              </w:tabs>
            </w:pPr>
            <w:r>
              <w:t>1.0</w:t>
            </w:r>
          </w:p>
        </w:tc>
        <w:tc>
          <w:tcPr>
            <w:tcW w:w="1336" w:type="dxa"/>
          </w:tcPr>
          <w:p w:rsidR="008149CD" w:rsidRPr="008149CD" w:rsidRDefault="00223128" w:rsidP="00223128">
            <w:pPr>
              <w:keepNext/>
              <w:tabs>
                <w:tab w:val="decimal" w:pos="864"/>
              </w:tabs>
            </w:pPr>
            <w:r>
              <w:t>49,883</w:t>
            </w:r>
          </w:p>
        </w:tc>
        <w:tc>
          <w:tcPr>
            <w:tcW w:w="1336" w:type="dxa"/>
          </w:tcPr>
          <w:p w:rsidR="008149CD" w:rsidRPr="008149CD" w:rsidRDefault="00223128" w:rsidP="00223128">
            <w:pPr>
              <w:keepNext/>
              <w:tabs>
                <w:tab w:val="decimal" w:pos="428"/>
              </w:tabs>
            </w:pPr>
            <w:r>
              <w:t>1.8</w:t>
            </w:r>
          </w:p>
        </w:tc>
      </w:tr>
      <w:tr w:rsidR="008149CD" w:rsidRPr="008149CD" w:rsidTr="00365EBF">
        <w:trPr>
          <w:jc w:val="center"/>
        </w:trPr>
        <w:tc>
          <w:tcPr>
            <w:tcW w:w="1335" w:type="dxa"/>
          </w:tcPr>
          <w:p w:rsidR="008149CD" w:rsidRPr="008149CD" w:rsidRDefault="00EA6D02" w:rsidP="008149CD">
            <w:pPr>
              <w:keepNext/>
              <w:jc w:val="center"/>
            </w:pPr>
            <w:r>
              <w:t>2017</w:t>
            </w:r>
          </w:p>
        </w:tc>
        <w:tc>
          <w:tcPr>
            <w:tcW w:w="1335" w:type="dxa"/>
          </w:tcPr>
          <w:p w:rsidR="008149CD" w:rsidRPr="008149CD" w:rsidRDefault="00197320" w:rsidP="00197320">
            <w:pPr>
              <w:keepNext/>
              <w:tabs>
                <w:tab w:val="decimal" w:pos="897"/>
              </w:tabs>
            </w:pPr>
            <w:r>
              <w:t>54,561</w:t>
            </w:r>
          </w:p>
        </w:tc>
        <w:tc>
          <w:tcPr>
            <w:tcW w:w="1336" w:type="dxa"/>
          </w:tcPr>
          <w:p w:rsidR="008149CD" w:rsidRPr="008149CD" w:rsidRDefault="00197320" w:rsidP="00197320">
            <w:pPr>
              <w:keepNext/>
              <w:tabs>
                <w:tab w:val="decimal" w:pos="552"/>
              </w:tabs>
            </w:pPr>
            <w:r>
              <w:t>4.4</w:t>
            </w:r>
          </w:p>
        </w:tc>
        <w:tc>
          <w:tcPr>
            <w:tcW w:w="1336" w:type="dxa"/>
          </w:tcPr>
          <w:p w:rsidR="008149CD" w:rsidRPr="008149CD" w:rsidRDefault="00197320" w:rsidP="00223128">
            <w:pPr>
              <w:keepNext/>
              <w:tabs>
                <w:tab w:val="decimal" w:pos="836"/>
              </w:tabs>
            </w:pPr>
            <w:r>
              <w:t>49,207</w:t>
            </w:r>
          </w:p>
        </w:tc>
        <w:tc>
          <w:tcPr>
            <w:tcW w:w="1336" w:type="dxa"/>
          </w:tcPr>
          <w:p w:rsidR="008149CD" w:rsidRPr="008149CD" w:rsidRDefault="00223128" w:rsidP="008149CD">
            <w:pPr>
              <w:keepNext/>
              <w:tabs>
                <w:tab w:val="decimal" w:pos="580"/>
              </w:tabs>
            </w:pPr>
            <w:r>
              <w:t>3.7</w:t>
            </w:r>
          </w:p>
        </w:tc>
        <w:tc>
          <w:tcPr>
            <w:tcW w:w="1336" w:type="dxa"/>
          </w:tcPr>
          <w:p w:rsidR="008149CD" w:rsidRPr="008149CD" w:rsidRDefault="00223128" w:rsidP="00223128">
            <w:pPr>
              <w:keepNext/>
              <w:tabs>
                <w:tab w:val="decimal" w:pos="864"/>
              </w:tabs>
            </w:pPr>
            <w:r>
              <w:t>51,731</w:t>
            </w:r>
          </w:p>
        </w:tc>
        <w:tc>
          <w:tcPr>
            <w:tcW w:w="1336" w:type="dxa"/>
          </w:tcPr>
          <w:p w:rsidR="008149CD" w:rsidRPr="008149CD" w:rsidRDefault="00223128" w:rsidP="00223128">
            <w:pPr>
              <w:keepNext/>
              <w:tabs>
                <w:tab w:val="decimal" w:pos="428"/>
              </w:tabs>
            </w:pPr>
            <w:r>
              <w:t>3.7</w:t>
            </w:r>
          </w:p>
        </w:tc>
      </w:tr>
      <w:tr w:rsidR="008149CD" w:rsidRPr="008149CD" w:rsidTr="00365EBF">
        <w:trPr>
          <w:jc w:val="center"/>
        </w:trPr>
        <w:tc>
          <w:tcPr>
            <w:tcW w:w="1335" w:type="dxa"/>
          </w:tcPr>
          <w:p w:rsidR="008149CD" w:rsidRPr="008149CD" w:rsidRDefault="00EA6D02" w:rsidP="008149CD">
            <w:pPr>
              <w:keepNext/>
              <w:jc w:val="center"/>
            </w:pPr>
            <w:r>
              <w:t>2018</w:t>
            </w:r>
          </w:p>
        </w:tc>
        <w:tc>
          <w:tcPr>
            <w:tcW w:w="1335" w:type="dxa"/>
          </w:tcPr>
          <w:p w:rsidR="008149CD" w:rsidRPr="008149CD" w:rsidRDefault="00197320" w:rsidP="00197320">
            <w:pPr>
              <w:keepNext/>
              <w:tabs>
                <w:tab w:val="decimal" w:pos="897"/>
              </w:tabs>
            </w:pPr>
            <w:r>
              <w:t>56,846</w:t>
            </w:r>
          </w:p>
        </w:tc>
        <w:tc>
          <w:tcPr>
            <w:tcW w:w="1336" w:type="dxa"/>
          </w:tcPr>
          <w:p w:rsidR="008149CD" w:rsidRPr="008149CD" w:rsidRDefault="00197320" w:rsidP="00197320">
            <w:pPr>
              <w:keepNext/>
              <w:tabs>
                <w:tab w:val="decimal" w:pos="552"/>
              </w:tabs>
            </w:pPr>
            <w:r>
              <w:t>4.2</w:t>
            </w:r>
          </w:p>
        </w:tc>
        <w:tc>
          <w:tcPr>
            <w:tcW w:w="1336" w:type="dxa"/>
          </w:tcPr>
          <w:p w:rsidR="008149CD" w:rsidRPr="008149CD" w:rsidRDefault="00197320" w:rsidP="00223128">
            <w:pPr>
              <w:keepNext/>
              <w:tabs>
                <w:tab w:val="decimal" w:pos="836"/>
              </w:tabs>
            </w:pPr>
            <w:r>
              <w:t>51,226</w:t>
            </w:r>
          </w:p>
        </w:tc>
        <w:tc>
          <w:tcPr>
            <w:tcW w:w="1336" w:type="dxa"/>
          </w:tcPr>
          <w:p w:rsidR="008149CD" w:rsidRPr="008149CD" w:rsidRDefault="00223128" w:rsidP="008149CD">
            <w:pPr>
              <w:keepNext/>
              <w:tabs>
                <w:tab w:val="decimal" w:pos="580"/>
              </w:tabs>
            </w:pPr>
            <w:r>
              <w:t>4.1</w:t>
            </w:r>
          </w:p>
        </w:tc>
        <w:tc>
          <w:tcPr>
            <w:tcW w:w="1336" w:type="dxa"/>
          </w:tcPr>
          <w:p w:rsidR="008149CD" w:rsidRPr="008149CD" w:rsidRDefault="00223128" w:rsidP="00223128">
            <w:pPr>
              <w:keepNext/>
              <w:tabs>
                <w:tab w:val="decimal" w:pos="864"/>
              </w:tabs>
            </w:pPr>
            <w:r>
              <w:t>53,712</w:t>
            </w:r>
          </w:p>
        </w:tc>
        <w:tc>
          <w:tcPr>
            <w:tcW w:w="1336" w:type="dxa"/>
          </w:tcPr>
          <w:p w:rsidR="008149CD" w:rsidRPr="008149CD" w:rsidRDefault="00223128" w:rsidP="00223128">
            <w:pPr>
              <w:keepNext/>
              <w:tabs>
                <w:tab w:val="decimal" w:pos="428"/>
              </w:tabs>
            </w:pPr>
            <w:r>
              <w:t>3.8</w:t>
            </w:r>
          </w:p>
        </w:tc>
      </w:tr>
      <w:tr w:rsidR="008149CD" w:rsidRPr="00EA6D02" w:rsidTr="00365EBF">
        <w:trPr>
          <w:jc w:val="center"/>
        </w:trPr>
        <w:tc>
          <w:tcPr>
            <w:tcW w:w="9350" w:type="dxa"/>
            <w:gridSpan w:val="7"/>
          </w:tcPr>
          <w:p w:rsidR="00197320" w:rsidRPr="005B1ADC" w:rsidRDefault="00197320" w:rsidP="00197320">
            <w:pPr>
              <w:rPr>
                <w:sz w:val="20"/>
              </w:rPr>
            </w:pPr>
            <w:r w:rsidRPr="005B1ADC">
              <w:rPr>
                <w:sz w:val="20"/>
              </w:rPr>
              <w:t>____________________</w:t>
            </w:r>
          </w:p>
          <w:p w:rsidR="00197320" w:rsidRPr="005B1ADC" w:rsidRDefault="00197320" w:rsidP="00197320">
            <w:pPr>
              <w:rPr>
                <w:sz w:val="20"/>
              </w:rPr>
            </w:pPr>
            <w:r w:rsidRPr="005B1ADC">
              <w:rPr>
                <w:sz w:val="20"/>
                <w:vertAlign w:val="superscript"/>
              </w:rPr>
              <w:t>1</w:t>
            </w:r>
            <w:r w:rsidRPr="005B1ADC">
              <w:rPr>
                <w:sz w:val="20"/>
              </w:rPr>
              <w:t xml:space="preserve"> Per capita personal income is total personal income divided by the July 1 population estimate.</w:t>
            </w:r>
          </w:p>
          <w:p w:rsidR="00197320" w:rsidRPr="005B1ADC" w:rsidRDefault="00197320" w:rsidP="00197320">
            <w:pPr>
              <w:rPr>
                <w:sz w:val="20"/>
              </w:rPr>
            </w:pPr>
            <w:r w:rsidRPr="005B1ADC">
              <w:rPr>
                <w:sz w:val="20"/>
                <w:vertAlign w:val="superscript"/>
              </w:rPr>
              <w:t>2</w:t>
            </w:r>
            <w:r w:rsidRPr="005B1ADC">
              <w:rPr>
                <w:sz w:val="20"/>
              </w:rPr>
              <w:t xml:space="preserve"> The Rocky Mountain Region includes Colorado, Idaho, Montana, Utah, and Wyoming.</w:t>
            </w:r>
          </w:p>
          <w:p w:rsidR="008149CD" w:rsidRPr="00EA6D02" w:rsidRDefault="00197320" w:rsidP="00197320">
            <w:pPr>
              <w:keepNext/>
              <w:rPr>
                <w:sz w:val="20"/>
              </w:rPr>
            </w:pPr>
            <w:r w:rsidRPr="005B1ADC">
              <w:rPr>
                <w:sz w:val="20"/>
              </w:rPr>
              <w:t>Source: U.S. Bureau of Economic Analysis</w:t>
            </w:r>
          </w:p>
        </w:tc>
      </w:tr>
    </w:tbl>
    <w:p w:rsidR="008149CD" w:rsidRPr="00EA6D02" w:rsidRDefault="008149CD" w:rsidP="008149CD">
      <w:pPr>
        <w:rPr>
          <w:sz w:val="20"/>
        </w:rPr>
      </w:pPr>
    </w:p>
    <w:p w:rsidR="008149CD" w:rsidRPr="008149CD" w:rsidRDefault="008149CD" w:rsidP="00225E2F">
      <w:pPr>
        <w:pStyle w:val="LeftHeading"/>
      </w:pPr>
      <w:r w:rsidRPr="008149CD">
        <w:t>Employment</w:t>
      </w:r>
    </w:p>
    <w:p w:rsidR="004E6EFC" w:rsidRPr="005B1ADC" w:rsidRDefault="004E6EFC" w:rsidP="004E6EFC">
      <w:pPr>
        <w:pStyle w:val="BodyText"/>
        <w:rPr>
          <w:szCs w:val="22"/>
        </w:rPr>
      </w:pPr>
      <w:r w:rsidRPr="005B1ADC">
        <w:rPr>
          <w:szCs w:val="22"/>
        </w:rPr>
        <w:t>The following table provides labor force, total employment, and unemployment statistics for the State:</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425"/>
        <w:gridCol w:w="1425"/>
        <w:gridCol w:w="1470"/>
        <w:gridCol w:w="1380"/>
        <w:gridCol w:w="1425"/>
        <w:gridCol w:w="1425"/>
      </w:tblGrid>
      <w:tr w:rsidR="008149CD" w:rsidRPr="008149CD" w:rsidTr="00365EBF">
        <w:trPr>
          <w:jc w:val="center"/>
        </w:trPr>
        <w:tc>
          <w:tcPr>
            <w:tcW w:w="9360" w:type="dxa"/>
            <w:gridSpan w:val="7"/>
            <w:vAlign w:val="bottom"/>
          </w:tcPr>
          <w:p w:rsidR="008149CD" w:rsidRPr="008149CD" w:rsidRDefault="008149CD" w:rsidP="00EA6D02">
            <w:pPr>
              <w:keepNext/>
              <w:spacing w:after="240"/>
              <w:jc w:val="center"/>
              <w:rPr>
                <w:b/>
              </w:rPr>
            </w:pPr>
            <w:r w:rsidRPr="008149CD">
              <w:rPr>
                <w:b/>
              </w:rPr>
              <w:t>Civilian</w:t>
            </w:r>
            <w:r w:rsidR="00ED6456">
              <w:rPr>
                <w:b/>
              </w:rPr>
              <w:t xml:space="preserve"> Labor Force, Total Employment,</w:t>
            </w:r>
            <w:r w:rsidR="00EA6D02">
              <w:rPr>
                <w:b/>
              </w:rPr>
              <w:t xml:space="preserve"> </w:t>
            </w:r>
            <w:r w:rsidRPr="008149CD">
              <w:rPr>
                <w:b/>
              </w:rPr>
              <w:t>and Unemployment Rates</w:t>
            </w:r>
            <w:r w:rsidR="00EA6D02">
              <w:rPr>
                <w:b/>
              </w:rPr>
              <w:br/>
              <w:t>(Not Seasonally Adjusted)</w:t>
            </w:r>
          </w:p>
        </w:tc>
      </w:tr>
      <w:tr w:rsidR="00ED6456" w:rsidRPr="008149CD" w:rsidTr="00163143">
        <w:trPr>
          <w:trHeight w:val="432"/>
          <w:jc w:val="center"/>
        </w:trPr>
        <w:tc>
          <w:tcPr>
            <w:tcW w:w="810" w:type="dxa"/>
            <w:vMerge w:val="restart"/>
            <w:vAlign w:val="bottom"/>
          </w:tcPr>
          <w:p w:rsidR="00ED6456" w:rsidRPr="008149CD" w:rsidRDefault="00ED6456" w:rsidP="00EA6D02">
            <w:pPr>
              <w:keepNext/>
              <w:spacing w:after="120"/>
              <w:jc w:val="left"/>
            </w:pPr>
          </w:p>
        </w:tc>
        <w:tc>
          <w:tcPr>
            <w:tcW w:w="1425" w:type="dxa"/>
            <w:vMerge w:val="restart"/>
            <w:vAlign w:val="bottom"/>
          </w:tcPr>
          <w:p w:rsidR="00ED6456" w:rsidRPr="008149CD" w:rsidRDefault="00ED6456" w:rsidP="00EA6D02">
            <w:pPr>
              <w:keepNext/>
              <w:pBdr>
                <w:bottom w:val="single" w:sz="4" w:space="1" w:color="auto"/>
              </w:pBdr>
              <w:spacing w:after="120"/>
              <w:jc w:val="center"/>
              <w:rPr>
                <w:b/>
              </w:rPr>
            </w:pPr>
            <w:r w:rsidRPr="008149CD">
              <w:rPr>
                <w:b/>
              </w:rPr>
              <w:t>Colorado Civilian Labor Force (thousands)</w:t>
            </w:r>
          </w:p>
        </w:tc>
        <w:tc>
          <w:tcPr>
            <w:tcW w:w="1425" w:type="dxa"/>
            <w:vMerge w:val="restart"/>
            <w:vAlign w:val="bottom"/>
          </w:tcPr>
          <w:p w:rsidR="00ED6456" w:rsidRPr="008149CD" w:rsidRDefault="00ED6456" w:rsidP="00EA6D02">
            <w:pPr>
              <w:keepNext/>
              <w:pBdr>
                <w:bottom w:val="single" w:sz="4" w:space="1" w:color="auto"/>
              </w:pBdr>
              <w:spacing w:after="120"/>
              <w:jc w:val="center"/>
              <w:rPr>
                <w:b/>
              </w:rPr>
            </w:pPr>
            <w:r w:rsidRPr="008149CD">
              <w:rPr>
                <w:b/>
              </w:rPr>
              <w:t>% Change</w:t>
            </w:r>
          </w:p>
        </w:tc>
        <w:tc>
          <w:tcPr>
            <w:tcW w:w="1470" w:type="dxa"/>
            <w:vMerge w:val="restart"/>
            <w:vAlign w:val="bottom"/>
          </w:tcPr>
          <w:p w:rsidR="00ED6456" w:rsidRPr="008149CD" w:rsidRDefault="00ED6456" w:rsidP="00EA6D02">
            <w:pPr>
              <w:keepNext/>
              <w:pBdr>
                <w:bottom w:val="single" w:sz="4" w:space="1" w:color="auto"/>
              </w:pBdr>
              <w:spacing w:after="120"/>
              <w:jc w:val="center"/>
              <w:rPr>
                <w:b/>
              </w:rPr>
            </w:pPr>
            <w:r w:rsidRPr="008149CD">
              <w:rPr>
                <w:b/>
              </w:rPr>
              <w:t>Colorado Total Employment (thousands)</w:t>
            </w:r>
            <w:r w:rsidRPr="008149CD">
              <w:rPr>
                <w:b/>
                <w:vertAlign w:val="superscript"/>
              </w:rPr>
              <w:t>*</w:t>
            </w:r>
          </w:p>
        </w:tc>
        <w:tc>
          <w:tcPr>
            <w:tcW w:w="1380" w:type="dxa"/>
            <w:vMerge w:val="restart"/>
            <w:vAlign w:val="bottom"/>
          </w:tcPr>
          <w:p w:rsidR="00ED6456" w:rsidRPr="008149CD" w:rsidRDefault="00ED6456" w:rsidP="00EA6D02">
            <w:pPr>
              <w:keepNext/>
              <w:pBdr>
                <w:bottom w:val="single" w:sz="4" w:space="1" w:color="auto"/>
              </w:pBdr>
              <w:spacing w:after="120"/>
              <w:jc w:val="center"/>
              <w:rPr>
                <w:b/>
              </w:rPr>
            </w:pPr>
            <w:r w:rsidRPr="008149CD">
              <w:rPr>
                <w:b/>
              </w:rPr>
              <w:t>% Change</w:t>
            </w:r>
          </w:p>
        </w:tc>
        <w:tc>
          <w:tcPr>
            <w:tcW w:w="2850" w:type="dxa"/>
            <w:gridSpan w:val="2"/>
            <w:vAlign w:val="bottom"/>
          </w:tcPr>
          <w:p w:rsidR="00ED6456" w:rsidRPr="008149CD" w:rsidRDefault="00ED6456" w:rsidP="00EA6D02">
            <w:pPr>
              <w:keepNext/>
              <w:pBdr>
                <w:bottom w:val="single" w:sz="4" w:space="1" w:color="auto"/>
              </w:pBdr>
              <w:spacing w:after="60"/>
              <w:jc w:val="center"/>
              <w:rPr>
                <w:b/>
              </w:rPr>
            </w:pPr>
            <w:r w:rsidRPr="008149CD">
              <w:rPr>
                <w:b/>
              </w:rPr>
              <w:t>Annual Average Unemployment Rate</w:t>
            </w:r>
          </w:p>
        </w:tc>
      </w:tr>
      <w:tr w:rsidR="00ED6456" w:rsidRPr="008149CD" w:rsidTr="00365EBF">
        <w:trPr>
          <w:jc w:val="center"/>
        </w:trPr>
        <w:tc>
          <w:tcPr>
            <w:tcW w:w="810" w:type="dxa"/>
            <w:vMerge/>
            <w:vAlign w:val="bottom"/>
          </w:tcPr>
          <w:p w:rsidR="00ED6456" w:rsidRPr="008149CD" w:rsidRDefault="00ED6456" w:rsidP="008149CD">
            <w:pPr>
              <w:keepNext/>
              <w:jc w:val="left"/>
            </w:pPr>
          </w:p>
        </w:tc>
        <w:tc>
          <w:tcPr>
            <w:tcW w:w="1425" w:type="dxa"/>
            <w:vMerge/>
            <w:vAlign w:val="bottom"/>
          </w:tcPr>
          <w:p w:rsidR="00ED6456" w:rsidRPr="008149CD" w:rsidRDefault="00ED6456" w:rsidP="008149CD">
            <w:pPr>
              <w:keepNext/>
              <w:spacing w:after="240"/>
              <w:jc w:val="center"/>
              <w:rPr>
                <w:b/>
              </w:rPr>
            </w:pPr>
          </w:p>
        </w:tc>
        <w:tc>
          <w:tcPr>
            <w:tcW w:w="1425" w:type="dxa"/>
            <w:vMerge/>
            <w:vAlign w:val="bottom"/>
          </w:tcPr>
          <w:p w:rsidR="00ED6456" w:rsidRPr="008149CD" w:rsidRDefault="00ED6456" w:rsidP="008149CD">
            <w:pPr>
              <w:keepNext/>
              <w:spacing w:after="240"/>
              <w:jc w:val="center"/>
              <w:rPr>
                <w:b/>
              </w:rPr>
            </w:pPr>
          </w:p>
        </w:tc>
        <w:tc>
          <w:tcPr>
            <w:tcW w:w="1470" w:type="dxa"/>
            <w:vMerge/>
            <w:vAlign w:val="bottom"/>
          </w:tcPr>
          <w:p w:rsidR="00ED6456" w:rsidRPr="008149CD" w:rsidRDefault="00ED6456" w:rsidP="008149CD">
            <w:pPr>
              <w:keepNext/>
              <w:spacing w:after="240"/>
              <w:jc w:val="center"/>
              <w:rPr>
                <w:b/>
              </w:rPr>
            </w:pPr>
          </w:p>
        </w:tc>
        <w:tc>
          <w:tcPr>
            <w:tcW w:w="1380" w:type="dxa"/>
            <w:vMerge/>
            <w:vAlign w:val="bottom"/>
          </w:tcPr>
          <w:p w:rsidR="00ED6456" w:rsidRPr="008149CD" w:rsidRDefault="00ED6456" w:rsidP="008149CD">
            <w:pPr>
              <w:keepNext/>
              <w:spacing w:after="240"/>
              <w:jc w:val="center"/>
              <w:rPr>
                <w:b/>
              </w:rPr>
            </w:pPr>
          </w:p>
        </w:tc>
        <w:tc>
          <w:tcPr>
            <w:tcW w:w="1425" w:type="dxa"/>
            <w:vAlign w:val="bottom"/>
          </w:tcPr>
          <w:p w:rsidR="00ED6456" w:rsidRPr="008149CD" w:rsidRDefault="00ED6456" w:rsidP="00EA6D02">
            <w:pPr>
              <w:keepNext/>
              <w:pBdr>
                <w:bottom w:val="single" w:sz="4" w:space="1" w:color="auto"/>
              </w:pBdr>
              <w:spacing w:after="120"/>
              <w:jc w:val="center"/>
              <w:rPr>
                <w:b/>
              </w:rPr>
            </w:pPr>
            <w:r w:rsidRPr="008149CD">
              <w:rPr>
                <w:b/>
              </w:rPr>
              <w:t>Colorado</w:t>
            </w:r>
          </w:p>
        </w:tc>
        <w:tc>
          <w:tcPr>
            <w:tcW w:w="1425" w:type="dxa"/>
            <w:vAlign w:val="bottom"/>
          </w:tcPr>
          <w:p w:rsidR="00ED6456" w:rsidRPr="008149CD" w:rsidRDefault="00ED6456" w:rsidP="00EA6D02">
            <w:pPr>
              <w:keepNext/>
              <w:pBdr>
                <w:bottom w:val="single" w:sz="4" w:space="1" w:color="auto"/>
              </w:pBdr>
              <w:spacing w:after="120"/>
              <w:jc w:val="center"/>
              <w:rPr>
                <w:b/>
              </w:rPr>
            </w:pPr>
            <w:r w:rsidRPr="008149CD">
              <w:rPr>
                <w:b/>
              </w:rPr>
              <w:t>United States</w:t>
            </w:r>
          </w:p>
        </w:tc>
      </w:tr>
      <w:tr w:rsidR="008149CD" w:rsidRPr="008149CD" w:rsidTr="00365EBF">
        <w:trPr>
          <w:jc w:val="center"/>
        </w:trPr>
        <w:tc>
          <w:tcPr>
            <w:tcW w:w="810" w:type="dxa"/>
            <w:vAlign w:val="bottom"/>
          </w:tcPr>
          <w:p w:rsidR="008149CD" w:rsidRPr="008149CD" w:rsidRDefault="00EA6D02" w:rsidP="008149CD">
            <w:pPr>
              <w:keepNext/>
              <w:jc w:val="center"/>
            </w:pPr>
            <w:r>
              <w:t>2014</w:t>
            </w:r>
          </w:p>
        </w:tc>
        <w:tc>
          <w:tcPr>
            <w:tcW w:w="1425" w:type="dxa"/>
            <w:vAlign w:val="bottom"/>
          </w:tcPr>
          <w:p w:rsidR="008149CD" w:rsidRPr="008149CD" w:rsidRDefault="004E6EFC" w:rsidP="00363517">
            <w:pPr>
              <w:keepNext/>
              <w:jc w:val="center"/>
            </w:pPr>
            <w:r>
              <w:t>2,802.5</w:t>
            </w:r>
          </w:p>
        </w:tc>
        <w:tc>
          <w:tcPr>
            <w:tcW w:w="1425" w:type="dxa"/>
            <w:vAlign w:val="bottom"/>
          </w:tcPr>
          <w:p w:rsidR="008149CD" w:rsidRPr="008149CD" w:rsidRDefault="004E6EFC" w:rsidP="004E6EFC">
            <w:pPr>
              <w:keepNext/>
              <w:tabs>
                <w:tab w:val="decimal" w:pos="897"/>
              </w:tabs>
              <w:jc w:val="left"/>
            </w:pPr>
            <w:r>
              <w:t>–</w:t>
            </w:r>
            <w:r w:rsidR="008149CD" w:rsidRPr="008149CD">
              <w:t>%</w:t>
            </w:r>
          </w:p>
        </w:tc>
        <w:tc>
          <w:tcPr>
            <w:tcW w:w="1470" w:type="dxa"/>
            <w:vAlign w:val="bottom"/>
          </w:tcPr>
          <w:p w:rsidR="008149CD" w:rsidRPr="008149CD" w:rsidRDefault="004E6EFC" w:rsidP="00363517">
            <w:pPr>
              <w:keepNext/>
              <w:jc w:val="center"/>
            </w:pPr>
            <w:r>
              <w:t>2,662.4</w:t>
            </w:r>
          </w:p>
        </w:tc>
        <w:tc>
          <w:tcPr>
            <w:tcW w:w="1380" w:type="dxa"/>
            <w:vAlign w:val="bottom"/>
          </w:tcPr>
          <w:p w:rsidR="008149CD" w:rsidRPr="008149CD" w:rsidRDefault="004E6EFC" w:rsidP="004E6EFC">
            <w:pPr>
              <w:keepNext/>
              <w:tabs>
                <w:tab w:val="decimal" w:pos="882"/>
              </w:tabs>
              <w:jc w:val="left"/>
            </w:pPr>
            <w:r>
              <w:t>–</w:t>
            </w:r>
            <w:r w:rsidR="008149CD" w:rsidRPr="008149CD">
              <w:t>%</w:t>
            </w:r>
          </w:p>
        </w:tc>
        <w:tc>
          <w:tcPr>
            <w:tcW w:w="1425" w:type="dxa"/>
            <w:vAlign w:val="bottom"/>
          </w:tcPr>
          <w:p w:rsidR="008149CD" w:rsidRPr="008149CD" w:rsidRDefault="004E6EFC" w:rsidP="008149CD">
            <w:pPr>
              <w:keepNext/>
              <w:tabs>
                <w:tab w:val="decimal" w:pos="612"/>
              </w:tabs>
              <w:jc w:val="left"/>
            </w:pPr>
            <w:r>
              <w:t>5.0%</w:t>
            </w:r>
          </w:p>
        </w:tc>
        <w:tc>
          <w:tcPr>
            <w:tcW w:w="1425" w:type="dxa"/>
            <w:vAlign w:val="bottom"/>
          </w:tcPr>
          <w:p w:rsidR="008149CD" w:rsidRPr="008149CD" w:rsidRDefault="004E6EFC" w:rsidP="008149CD">
            <w:pPr>
              <w:keepNext/>
              <w:tabs>
                <w:tab w:val="decimal" w:pos="612"/>
              </w:tabs>
              <w:jc w:val="left"/>
            </w:pPr>
            <w:r>
              <w:t>6.2%</w:t>
            </w:r>
          </w:p>
        </w:tc>
      </w:tr>
      <w:tr w:rsidR="008149CD" w:rsidRPr="008149CD" w:rsidTr="00365EBF">
        <w:trPr>
          <w:jc w:val="center"/>
        </w:trPr>
        <w:tc>
          <w:tcPr>
            <w:tcW w:w="810" w:type="dxa"/>
            <w:vAlign w:val="bottom"/>
          </w:tcPr>
          <w:p w:rsidR="008149CD" w:rsidRPr="008149CD" w:rsidRDefault="00EA6D02" w:rsidP="008149CD">
            <w:pPr>
              <w:keepNext/>
              <w:jc w:val="center"/>
            </w:pPr>
            <w:r>
              <w:t>2015</w:t>
            </w:r>
          </w:p>
        </w:tc>
        <w:tc>
          <w:tcPr>
            <w:tcW w:w="1425" w:type="dxa"/>
            <w:vAlign w:val="bottom"/>
          </w:tcPr>
          <w:p w:rsidR="008149CD" w:rsidRPr="008149CD" w:rsidRDefault="004E6EFC" w:rsidP="00363517">
            <w:pPr>
              <w:keepNext/>
              <w:jc w:val="center"/>
            </w:pPr>
            <w:r>
              <w:t>2,828.9</w:t>
            </w:r>
          </w:p>
        </w:tc>
        <w:tc>
          <w:tcPr>
            <w:tcW w:w="1425" w:type="dxa"/>
            <w:vAlign w:val="bottom"/>
          </w:tcPr>
          <w:p w:rsidR="008149CD" w:rsidRPr="008149CD" w:rsidRDefault="004E6EFC" w:rsidP="004E6EFC">
            <w:pPr>
              <w:keepNext/>
              <w:tabs>
                <w:tab w:val="decimal" w:pos="537"/>
              </w:tabs>
              <w:jc w:val="left"/>
            </w:pPr>
            <w:r>
              <w:t>0.9</w:t>
            </w:r>
          </w:p>
        </w:tc>
        <w:tc>
          <w:tcPr>
            <w:tcW w:w="1470" w:type="dxa"/>
            <w:vAlign w:val="bottom"/>
          </w:tcPr>
          <w:p w:rsidR="008149CD" w:rsidRPr="008149CD" w:rsidRDefault="004E6EFC" w:rsidP="00363517">
            <w:pPr>
              <w:keepNext/>
              <w:jc w:val="center"/>
            </w:pPr>
            <w:r>
              <w:t>2,719.5</w:t>
            </w:r>
          </w:p>
        </w:tc>
        <w:tc>
          <w:tcPr>
            <w:tcW w:w="1380" w:type="dxa"/>
            <w:vAlign w:val="bottom"/>
          </w:tcPr>
          <w:p w:rsidR="008149CD" w:rsidRPr="008149CD" w:rsidRDefault="004E6EFC" w:rsidP="004E6EFC">
            <w:pPr>
              <w:keepNext/>
              <w:jc w:val="center"/>
            </w:pPr>
            <w:r>
              <w:t>2.1</w:t>
            </w:r>
          </w:p>
        </w:tc>
        <w:tc>
          <w:tcPr>
            <w:tcW w:w="1425" w:type="dxa"/>
            <w:vAlign w:val="bottom"/>
          </w:tcPr>
          <w:p w:rsidR="008149CD" w:rsidRPr="008149CD" w:rsidRDefault="004E6EFC" w:rsidP="008149CD">
            <w:pPr>
              <w:keepNext/>
              <w:tabs>
                <w:tab w:val="decimal" w:pos="612"/>
              </w:tabs>
              <w:jc w:val="left"/>
            </w:pPr>
            <w:r>
              <w:t>3.9</w:t>
            </w:r>
          </w:p>
        </w:tc>
        <w:tc>
          <w:tcPr>
            <w:tcW w:w="1425" w:type="dxa"/>
            <w:vAlign w:val="bottom"/>
          </w:tcPr>
          <w:p w:rsidR="008149CD" w:rsidRPr="008149CD" w:rsidRDefault="004E6EFC" w:rsidP="008149CD">
            <w:pPr>
              <w:keepNext/>
              <w:tabs>
                <w:tab w:val="decimal" w:pos="612"/>
              </w:tabs>
              <w:jc w:val="left"/>
            </w:pPr>
            <w:r>
              <w:t>5.3</w:t>
            </w:r>
          </w:p>
        </w:tc>
      </w:tr>
      <w:tr w:rsidR="008149CD" w:rsidRPr="008149CD" w:rsidTr="00365EBF">
        <w:trPr>
          <w:jc w:val="center"/>
        </w:trPr>
        <w:tc>
          <w:tcPr>
            <w:tcW w:w="810" w:type="dxa"/>
            <w:vAlign w:val="bottom"/>
          </w:tcPr>
          <w:p w:rsidR="008149CD" w:rsidRPr="008149CD" w:rsidRDefault="00EA6D02" w:rsidP="008149CD">
            <w:pPr>
              <w:keepNext/>
              <w:jc w:val="center"/>
            </w:pPr>
            <w:r>
              <w:t>2016</w:t>
            </w:r>
          </w:p>
        </w:tc>
        <w:tc>
          <w:tcPr>
            <w:tcW w:w="1425" w:type="dxa"/>
            <w:vAlign w:val="bottom"/>
          </w:tcPr>
          <w:p w:rsidR="008149CD" w:rsidRPr="008149CD" w:rsidRDefault="004E6EFC" w:rsidP="00363517">
            <w:pPr>
              <w:keepNext/>
              <w:jc w:val="center"/>
            </w:pPr>
            <w:r>
              <w:t>2,896.8</w:t>
            </w:r>
          </w:p>
        </w:tc>
        <w:tc>
          <w:tcPr>
            <w:tcW w:w="1425" w:type="dxa"/>
            <w:vAlign w:val="bottom"/>
          </w:tcPr>
          <w:p w:rsidR="008149CD" w:rsidRPr="008149CD" w:rsidRDefault="004E6EFC" w:rsidP="004E6EFC">
            <w:pPr>
              <w:keepNext/>
              <w:tabs>
                <w:tab w:val="decimal" w:pos="537"/>
              </w:tabs>
              <w:jc w:val="left"/>
            </w:pPr>
            <w:r>
              <w:t>2.4</w:t>
            </w:r>
          </w:p>
        </w:tc>
        <w:tc>
          <w:tcPr>
            <w:tcW w:w="1470" w:type="dxa"/>
            <w:vAlign w:val="bottom"/>
          </w:tcPr>
          <w:p w:rsidR="008149CD" w:rsidRPr="008149CD" w:rsidRDefault="004E6EFC" w:rsidP="00363517">
            <w:pPr>
              <w:keepNext/>
              <w:jc w:val="center"/>
            </w:pPr>
            <w:r>
              <w:t>2,803.4</w:t>
            </w:r>
          </w:p>
        </w:tc>
        <w:tc>
          <w:tcPr>
            <w:tcW w:w="1380" w:type="dxa"/>
            <w:vAlign w:val="bottom"/>
          </w:tcPr>
          <w:p w:rsidR="008149CD" w:rsidRPr="008149CD" w:rsidRDefault="004E6EFC" w:rsidP="004E6EFC">
            <w:pPr>
              <w:keepNext/>
              <w:jc w:val="center"/>
            </w:pPr>
            <w:r>
              <w:t>3.1</w:t>
            </w:r>
          </w:p>
        </w:tc>
        <w:tc>
          <w:tcPr>
            <w:tcW w:w="1425" w:type="dxa"/>
            <w:vAlign w:val="bottom"/>
          </w:tcPr>
          <w:p w:rsidR="008149CD" w:rsidRPr="008149CD" w:rsidRDefault="004E6EFC" w:rsidP="008149CD">
            <w:pPr>
              <w:keepNext/>
              <w:tabs>
                <w:tab w:val="decimal" w:pos="612"/>
              </w:tabs>
              <w:jc w:val="left"/>
            </w:pPr>
            <w:r>
              <w:t>3.2</w:t>
            </w:r>
          </w:p>
        </w:tc>
        <w:tc>
          <w:tcPr>
            <w:tcW w:w="1425" w:type="dxa"/>
            <w:vAlign w:val="bottom"/>
          </w:tcPr>
          <w:p w:rsidR="008149CD" w:rsidRPr="008149CD" w:rsidRDefault="004E6EFC" w:rsidP="008149CD">
            <w:pPr>
              <w:keepNext/>
              <w:tabs>
                <w:tab w:val="decimal" w:pos="612"/>
              </w:tabs>
              <w:jc w:val="left"/>
            </w:pPr>
            <w:r>
              <w:t>4.9</w:t>
            </w:r>
          </w:p>
        </w:tc>
      </w:tr>
      <w:tr w:rsidR="008149CD" w:rsidRPr="008149CD" w:rsidTr="00365EBF">
        <w:trPr>
          <w:jc w:val="center"/>
        </w:trPr>
        <w:tc>
          <w:tcPr>
            <w:tcW w:w="810" w:type="dxa"/>
            <w:vAlign w:val="bottom"/>
          </w:tcPr>
          <w:p w:rsidR="008149CD" w:rsidRPr="008149CD" w:rsidRDefault="00EA6D02" w:rsidP="008149CD">
            <w:pPr>
              <w:keepNext/>
              <w:jc w:val="center"/>
            </w:pPr>
            <w:r>
              <w:t>2017</w:t>
            </w:r>
          </w:p>
        </w:tc>
        <w:tc>
          <w:tcPr>
            <w:tcW w:w="1425" w:type="dxa"/>
            <w:vAlign w:val="bottom"/>
          </w:tcPr>
          <w:p w:rsidR="008149CD" w:rsidRPr="008149CD" w:rsidRDefault="004E6EFC" w:rsidP="00363517">
            <w:pPr>
              <w:keepNext/>
              <w:jc w:val="center"/>
            </w:pPr>
            <w:r>
              <w:t>2,992.4</w:t>
            </w:r>
          </w:p>
        </w:tc>
        <w:tc>
          <w:tcPr>
            <w:tcW w:w="1425" w:type="dxa"/>
            <w:vAlign w:val="bottom"/>
          </w:tcPr>
          <w:p w:rsidR="008149CD" w:rsidRPr="008149CD" w:rsidRDefault="004E6EFC" w:rsidP="004E6EFC">
            <w:pPr>
              <w:keepNext/>
              <w:tabs>
                <w:tab w:val="decimal" w:pos="537"/>
              </w:tabs>
              <w:jc w:val="left"/>
            </w:pPr>
            <w:r>
              <w:t>3.3</w:t>
            </w:r>
          </w:p>
        </w:tc>
        <w:tc>
          <w:tcPr>
            <w:tcW w:w="1470" w:type="dxa"/>
            <w:vAlign w:val="bottom"/>
          </w:tcPr>
          <w:p w:rsidR="008149CD" w:rsidRPr="008149CD" w:rsidRDefault="004E6EFC" w:rsidP="00363517">
            <w:pPr>
              <w:keepNext/>
              <w:jc w:val="center"/>
            </w:pPr>
            <w:r>
              <w:t>2,911.1</w:t>
            </w:r>
          </w:p>
        </w:tc>
        <w:tc>
          <w:tcPr>
            <w:tcW w:w="1380" w:type="dxa"/>
            <w:vAlign w:val="bottom"/>
          </w:tcPr>
          <w:p w:rsidR="008149CD" w:rsidRPr="008149CD" w:rsidRDefault="004E6EFC" w:rsidP="004E6EFC">
            <w:pPr>
              <w:keepNext/>
              <w:jc w:val="center"/>
            </w:pPr>
            <w:r>
              <w:t>3.8</w:t>
            </w:r>
          </w:p>
        </w:tc>
        <w:tc>
          <w:tcPr>
            <w:tcW w:w="1425" w:type="dxa"/>
            <w:vAlign w:val="bottom"/>
          </w:tcPr>
          <w:p w:rsidR="008149CD" w:rsidRPr="008149CD" w:rsidRDefault="004E6EFC" w:rsidP="008149CD">
            <w:pPr>
              <w:keepNext/>
              <w:tabs>
                <w:tab w:val="decimal" w:pos="612"/>
              </w:tabs>
              <w:jc w:val="left"/>
            </w:pPr>
            <w:r>
              <w:t>2.7</w:t>
            </w:r>
          </w:p>
        </w:tc>
        <w:tc>
          <w:tcPr>
            <w:tcW w:w="1425" w:type="dxa"/>
            <w:vAlign w:val="bottom"/>
          </w:tcPr>
          <w:p w:rsidR="008149CD" w:rsidRPr="008149CD" w:rsidRDefault="004E6EFC" w:rsidP="008149CD">
            <w:pPr>
              <w:keepNext/>
              <w:tabs>
                <w:tab w:val="decimal" w:pos="612"/>
              </w:tabs>
              <w:jc w:val="left"/>
            </w:pPr>
            <w:r>
              <w:t>4.4</w:t>
            </w:r>
          </w:p>
        </w:tc>
      </w:tr>
      <w:tr w:rsidR="008149CD" w:rsidRPr="008149CD" w:rsidTr="00365EBF">
        <w:trPr>
          <w:jc w:val="center"/>
        </w:trPr>
        <w:tc>
          <w:tcPr>
            <w:tcW w:w="810" w:type="dxa"/>
            <w:vAlign w:val="bottom"/>
          </w:tcPr>
          <w:p w:rsidR="008149CD" w:rsidRPr="008149CD" w:rsidRDefault="00EA6D02" w:rsidP="008149CD">
            <w:pPr>
              <w:keepNext/>
              <w:jc w:val="center"/>
            </w:pPr>
            <w:r>
              <w:t>2018</w:t>
            </w:r>
          </w:p>
        </w:tc>
        <w:tc>
          <w:tcPr>
            <w:tcW w:w="1425" w:type="dxa"/>
            <w:vAlign w:val="bottom"/>
          </w:tcPr>
          <w:p w:rsidR="008149CD" w:rsidRPr="008149CD" w:rsidRDefault="004E6EFC" w:rsidP="00363517">
            <w:pPr>
              <w:keepNext/>
              <w:jc w:val="center"/>
            </w:pPr>
            <w:r>
              <w:t>3,096.4</w:t>
            </w:r>
          </w:p>
        </w:tc>
        <w:tc>
          <w:tcPr>
            <w:tcW w:w="1425" w:type="dxa"/>
            <w:vAlign w:val="bottom"/>
          </w:tcPr>
          <w:p w:rsidR="008149CD" w:rsidRPr="008149CD" w:rsidRDefault="004E6EFC" w:rsidP="004E6EFC">
            <w:pPr>
              <w:keepNext/>
              <w:tabs>
                <w:tab w:val="decimal" w:pos="537"/>
              </w:tabs>
              <w:jc w:val="left"/>
            </w:pPr>
            <w:r>
              <w:t>3.5</w:t>
            </w:r>
          </w:p>
        </w:tc>
        <w:tc>
          <w:tcPr>
            <w:tcW w:w="1470" w:type="dxa"/>
            <w:vAlign w:val="bottom"/>
          </w:tcPr>
          <w:p w:rsidR="008149CD" w:rsidRPr="008149CD" w:rsidRDefault="004E6EFC" w:rsidP="00363517">
            <w:pPr>
              <w:keepNext/>
              <w:jc w:val="center"/>
            </w:pPr>
            <w:r>
              <w:t>2,994.8</w:t>
            </w:r>
          </w:p>
        </w:tc>
        <w:tc>
          <w:tcPr>
            <w:tcW w:w="1380" w:type="dxa"/>
            <w:vAlign w:val="bottom"/>
          </w:tcPr>
          <w:p w:rsidR="008149CD" w:rsidRPr="008149CD" w:rsidRDefault="004E6EFC" w:rsidP="004E6EFC">
            <w:pPr>
              <w:keepNext/>
              <w:jc w:val="center"/>
            </w:pPr>
            <w:r>
              <w:t>2.9</w:t>
            </w:r>
          </w:p>
        </w:tc>
        <w:tc>
          <w:tcPr>
            <w:tcW w:w="1425" w:type="dxa"/>
            <w:vAlign w:val="bottom"/>
          </w:tcPr>
          <w:p w:rsidR="008149CD" w:rsidRPr="008149CD" w:rsidRDefault="004E6EFC" w:rsidP="008149CD">
            <w:pPr>
              <w:keepNext/>
              <w:tabs>
                <w:tab w:val="decimal" w:pos="612"/>
              </w:tabs>
              <w:jc w:val="left"/>
            </w:pPr>
            <w:r>
              <w:t>3.3</w:t>
            </w:r>
          </w:p>
        </w:tc>
        <w:tc>
          <w:tcPr>
            <w:tcW w:w="1425" w:type="dxa"/>
            <w:vAlign w:val="bottom"/>
          </w:tcPr>
          <w:p w:rsidR="008149CD" w:rsidRPr="008149CD" w:rsidRDefault="004E6EFC" w:rsidP="008149CD">
            <w:pPr>
              <w:keepNext/>
              <w:tabs>
                <w:tab w:val="decimal" w:pos="612"/>
              </w:tabs>
              <w:jc w:val="left"/>
            </w:pPr>
            <w:r>
              <w:t>3.9</w:t>
            </w:r>
          </w:p>
        </w:tc>
      </w:tr>
      <w:tr w:rsidR="008149CD" w:rsidRPr="008149CD" w:rsidTr="00365EBF">
        <w:trPr>
          <w:jc w:val="center"/>
        </w:trPr>
        <w:tc>
          <w:tcPr>
            <w:tcW w:w="9360" w:type="dxa"/>
            <w:gridSpan w:val="7"/>
            <w:vAlign w:val="bottom"/>
          </w:tcPr>
          <w:p w:rsidR="008149CD" w:rsidRPr="008149CD" w:rsidRDefault="008149CD" w:rsidP="004E6EFC">
            <w:pPr>
              <w:keepNext/>
              <w:tabs>
                <w:tab w:val="decimal" w:pos="612"/>
              </w:tabs>
              <w:spacing w:before="240"/>
              <w:jc w:val="left"/>
            </w:pPr>
            <w:r w:rsidRPr="008149CD">
              <w:t xml:space="preserve">Year-to-date averages through </w:t>
            </w:r>
            <w:r w:rsidR="004E6EFC">
              <w:t>March</w:t>
            </w:r>
            <w:r w:rsidRPr="008149CD">
              <w:t>:</w:t>
            </w:r>
          </w:p>
        </w:tc>
      </w:tr>
      <w:tr w:rsidR="008149CD" w:rsidRPr="008149CD" w:rsidTr="00365EBF">
        <w:trPr>
          <w:jc w:val="center"/>
        </w:trPr>
        <w:tc>
          <w:tcPr>
            <w:tcW w:w="810" w:type="dxa"/>
            <w:vAlign w:val="bottom"/>
          </w:tcPr>
          <w:p w:rsidR="008149CD" w:rsidRPr="008149CD" w:rsidRDefault="00EA6D02" w:rsidP="008149CD">
            <w:pPr>
              <w:keepNext/>
              <w:jc w:val="center"/>
            </w:pPr>
            <w:r>
              <w:t>2018</w:t>
            </w:r>
          </w:p>
        </w:tc>
        <w:tc>
          <w:tcPr>
            <w:tcW w:w="1425" w:type="dxa"/>
            <w:vAlign w:val="bottom"/>
          </w:tcPr>
          <w:p w:rsidR="008149CD" w:rsidRPr="008149CD" w:rsidRDefault="004E6EFC" w:rsidP="00363517">
            <w:pPr>
              <w:keepNext/>
              <w:jc w:val="center"/>
            </w:pPr>
            <w:r>
              <w:t>3,045.7</w:t>
            </w:r>
          </w:p>
        </w:tc>
        <w:tc>
          <w:tcPr>
            <w:tcW w:w="1425" w:type="dxa"/>
            <w:vAlign w:val="bottom"/>
          </w:tcPr>
          <w:p w:rsidR="008149CD" w:rsidRPr="008149CD" w:rsidRDefault="00363517" w:rsidP="00363517">
            <w:pPr>
              <w:keepNext/>
              <w:tabs>
                <w:tab w:val="decimal" w:pos="987"/>
              </w:tabs>
              <w:jc w:val="left"/>
            </w:pPr>
            <w:r>
              <w:t>–%</w:t>
            </w:r>
          </w:p>
        </w:tc>
        <w:tc>
          <w:tcPr>
            <w:tcW w:w="1470" w:type="dxa"/>
            <w:vAlign w:val="bottom"/>
          </w:tcPr>
          <w:p w:rsidR="008149CD" w:rsidRPr="008149CD" w:rsidRDefault="00363517" w:rsidP="00363517">
            <w:pPr>
              <w:keepNext/>
              <w:jc w:val="center"/>
            </w:pPr>
            <w:r>
              <w:t>2,949.1</w:t>
            </w:r>
          </w:p>
        </w:tc>
        <w:tc>
          <w:tcPr>
            <w:tcW w:w="1380" w:type="dxa"/>
            <w:vAlign w:val="bottom"/>
          </w:tcPr>
          <w:p w:rsidR="008149CD" w:rsidRPr="008149CD" w:rsidRDefault="00363517" w:rsidP="00363517">
            <w:pPr>
              <w:keepNext/>
              <w:tabs>
                <w:tab w:val="decimal" w:pos="882"/>
              </w:tabs>
              <w:jc w:val="left"/>
            </w:pPr>
            <w:r>
              <w:t>–%</w:t>
            </w:r>
          </w:p>
        </w:tc>
        <w:tc>
          <w:tcPr>
            <w:tcW w:w="1425" w:type="dxa"/>
            <w:vAlign w:val="bottom"/>
          </w:tcPr>
          <w:p w:rsidR="008149CD" w:rsidRPr="008149CD" w:rsidRDefault="00363517" w:rsidP="008149CD">
            <w:pPr>
              <w:keepNext/>
              <w:tabs>
                <w:tab w:val="decimal" w:pos="612"/>
              </w:tabs>
              <w:jc w:val="left"/>
            </w:pPr>
            <w:r>
              <w:t>3.2%</w:t>
            </w:r>
          </w:p>
        </w:tc>
        <w:tc>
          <w:tcPr>
            <w:tcW w:w="1425" w:type="dxa"/>
            <w:vAlign w:val="bottom"/>
          </w:tcPr>
          <w:p w:rsidR="008149CD" w:rsidRPr="008149CD" w:rsidRDefault="00363517" w:rsidP="008149CD">
            <w:pPr>
              <w:keepNext/>
              <w:tabs>
                <w:tab w:val="decimal" w:pos="612"/>
              </w:tabs>
              <w:jc w:val="left"/>
            </w:pPr>
            <w:r>
              <w:t>4.3%</w:t>
            </w:r>
          </w:p>
        </w:tc>
      </w:tr>
      <w:tr w:rsidR="008149CD" w:rsidRPr="008149CD" w:rsidTr="00365EBF">
        <w:trPr>
          <w:jc w:val="center"/>
        </w:trPr>
        <w:tc>
          <w:tcPr>
            <w:tcW w:w="810" w:type="dxa"/>
            <w:vAlign w:val="bottom"/>
          </w:tcPr>
          <w:p w:rsidR="008149CD" w:rsidRPr="008149CD" w:rsidRDefault="00EA6D02" w:rsidP="008149CD">
            <w:pPr>
              <w:keepNext/>
              <w:jc w:val="center"/>
            </w:pPr>
            <w:r>
              <w:t>2019</w:t>
            </w:r>
          </w:p>
        </w:tc>
        <w:tc>
          <w:tcPr>
            <w:tcW w:w="1425" w:type="dxa"/>
            <w:vAlign w:val="bottom"/>
          </w:tcPr>
          <w:p w:rsidR="008149CD" w:rsidRPr="008149CD" w:rsidRDefault="004E6EFC" w:rsidP="00363517">
            <w:pPr>
              <w:keepNext/>
              <w:jc w:val="center"/>
            </w:pPr>
            <w:r>
              <w:t>3,125.1</w:t>
            </w:r>
          </w:p>
        </w:tc>
        <w:tc>
          <w:tcPr>
            <w:tcW w:w="1425" w:type="dxa"/>
            <w:vAlign w:val="bottom"/>
          </w:tcPr>
          <w:p w:rsidR="008149CD" w:rsidRPr="008149CD" w:rsidRDefault="00363517" w:rsidP="008149CD">
            <w:pPr>
              <w:keepNext/>
              <w:tabs>
                <w:tab w:val="decimal" w:pos="717"/>
              </w:tabs>
              <w:jc w:val="left"/>
            </w:pPr>
            <w:r>
              <w:t>2.6</w:t>
            </w:r>
          </w:p>
        </w:tc>
        <w:tc>
          <w:tcPr>
            <w:tcW w:w="1470" w:type="dxa"/>
            <w:vAlign w:val="bottom"/>
          </w:tcPr>
          <w:p w:rsidR="008149CD" w:rsidRPr="008149CD" w:rsidRDefault="00363517" w:rsidP="00363517">
            <w:pPr>
              <w:keepNext/>
              <w:jc w:val="center"/>
            </w:pPr>
            <w:r>
              <w:t>3,013.0</w:t>
            </w:r>
          </w:p>
        </w:tc>
        <w:tc>
          <w:tcPr>
            <w:tcW w:w="1380" w:type="dxa"/>
            <w:vAlign w:val="bottom"/>
          </w:tcPr>
          <w:p w:rsidR="008149CD" w:rsidRPr="008149CD" w:rsidRDefault="00363517" w:rsidP="00363517">
            <w:pPr>
              <w:keepNext/>
              <w:jc w:val="center"/>
            </w:pPr>
            <w:r>
              <w:t>2.2</w:t>
            </w:r>
          </w:p>
        </w:tc>
        <w:tc>
          <w:tcPr>
            <w:tcW w:w="1425" w:type="dxa"/>
            <w:vAlign w:val="bottom"/>
          </w:tcPr>
          <w:p w:rsidR="008149CD" w:rsidRPr="008149CD" w:rsidRDefault="00363517" w:rsidP="008149CD">
            <w:pPr>
              <w:keepNext/>
              <w:tabs>
                <w:tab w:val="decimal" w:pos="612"/>
              </w:tabs>
              <w:jc w:val="left"/>
            </w:pPr>
            <w:r>
              <w:t>3.6</w:t>
            </w:r>
          </w:p>
        </w:tc>
        <w:tc>
          <w:tcPr>
            <w:tcW w:w="1425" w:type="dxa"/>
            <w:vAlign w:val="bottom"/>
          </w:tcPr>
          <w:p w:rsidR="008149CD" w:rsidRPr="008149CD" w:rsidRDefault="00363517" w:rsidP="008149CD">
            <w:pPr>
              <w:keepNext/>
              <w:tabs>
                <w:tab w:val="decimal" w:pos="612"/>
              </w:tabs>
              <w:jc w:val="left"/>
            </w:pPr>
            <w:r>
              <w:t>4.1</w:t>
            </w:r>
          </w:p>
        </w:tc>
      </w:tr>
      <w:tr w:rsidR="008149CD" w:rsidRPr="00ED6456" w:rsidTr="00365EBF">
        <w:trPr>
          <w:jc w:val="center"/>
        </w:trPr>
        <w:tc>
          <w:tcPr>
            <w:tcW w:w="9360" w:type="dxa"/>
            <w:gridSpan w:val="7"/>
            <w:vAlign w:val="bottom"/>
          </w:tcPr>
          <w:p w:rsidR="00ED6456" w:rsidRPr="00EA6D02" w:rsidRDefault="00ED6456" w:rsidP="008149CD">
            <w:pPr>
              <w:keepNext/>
              <w:jc w:val="left"/>
              <w:rPr>
                <w:sz w:val="20"/>
              </w:rPr>
            </w:pPr>
            <w:r w:rsidRPr="00EA6D02">
              <w:rPr>
                <w:sz w:val="20"/>
              </w:rPr>
              <w:t>____________________</w:t>
            </w:r>
          </w:p>
          <w:p w:rsidR="00ED6456" w:rsidRPr="00EA6D02" w:rsidRDefault="008149CD" w:rsidP="008149CD">
            <w:pPr>
              <w:keepNext/>
              <w:jc w:val="left"/>
              <w:rPr>
                <w:sz w:val="20"/>
              </w:rPr>
            </w:pPr>
            <w:r w:rsidRPr="00EA6D02">
              <w:rPr>
                <w:sz w:val="20"/>
                <w:vertAlign w:val="superscript"/>
              </w:rPr>
              <w:t>*</w:t>
            </w:r>
            <w:r w:rsidRPr="00EA6D02">
              <w:rPr>
                <w:sz w:val="20"/>
              </w:rPr>
              <w:t xml:space="preserve"> Includes the self-employed, unpaid family workers, and other groups not included in statistics that show employment by industry. </w:t>
            </w:r>
          </w:p>
          <w:p w:rsidR="008149CD" w:rsidRPr="00ED6456" w:rsidRDefault="004E6EFC" w:rsidP="008149CD">
            <w:pPr>
              <w:keepNext/>
              <w:jc w:val="left"/>
              <w:rPr>
                <w:szCs w:val="18"/>
              </w:rPr>
            </w:pPr>
            <w:r w:rsidRPr="005B1ADC">
              <w:rPr>
                <w:sz w:val="20"/>
              </w:rPr>
              <w:t>Sources: U.S. Bureau of Labor Statistics, Local Area Unemployment Statistics; Labor Force Statistics from the Current Population Survey</w:t>
            </w:r>
          </w:p>
        </w:tc>
      </w:tr>
    </w:tbl>
    <w:p w:rsidR="008149CD" w:rsidRPr="008149CD" w:rsidRDefault="008149CD" w:rsidP="008149CD"/>
    <w:p w:rsidR="008149CD" w:rsidRDefault="008149CD" w:rsidP="00225E2F">
      <w:pPr>
        <w:pStyle w:val="BodyText"/>
        <w:keepNext/>
      </w:pPr>
      <w:r w:rsidRPr="008149CD">
        <w:t xml:space="preserve">The following table shows Colorado employment by industry </w:t>
      </w:r>
      <w:r w:rsidR="00124B6E">
        <w:t>for the past five years</w:t>
      </w:r>
      <w:r w:rsidRPr="008149CD">
        <w:t>.</w:t>
      </w:r>
      <w:r w:rsidR="00124B6E">
        <w:t xml:space="preserve"> </w:t>
      </w:r>
      <w:r w:rsidRPr="008149CD">
        <w:t xml:space="preserve"> Industry designations are based on the North American Industrial Classification System. </w:t>
      </w:r>
      <w:r w:rsidR="00124B6E">
        <w:t xml:space="preserve"> </w:t>
      </w:r>
      <w:r w:rsidRPr="008149CD">
        <w:t>Employment includes only those workers covered by unemployment insurance; most workers in the state are covered.</w:t>
      </w:r>
    </w:p>
    <w:tbl>
      <w:tblPr>
        <w:tblStyle w:val="TableGrid"/>
        <w:tblW w:w="113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991"/>
        <w:gridCol w:w="991"/>
        <w:gridCol w:w="990"/>
        <w:gridCol w:w="990"/>
        <w:gridCol w:w="990"/>
        <w:gridCol w:w="990"/>
        <w:gridCol w:w="990"/>
        <w:gridCol w:w="845"/>
      </w:tblGrid>
      <w:tr w:rsidR="00640BA7" w:rsidRPr="005B1ADC" w:rsidTr="00035611">
        <w:trPr>
          <w:jc w:val="center"/>
        </w:trPr>
        <w:tc>
          <w:tcPr>
            <w:tcW w:w="11325" w:type="dxa"/>
            <w:gridSpan w:val="9"/>
            <w:vAlign w:val="bottom"/>
          </w:tcPr>
          <w:p w:rsidR="00640BA7" w:rsidRPr="005B1ADC" w:rsidRDefault="00640BA7" w:rsidP="00035611">
            <w:pPr>
              <w:spacing w:after="240"/>
              <w:jc w:val="center"/>
              <w:rPr>
                <w:b/>
                <w:sz w:val="18"/>
              </w:rPr>
            </w:pPr>
            <w:r w:rsidRPr="005B1ADC">
              <w:rPr>
                <w:b/>
                <w:sz w:val="18"/>
              </w:rPr>
              <w:t>Average Annual Number of Employees by Industry</w:t>
            </w:r>
          </w:p>
        </w:tc>
      </w:tr>
      <w:tr w:rsidR="00640BA7" w:rsidRPr="005B1ADC" w:rsidTr="00035611">
        <w:trPr>
          <w:jc w:val="center"/>
        </w:trPr>
        <w:tc>
          <w:tcPr>
            <w:tcW w:w="3559" w:type="dxa"/>
            <w:vAlign w:val="bottom"/>
          </w:tcPr>
          <w:p w:rsidR="00640BA7" w:rsidRPr="005B1ADC" w:rsidRDefault="00640BA7" w:rsidP="00035611">
            <w:pPr>
              <w:spacing w:after="60"/>
              <w:jc w:val="left"/>
              <w:rPr>
                <w:sz w:val="18"/>
              </w:rPr>
            </w:pPr>
          </w:p>
        </w:tc>
        <w:tc>
          <w:tcPr>
            <w:tcW w:w="991" w:type="dxa"/>
            <w:vAlign w:val="bottom"/>
          </w:tcPr>
          <w:p w:rsidR="00640BA7" w:rsidRPr="005B1ADC" w:rsidRDefault="00640BA7" w:rsidP="00035611">
            <w:pPr>
              <w:spacing w:after="60"/>
              <w:jc w:val="left"/>
              <w:rPr>
                <w:sz w:val="18"/>
              </w:rPr>
            </w:pPr>
          </w:p>
        </w:tc>
        <w:tc>
          <w:tcPr>
            <w:tcW w:w="991" w:type="dxa"/>
            <w:vAlign w:val="bottom"/>
          </w:tcPr>
          <w:p w:rsidR="00640BA7" w:rsidRPr="005B1ADC" w:rsidRDefault="00640BA7" w:rsidP="00035611">
            <w:pPr>
              <w:spacing w:after="60"/>
              <w:jc w:val="left"/>
              <w:rPr>
                <w:sz w:val="18"/>
              </w:rPr>
            </w:pPr>
          </w:p>
        </w:tc>
        <w:tc>
          <w:tcPr>
            <w:tcW w:w="990" w:type="dxa"/>
            <w:vAlign w:val="bottom"/>
          </w:tcPr>
          <w:p w:rsidR="00640BA7" w:rsidRPr="005B1ADC" w:rsidRDefault="00640BA7" w:rsidP="00035611">
            <w:pPr>
              <w:spacing w:after="60"/>
              <w:jc w:val="left"/>
              <w:rPr>
                <w:sz w:val="18"/>
              </w:rPr>
            </w:pPr>
          </w:p>
        </w:tc>
        <w:tc>
          <w:tcPr>
            <w:tcW w:w="990" w:type="dxa"/>
            <w:vAlign w:val="bottom"/>
          </w:tcPr>
          <w:p w:rsidR="00640BA7" w:rsidRPr="005B1ADC" w:rsidRDefault="00640BA7" w:rsidP="00035611">
            <w:pPr>
              <w:spacing w:after="60"/>
              <w:jc w:val="left"/>
              <w:rPr>
                <w:sz w:val="18"/>
              </w:rPr>
            </w:pPr>
          </w:p>
        </w:tc>
        <w:tc>
          <w:tcPr>
            <w:tcW w:w="990" w:type="dxa"/>
            <w:vAlign w:val="bottom"/>
          </w:tcPr>
          <w:p w:rsidR="00640BA7" w:rsidRPr="005B1ADC" w:rsidRDefault="00640BA7" w:rsidP="00035611">
            <w:pPr>
              <w:spacing w:after="60"/>
              <w:jc w:val="left"/>
              <w:rPr>
                <w:sz w:val="18"/>
              </w:rPr>
            </w:pPr>
          </w:p>
        </w:tc>
        <w:tc>
          <w:tcPr>
            <w:tcW w:w="2814" w:type="dxa"/>
            <w:gridSpan w:val="3"/>
            <w:vAlign w:val="bottom"/>
          </w:tcPr>
          <w:p w:rsidR="00640BA7" w:rsidRPr="005B1ADC" w:rsidRDefault="00640BA7" w:rsidP="00035611">
            <w:pPr>
              <w:pBdr>
                <w:bottom w:val="single" w:sz="4" w:space="1" w:color="auto"/>
              </w:pBdr>
              <w:spacing w:after="60"/>
              <w:jc w:val="center"/>
              <w:rPr>
                <w:b/>
                <w:sz w:val="18"/>
              </w:rPr>
            </w:pPr>
            <w:r w:rsidRPr="005B1ADC">
              <w:rPr>
                <w:b/>
                <w:sz w:val="18"/>
              </w:rPr>
              <w:t>Most Recent Quarter</w:t>
            </w:r>
          </w:p>
        </w:tc>
      </w:tr>
      <w:tr w:rsidR="00640BA7" w:rsidRPr="005B1ADC" w:rsidTr="00035611">
        <w:trPr>
          <w:jc w:val="center"/>
        </w:trPr>
        <w:tc>
          <w:tcPr>
            <w:tcW w:w="3559" w:type="dxa"/>
            <w:vAlign w:val="bottom"/>
          </w:tcPr>
          <w:p w:rsidR="00640BA7" w:rsidRPr="005B1ADC" w:rsidRDefault="00640BA7" w:rsidP="00640BA7">
            <w:pPr>
              <w:pBdr>
                <w:bottom w:val="single" w:sz="4" w:space="1" w:color="auto"/>
              </w:pBdr>
              <w:spacing w:after="120"/>
              <w:jc w:val="center"/>
              <w:rPr>
                <w:b/>
                <w:sz w:val="18"/>
              </w:rPr>
            </w:pPr>
            <w:r w:rsidRPr="005B1ADC">
              <w:rPr>
                <w:b/>
                <w:sz w:val="18"/>
              </w:rPr>
              <w:t>Industry</w:t>
            </w:r>
          </w:p>
        </w:tc>
        <w:tc>
          <w:tcPr>
            <w:tcW w:w="991" w:type="dxa"/>
            <w:vAlign w:val="bottom"/>
          </w:tcPr>
          <w:p w:rsidR="00640BA7" w:rsidRPr="005B1ADC" w:rsidRDefault="00640BA7" w:rsidP="00640BA7">
            <w:pPr>
              <w:pBdr>
                <w:bottom w:val="single" w:sz="4" w:space="1" w:color="auto"/>
              </w:pBdr>
              <w:spacing w:after="120"/>
              <w:jc w:val="center"/>
              <w:rPr>
                <w:b/>
                <w:sz w:val="18"/>
              </w:rPr>
            </w:pPr>
            <w:r w:rsidRPr="005B1ADC">
              <w:rPr>
                <w:b/>
                <w:sz w:val="18"/>
              </w:rPr>
              <w:t>2014</w:t>
            </w:r>
          </w:p>
        </w:tc>
        <w:tc>
          <w:tcPr>
            <w:tcW w:w="991" w:type="dxa"/>
            <w:vAlign w:val="bottom"/>
          </w:tcPr>
          <w:p w:rsidR="00640BA7" w:rsidRPr="005B1ADC" w:rsidRDefault="00640BA7" w:rsidP="00640BA7">
            <w:pPr>
              <w:pBdr>
                <w:bottom w:val="single" w:sz="4" w:space="1" w:color="auto"/>
              </w:pBdr>
              <w:spacing w:after="120"/>
              <w:jc w:val="center"/>
              <w:rPr>
                <w:b/>
                <w:sz w:val="18"/>
              </w:rPr>
            </w:pPr>
            <w:r w:rsidRPr="005B1ADC">
              <w:rPr>
                <w:b/>
                <w:sz w:val="18"/>
              </w:rPr>
              <w:t>2015</w:t>
            </w:r>
          </w:p>
        </w:tc>
        <w:tc>
          <w:tcPr>
            <w:tcW w:w="990" w:type="dxa"/>
            <w:vAlign w:val="bottom"/>
          </w:tcPr>
          <w:p w:rsidR="00640BA7" w:rsidRPr="005B1ADC" w:rsidRDefault="00640BA7" w:rsidP="00640BA7">
            <w:pPr>
              <w:pBdr>
                <w:bottom w:val="single" w:sz="4" w:space="1" w:color="auto"/>
              </w:pBdr>
              <w:spacing w:after="120"/>
              <w:jc w:val="center"/>
              <w:rPr>
                <w:b/>
                <w:sz w:val="18"/>
              </w:rPr>
            </w:pPr>
            <w:r>
              <w:rPr>
                <w:b/>
                <w:sz w:val="18"/>
              </w:rPr>
              <w:t>2016</w:t>
            </w:r>
          </w:p>
        </w:tc>
        <w:tc>
          <w:tcPr>
            <w:tcW w:w="990" w:type="dxa"/>
            <w:vAlign w:val="bottom"/>
          </w:tcPr>
          <w:p w:rsidR="00640BA7" w:rsidRPr="005B1ADC" w:rsidRDefault="00640BA7" w:rsidP="00640BA7">
            <w:pPr>
              <w:pBdr>
                <w:bottom w:val="single" w:sz="4" w:space="1" w:color="auto"/>
              </w:pBdr>
              <w:spacing w:after="120"/>
              <w:jc w:val="center"/>
              <w:rPr>
                <w:b/>
                <w:sz w:val="18"/>
              </w:rPr>
            </w:pPr>
            <w:r>
              <w:rPr>
                <w:b/>
                <w:sz w:val="18"/>
              </w:rPr>
              <w:t>2017</w:t>
            </w:r>
          </w:p>
        </w:tc>
        <w:tc>
          <w:tcPr>
            <w:tcW w:w="990" w:type="dxa"/>
            <w:vAlign w:val="bottom"/>
          </w:tcPr>
          <w:p w:rsidR="00640BA7" w:rsidRPr="005B1ADC" w:rsidRDefault="00640BA7" w:rsidP="00640BA7">
            <w:pPr>
              <w:pBdr>
                <w:bottom w:val="single" w:sz="4" w:space="1" w:color="auto"/>
              </w:pBdr>
              <w:spacing w:after="120"/>
              <w:jc w:val="center"/>
              <w:rPr>
                <w:b/>
                <w:sz w:val="18"/>
              </w:rPr>
            </w:pPr>
            <w:r>
              <w:rPr>
                <w:b/>
                <w:sz w:val="18"/>
              </w:rPr>
              <w:t>2018</w:t>
            </w:r>
          </w:p>
        </w:tc>
        <w:tc>
          <w:tcPr>
            <w:tcW w:w="990" w:type="dxa"/>
            <w:vAlign w:val="bottom"/>
          </w:tcPr>
          <w:p w:rsidR="00640BA7" w:rsidRPr="005B1ADC" w:rsidRDefault="0050389E" w:rsidP="00640BA7">
            <w:pPr>
              <w:pBdr>
                <w:bottom w:val="single" w:sz="4" w:space="1" w:color="auto"/>
              </w:pBdr>
              <w:spacing w:after="120"/>
              <w:jc w:val="center"/>
              <w:rPr>
                <w:b/>
                <w:sz w:val="18"/>
              </w:rPr>
            </w:pPr>
            <w:r>
              <w:rPr>
                <w:b/>
                <w:sz w:val="18"/>
              </w:rPr>
              <w:t>2018Q3</w:t>
            </w:r>
          </w:p>
        </w:tc>
        <w:tc>
          <w:tcPr>
            <w:tcW w:w="990" w:type="dxa"/>
            <w:vAlign w:val="bottom"/>
          </w:tcPr>
          <w:p w:rsidR="00640BA7" w:rsidRPr="005B1ADC" w:rsidRDefault="0050389E" w:rsidP="00640BA7">
            <w:pPr>
              <w:pBdr>
                <w:bottom w:val="single" w:sz="4" w:space="1" w:color="auto"/>
              </w:pBdr>
              <w:spacing w:after="120"/>
              <w:jc w:val="center"/>
              <w:rPr>
                <w:b/>
                <w:sz w:val="18"/>
              </w:rPr>
            </w:pPr>
            <w:r>
              <w:rPr>
                <w:b/>
                <w:sz w:val="18"/>
              </w:rPr>
              <w:t>2018Q4</w:t>
            </w:r>
          </w:p>
        </w:tc>
        <w:tc>
          <w:tcPr>
            <w:tcW w:w="834" w:type="dxa"/>
            <w:vAlign w:val="bottom"/>
          </w:tcPr>
          <w:p w:rsidR="00640BA7" w:rsidRPr="005B1ADC" w:rsidRDefault="00640BA7" w:rsidP="00640BA7">
            <w:pPr>
              <w:pBdr>
                <w:bottom w:val="single" w:sz="4" w:space="1" w:color="auto"/>
              </w:pBdr>
              <w:spacing w:after="120"/>
              <w:jc w:val="center"/>
              <w:rPr>
                <w:b/>
                <w:sz w:val="18"/>
              </w:rPr>
            </w:pPr>
            <w:r w:rsidRPr="005B1ADC">
              <w:rPr>
                <w:b/>
                <w:sz w:val="18"/>
              </w:rPr>
              <w:t>%</w:t>
            </w:r>
            <w:r w:rsidRPr="005B1ADC">
              <w:rPr>
                <w:b/>
                <w:sz w:val="18"/>
              </w:rPr>
              <w:br/>
              <w:t>Change</w:t>
            </w:r>
          </w:p>
        </w:tc>
      </w:tr>
      <w:tr w:rsidR="00640BA7" w:rsidRPr="005B1ADC" w:rsidTr="00035611">
        <w:trPr>
          <w:jc w:val="center"/>
        </w:trPr>
        <w:tc>
          <w:tcPr>
            <w:tcW w:w="3559" w:type="dxa"/>
            <w:vAlign w:val="bottom"/>
          </w:tcPr>
          <w:p w:rsidR="00640BA7" w:rsidRPr="005B1ADC" w:rsidRDefault="00640BA7" w:rsidP="00640BA7">
            <w:pPr>
              <w:jc w:val="left"/>
              <w:rPr>
                <w:sz w:val="18"/>
              </w:rPr>
            </w:pPr>
            <w:r w:rsidRPr="005B1ADC">
              <w:rPr>
                <w:sz w:val="18"/>
              </w:rPr>
              <w:t>Private Sector:</w:t>
            </w:r>
          </w:p>
        </w:tc>
        <w:tc>
          <w:tcPr>
            <w:tcW w:w="991" w:type="dxa"/>
            <w:vAlign w:val="bottom"/>
          </w:tcPr>
          <w:p w:rsidR="00640BA7" w:rsidRPr="005B1ADC" w:rsidRDefault="00640BA7" w:rsidP="00640BA7">
            <w:pPr>
              <w:jc w:val="left"/>
              <w:rPr>
                <w:sz w:val="18"/>
              </w:rPr>
            </w:pPr>
          </w:p>
        </w:tc>
        <w:tc>
          <w:tcPr>
            <w:tcW w:w="991" w:type="dxa"/>
            <w:vAlign w:val="bottom"/>
          </w:tcPr>
          <w:p w:rsidR="00640BA7" w:rsidRPr="005B1ADC" w:rsidRDefault="00640BA7" w:rsidP="00640BA7">
            <w:pPr>
              <w:jc w:val="left"/>
              <w:rPr>
                <w:sz w:val="18"/>
              </w:rPr>
            </w:pPr>
          </w:p>
        </w:tc>
        <w:tc>
          <w:tcPr>
            <w:tcW w:w="990" w:type="dxa"/>
            <w:vAlign w:val="bottom"/>
          </w:tcPr>
          <w:p w:rsidR="00640BA7" w:rsidRPr="005B1ADC" w:rsidRDefault="00640BA7" w:rsidP="00640BA7">
            <w:pPr>
              <w:jc w:val="left"/>
              <w:rPr>
                <w:sz w:val="18"/>
              </w:rPr>
            </w:pPr>
          </w:p>
        </w:tc>
        <w:tc>
          <w:tcPr>
            <w:tcW w:w="990" w:type="dxa"/>
            <w:vAlign w:val="bottom"/>
          </w:tcPr>
          <w:p w:rsidR="00640BA7" w:rsidRPr="005B1ADC" w:rsidRDefault="00640BA7" w:rsidP="00640BA7">
            <w:pPr>
              <w:jc w:val="left"/>
              <w:rPr>
                <w:sz w:val="18"/>
              </w:rPr>
            </w:pPr>
          </w:p>
        </w:tc>
        <w:tc>
          <w:tcPr>
            <w:tcW w:w="990" w:type="dxa"/>
            <w:vAlign w:val="bottom"/>
          </w:tcPr>
          <w:p w:rsidR="00640BA7" w:rsidRPr="005B1ADC" w:rsidRDefault="00640BA7" w:rsidP="00640BA7">
            <w:pPr>
              <w:jc w:val="left"/>
              <w:rPr>
                <w:sz w:val="18"/>
              </w:rPr>
            </w:pPr>
          </w:p>
        </w:tc>
        <w:tc>
          <w:tcPr>
            <w:tcW w:w="990" w:type="dxa"/>
            <w:vAlign w:val="bottom"/>
          </w:tcPr>
          <w:p w:rsidR="00640BA7" w:rsidRPr="005B1ADC" w:rsidRDefault="00640BA7" w:rsidP="00640BA7">
            <w:pPr>
              <w:jc w:val="left"/>
              <w:rPr>
                <w:sz w:val="18"/>
              </w:rPr>
            </w:pPr>
          </w:p>
        </w:tc>
        <w:tc>
          <w:tcPr>
            <w:tcW w:w="990" w:type="dxa"/>
            <w:vAlign w:val="bottom"/>
          </w:tcPr>
          <w:p w:rsidR="00640BA7" w:rsidRPr="005B1ADC" w:rsidRDefault="00640BA7" w:rsidP="00640BA7">
            <w:pPr>
              <w:jc w:val="left"/>
              <w:rPr>
                <w:sz w:val="18"/>
              </w:rPr>
            </w:pPr>
          </w:p>
        </w:tc>
        <w:tc>
          <w:tcPr>
            <w:tcW w:w="834" w:type="dxa"/>
            <w:vAlign w:val="bottom"/>
          </w:tcPr>
          <w:p w:rsidR="00640BA7" w:rsidRPr="005B1ADC" w:rsidRDefault="00640BA7" w:rsidP="00640BA7">
            <w:pPr>
              <w:jc w:val="left"/>
              <w:rPr>
                <w:sz w:val="18"/>
              </w:rPr>
            </w:pP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Agriculture, Forestry, Fishing, and Hunting</w:t>
            </w:r>
          </w:p>
        </w:tc>
        <w:tc>
          <w:tcPr>
            <w:tcW w:w="991" w:type="dxa"/>
            <w:vAlign w:val="bottom"/>
          </w:tcPr>
          <w:p w:rsidR="00640BA7" w:rsidRPr="005B1ADC" w:rsidRDefault="00640BA7" w:rsidP="00640BA7">
            <w:pPr>
              <w:tabs>
                <w:tab w:val="decimal" w:pos="734"/>
              </w:tabs>
              <w:jc w:val="left"/>
              <w:rPr>
                <w:sz w:val="18"/>
              </w:rPr>
            </w:pPr>
            <w:r w:rsidRPr="005B1ADC">
              <w:rPr>
                <w:sz w:val="18"/>
              </w:rPr>
              <w:t>14,935</w:t>
            </w:r>
          </w:p>
        </w:tc>
        <w:tc>
          <w:tcPr>
            <w:tcW w:w="991" w:type="dxa"/>
            <w:vAlign w:val="bottom"/>
          </w:tcPr>
          <w:p w:rsidR="00640BA7" w:rsidRPr="005B1ADC" w:rsidRDefault="00640BA7" w:rsidP="00640BA7">
            <w:pPr>
              <w:tabs>
                <w:tab w:val="decimal" w:pos="734"/>
              </w:tabs>
              <w:jc w:val="left"/>
              <w:rPr>
                <w:sz w:val="18"/>
              </w:rPr>
            </w:pPr>
            <w:r w:rsidRPr="005B1ADC">
              <w:rPr>
                <w:sz w:val="18"/>
              </w:rPr>
              <w:t>15,624</w:t>
            </w:r>
          </w:p>
        </w:tc>
        <w:tc>
          <w:tcPr>
            <w:tcW w:w="990" w:type="dxa"/>
            <w:vAlign w:val="bottom"/>
          </w:tcPr>
          <w:p w:rsidR="00640BA7" w:rsidRPr="005B1ADC" w:rsidRDefault="00640BA7" w:rsidP="00640BA7">
            <w:pPr>
              <w:tabs>
                <w:tab w:val="decimal" w:pos="734"/>
              </w:tabs>
              <w:jc w:val="left"/>
              <w:rPr>
                <w:sz w:val="18"/>
              </w:rPr>
            </w:pPr>
            <w:r>
              <w:rPr>
                <w:sz w:val="18"/>
              </w:rPr>
              <w:t>16,469</w:t>
            </w:r>
          </w:p>
        </w:tc>
        <w:tc>
          <w:tcPr>
            <w:tcW w:w="990" w:type="dxa"/>
            <w:vAlign w:val="bottom"/>
          </w:tcPr>
          <w:p w:rsidR="00640BA7" w:rsidRPr="005B1ADC" w:rsidRDefault="00035611" w:rsidP="00640BA7">
            <w:pPr>
              <w:tabs>
                <w:tab w:val="decimal" w:pos="734"/>
              </w:tabs>
              <w:jc w:val="left"/>
              <w:rPr>
                <w:sz w:val="18"/>
              </w:rPr>
            </w:pPr>
            <w:r>
              <w:rPr>
                <w:sz w:val="18"/>
              </w:rPr>
              <w:t>17,598</w:t>
            </w:r>
          </w:p>
        </w:tc>
        <w:tc>
          <w:tcPr>
            <w:tcW w:w="990" w:type="dxa"/>
            <w:vAlign w:val="bottom"/>
          </w:tcPr>
          <w:p w:rsidR="00640BA7" w:rsidRPr="005B1ADC" w:rsidRDefault="00035611" w:rsidP="00640BA7">
            <w:pPr>
              <w:tabs>
                <w:tab w:val="decimal" w:pos="734"/>
              </w:tabs>
              <w:jc w:val="left"/>
              <w:rPr>
                <w:sz w:val="18"/>
              </w:rPr>
            </w:pPr>
            <w:r>
              <w:rPr>
                <w:sz w:val="18"/>
              </w:rPr>
              <w:t>18,131</w:t>
            </w:r>
          </w:p>
        </w:tc>
        <w:tc>
          <w:tcPr>
            <w:tcW w:w="990" w:type="dxa"/>
            <w:vAlign w:val="bottom"/>
          </w:tcPr>
          <w:p w:rsidR="00640BA7" w:rsidRPr="005B1ADC" w:rsidRDefault="0050389E" w:rsidP="00640BA7">
            <w:pPr>
              <w:tabs>
                <w:tab w:val="decimal" w:pos="734"/>
              </w:tabs>
              <w:jc w:val="left"/>
              <w:rPr>
                <w:sz w:val="18"/>
              </w:rPr>
            </w:pPr>
            <w:r>
              <w:rPr>
                <w:sz w:val="18"/>
              </w:rPr>
              <w:t>19,541</w:t>
            </w:r>
          </w:p>
        </w:tc>
        <w:tc>
          <w:tcPr>
            <w:tcW w:w="990" w:type="dxa"/>
            <w:vAlign w:val="bottom"/>
          </w:tcPr>
          <w:p w:rsidR="00640BA7" w:rsidRPr="005B1ADC" w:rsidRDefault="001376FC" w:rsidP="00640BA7">
            <w:pPr>
              <w:tabs>
                <w:tab w:val="decimal" w:pos="734"/>
              </w:tabs>
              <w:jc w:val="left"/>
              <w:rPr>
                <w:sz w:val="18"/>
              </w:rPr>
            </w:pPr>
            <w:r>
              <w:rPr>
                <w:sz w:val="18"/>
              </w:rPr>
              <w:t>17,734</w:t>
            </w:r>
          </w:p>
        </w:tc>
        <w:tc>
          <w:tcPr>
            <w:tcW w:w="834" w:type="dxa"/>
            <w:vAlign w:val="bottom"/>
          </w:tcPr>
          <w:p w:rsidR="00640BA7" w:rsidRPr="005B1ADC" w:rsidRDefault="00BA5D9C" w:rsidP="00640BA7">
            <w:pPr>
              <w:tabs>
                <w:tab w:val="decimal" w:pos="284"/>
              </w:tabs>
              <w:jc w:val="left"/>
              <w:rPr>
                <w:sz w:val="18"/>
              </w:rPr>
            </w:pPr>
            <w:r>
              <w:rPr>
                <w:sz w:val="18"/>
              </w:rPr>
              <w:t>(9.2)%</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Mining</w:t>
            </w:r>
          </w:p>
        </w:tc>
        <w:tc>
          <w:tcPr>
            <w:tcW w:w="991" w:type="dxa"/>
            <w:vAlign w:val="bottom"/>
          </w:tcPr>
          <w:p w:rsidR="00640BA7" w:rsidRPr="005B1ADC" w:rsidRDefault="00640BA7" w:rsidP="00640BA7">
            <w:pPr>
              <w:tabs>
                <w:tab w:val="decimal" w:pos="734"/>
              </w:tabs>
              <w:jc w:val="left"/>
              <w:rPr>
                <w:sz w:val="18"/>
              </w:rPr>
            </w:pPr>
            <w:r w:rsidRPr="005B1ADC">
              <w:rPr>
                <w:sz w:val="18"/>
              </w:rPr>
              <w:t>33,847</w:t>
            </w:r>
          </w:p>
        </w:tc>
        <w:tc>
          <w:tcPr>
            <w:tcW w:w="991" w:type="dxa"/>
            <w:vAlign w:val="bottom"/>
          </w:tcPr>
          <w:p w:rsidR="00640BA7" w:rsidRPr="005B1ADC" w:rsidRDefault="00640BA7" w:rsidP="00640BA7">
            <w:pPr>
              <w:tabs>
                <w:tab w:val="decimal" w:pos="734"/>
              </w:tabs>
              <w:jc w:val="left"/>
              <w:rPr>
                <w:sz w:val="18"/>
              </w:rPr>
            </w:pPr>
            <w:r w:rsidRPr="005B1ADC">
              <w:rPr>
                <w:sz w:val="18"/>
              </w:rPr>
              <w:t>30,565</w:t>
            </w:r>
          </w:p>
        </w:tc>
        <w:tc>
          <w:tcPr>
            <w:tcW w:w="990" w:type="dxa"/>
            <w:vAlign w:val="bottom"/>
          </w:tcPr>
          <w:p w:rsidR="00640BA7" w:rsidRPr="005B1ADC" w:rsidRDefault="00640BA7" w:rsidP="00640BA7">
            <w:pPr>
              <w:tabs>
                <w:tab w:val="decimal" w:pos="734"/>
              </w:tabs>
              <w:jc w:val="left"/>
              <w:rPr>
                <w:sz w:val="18"/>
              </w:rPr>
            </w:pPr>
            <w:r>
              <w:rPr>
                <w:sz w:val="18"/>
              </w:rPr>
              <w:t>23,573</w:t>
            </w:r>
          </w:p>
        </w:tc>
        <w:tc>
          <w:tcPr>
            <w:tcW w:w="990" w:type="dxa"/>
            <w:vAlign w:val="bottom"/>
          </w:tcPr>
          <w:p w:rsidR="00640BA7" w:rsidRPr="005B1ADC" w:rsidRDefault="00035611" w:rsidP="00640BA7">
            <w:pPr>
              <w:tabs>
                <w:tab w:val="decimal" w:pos="734"/>
              </w:tabs>
              <w:jc w:val="left"/>
              <w:rPr>
                <w:sz w:val="18"/>
              </w:rPr>
            </w:pPr>
            <w:r>
              <w:rPr>
                <w:sz w:val="18"/>
              </w:rPr>
              <w:t>25,578</w:t>
            </w:r>
          </w:p>
        </w:tc>
        <w:tc>
          <w:tcPr>
            <w:tcW w:w="990" w:type="dxa"/>
            <w:vAlign w:val="bottom"/>
          </w:tcPr>
          <w:p w:rsidR="00640BA7" w:rsidRPr="005B1ADC" w:rsidRDefault="00035611" w:rsidP="00640BA7">
            <w:pPr>
              <w:tabs>
                <w:tab w:val="decimal" w:pos="734"/>
              </w:tabs>
              <w:jc w:val="left"/>
              <w:rPr>
                <w:sz w:val="18"/>
              </w:rPr>
            </w:pPr>
            <w:r>
              <w:rPr>
                <w:sz w:val="18"/>
              </w:rPr>
              <w:t>28,200</w:t>
            </w:r>
          </w:p>
        </w:tc>
        <w:tc>
          <w:tcPr>
            <w:tcW w:w="990" w:type="dxa"/>
            <w:vAlign w:val="bottom"/>
          </w:tcPr>
          <w:p w:rsidR="00640BA7" w:rsidRPr="005B1ADC" w:rsidRDefault="0050389E" w:rsidP="00640BA7">
            <w:pPr>
              <w:tabs>
                <w:tab w:val="decimal" w:pos="734"/>
              </w:tabs>
              <w:jc w:val="left"/>
              <w:rPr>
                <w:sz w:val="18"/>
              </w:rPr>
            </w:pPr>
            <w:r>
              <w:rPr>
                <w:sz w:val="18"/>
              </w:rPr>
              <w:t>28,497</w:t>
            </w:r>
          </w:p>
        </w:tc>
        <w:tc>
          <w:tcPr>
            <w:tcW w:w="990" w:type="dxa"/>
            <w:vAlign w:val="bottom"/>
          </w:tcPr>
          <w:p w:rsidR="00640BA7" w:rsidRPr="005B1ADC" w:rsidRDefault="001376FC" w:rsidP="00640BA7">
            <w:pPr>
              <w:tabs>
                <w:tab w:val="decimal" w:pos="734"/>
              </w:tabs>
              <w:jc w:val="left"/>
              <w:rPr>
                <w:sz w:val="18"/>
              </w:rPr>
            </w:pPr>
            <w:r>
              <w:rPr>
                <w:sz w:val="18"/>
              </w:rPr>
              <w:t>28,746</w:t>
            </w:r>
          </w:p>
        </w:tc>
        <w:tc>
          <w:tcPr>
            <w:tcW w:w="834" w:type="dxa"/>
            <w:vAlign w:val="bottom"/>
          </w:tcPr>
          <w:p w:rsidR="00640BA7" w:rsidRPr="005B1ADC" w:rsidRDefault="00BA5D9C" w:rsidP="00640BA7">
            <w:pPr>
              <w:tabs>
                <w:tab w:val="decimal" w:pos="284"/>
              </w:tabs>
              <w:jc w:val="left"/>
              <w:rPr>
                <w:sz w:val="18"/>
              </w:rPr>
            </w:pPr>
            <w:r>
              <w:rPr>
                <w:sz w:val="18"/>
              </w:rPr>
              <w:t>0.9</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Utilities</w:t>
            </w:r>
          </w:p>
        </w:tc>
        <w:tc>
          <w:tcPr>
            <w:tcW w:w="991" w:type="dxa"/>
            <w:vAlign w:val="bottom"/>
          </w:tcPr>
          <w:p w:rsidR="00640BA7" w:rsidRPr="005B1ADC" w:rsidRDefault="00640BA7" w:rsidP="00640BA7">
            <w:pPr>
              <w:tabs>
                <w:tab w:val="decimal" w:pos="734"/>
              </w:tabs>
              <w:jc w:val="left"/>
              <w:rPr>
                <w:sz w:val="18"/>
              </w:rPr>
            </w:pPr>
            <w:r w:rsidRPr="005B1ADC">
              <w:rPr>
                <w:sz w:val="18"/>
              </w:rPr>
              <w:t>8,140</w:t>
            </w:r>
          </w:p>
        </w:tc>
        <w:tc>
          <w:tcPr>
            <w:tcW w:w="991" w:type="dxa"/>
            <w:vAlign w:val="bottom"/>
          </w:tcPr>
          <w:p w:rsidR="00640BA7" w:rsidRPr="005B1ADC" w:rsidRDefault="00640BA7" w:rsidP="00640BA7">
            <w:pPr>
              <w:tabs>
                <w:tab w:val="decimal" w:pos="734"/>
              </w:tabs>
              <w:jc w:val="left"/>
              <w:rPr>
                <w:sz w:val="18"/>
              </w:rPr>
            </w:pPr>
            <w:r w:rsidRPr="005B1ADC">
              <w:rPr>
                <w:sz w:val="18"/>
              </w:rPr>
              <w:t>8,202</w:t>
            </w:r>
          </w:p>
        </w:tc>
        <w:tc>
          <w:tcPr>
            <w:tcW w:w="990" w:type="dxa"/>
            <w:vAlign w:val="bottom"/>
          </w:tcPr>
          <w:p w:rsidR="00640BA7" w:rsidRPr="005B1ADC" w:rsidRDefault="00640BA7" w:rsidP="00640BA7">
            <w:pPr>
              <w:tabs>
                <w:tab w:val="decimal" w:pos="734"/>
              </w:tabs>
              <w:jc w:val="left"/>
              <w:rPr>
                <w:sz w:val="18"/>
              </w:rPr>
            </w:pPr>
            <w:r>
              <w:rPr>
                <w:sz w:val="18"/>
              </w:rPr>
              <w:t>8,239</w:t>
            </w:r>
          </w:p>
        </w:tc>
        <w:tc>
          <w:tcPr>
            <w:tcW w:w="990" w:type="dxa"/>
            <w:vAlign w:val="bottom"/>
          </w:tcPr>
          <w:p w:rsidR="00640BA7" w:rsidRPr="005B1ADC" w:rsidRDefault="00035611" w:rsidP="00640BA7">
            <w:pPr>
              <w:tabs>
                <w:tab w:val="decimal" w:pos="734"/>
              </w:tabs>
              <w:jc w:val="left"/>
              <w:rPr>
                <w:sz w:val="18"/>
              </w:rPr>
            </w:pPr>
            <w:r>
              <w:rPr>
                <w:sz w:val="18"/>
              </w:rPr>
              <w:t>8,079</w:t>
            </w:r>
          </w:p>
        </w:tc>
        <w:tc>
          <w:tcPr>
            <w:tcW w:w="990" w:type="dxa"/>
            <w:vAlign w:val="bottom"/>
          </w:tcPr>
          <w:p w:rsidR="00640BA7" w:rsidRPr="005B1ADC" w:rsidRDefault="00035611" w:rsidP="00640BA7">
            <w:pPr>
              <w:tabs>
                <w:tab w:val="decimal" w:pos="734"/>
              </w:tabs>
              <w:jc w:val="left"/>
              <w:rPr>
                <w:sz w:val="18"/>
              </w:rPr>
            </w:pPr>
            <w:r>
              <w:rPr>
                <w:sz w:val="18"/>
              </w:rPr>
              <w:t>8,030</w:t>
            </w:r>
          </w:p>
        </w:tc>
        <w:tc>
          <w:tcPr>
            <w:tcW w:w="990" w:type="dxa"/>
            <w:vAlign w:val="bottom"/>
          </w:tcPr>
          <w:p w:rsidR="00640BA7" w:rsidRPr="005B1ADC" w:rsidRDefault="0050389E" w:rsidP="00640BA7">
            <w:pPr>
              <w:tabs>
                <w:tab w:val="decimal" w:pos="734"/>
              </w:tabs>
              <w:jc w:val="left"/>
              <w:rPr>
                <w:sz w:val="18"/>
              </w:rPr>
            </w:pPr>
            <w:r>
              <w:rPr>
                <w:sz w:val="18"/>
              </w:rPr>
              <w:t>8,045</w:t>
            </w:r>
          </w:p>
        </w:tc>
        <w:tc>
          <w:tcPr>
            <w:tcW w:w="990" w:type="dxa"/>
            <w:vAlign w:val="bottom"/>
          </w:tcPr>
          <w:p w:rsidR="00640BA7" w:rsidRPr="005B1ADC" w:rsidRDefault="001376FC" w:rsidP="00640BA7">
            <w:pPr>
              <w:tabs>
                <w:tab w:val="decimal" w:pos="734"/>
              </w:tabs>
              <w:jc w:val="left"/>
              <w:rPr>
                <w:sz w:val="18"/>
              </w:rPr>
            </w:pPr>
            <w:r>
              <w:rPr>
                <w:sz w:val="18"/>
              </w:rPr>
              <w:t>8,039</w:t>
            </w:r>
          </w:p>
        </w:tc>
        <w:tc>
          <w:tcPr>
            <w:tcW w:w="834" w:type="dxa"/>
            <w:vAlign w:val="bottom"/>
          </w:tcPr>
          <w:p w:rsidR="00640BA7" w:rsidRPr="005B1ADC" w:rsidRDefault="00BA5D9C" w:rsidP="00640BA7">
            <w:pPr>
              <w:tabs>
                <w:tab w:val="decimal" w:pos="284"/>
              </w:tabs>
              <w:jc w:val="left"/>
              <w:rPr>
                <w:sz w:val="18"/>
              </w:rPr>
            </w:pPr>
            <w:r>
              <w:rPr>
                <w:sz w:val="18"/>
              </w:rPr>
              <w:t>(0.1)</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Construction</w:t>
            </w:r>
          </w:p>
        </w:tc>
        <w:tc>
          <w:tcPr>
            <w:tcW w:w="991" w:type="dxa"/>
            <w:vAlign w:val="bottom"/>
          </w:tcPr>
          <w:p w:rsidR="00640BA7" w:rsidRPr="005B1ADC" w:rsidRDefault="00640BA7" w:rsidP="00640BA7">
            <w:pPr>
              <w:tabs>
                <w:tab w:val="decimal" w:pos="734"/>
              </w:tabs>
              <w:jc w:val="left"/>
              <w:rPr>
                <w:sz w:val="18"/>
              </w:rPr>
            </w:pPr>
            <w:r w:rsidRPr="005B1ADC">
              <w:rPr>
                <w:sz w:val="18"/>
              </w:rPr>
              <w:t>142,140</w:t>
            </w:r>
          </w:p>
        </w:tc>
        <w:tc>
          <w:tcPr>
            <w:tcW w:w="991" w:type="dxa"/>
            <w:vAlign w:val="bottom"/>
          </w:tcPr>
          <w:p w:rsidR="00640BA7" w:rsidRPr="005B1ADC" w:rsidRDefault="00640BA7" w:rsidP="00640BA7">
            <w:pPr>
              <w:tabs>
                <w:tab w:val="decimal" w:pos="734"/>
              </w:tabs>
              <w:jc w:val="left"/>
              <w:rPr>
                <w:sz w:val="18"/>
              </w:rPr>
            </w:pPr>
            <w:r w:rsidRPr="005B1ADC">
              <w:rPr>
                <w:sz w:val="18"/>
              </w:rPr>
              <w:t>148,638</w:t>
            </w:r>
          </w:p>
        </w:tc>
        <w:tc>
          <w:tcPr>
            <w:tcW w:w="990" w:type="dxa"/>
            <w:vAlign w:val="bottom"/>
          </w:tcPr>
          <w:p w:rsidR="00640BA7" w:rsidRPr="005B1ADC" w:rsidRDefault="00640BA7" w:rsidP="00640BA7">
            <w:pPr>
              <w:tabs>
                <w:tab w:val="decimal" w:pos="734"/>
              </w:tabs>
              <w:jc w:val="left"/>
              <w:rPr>
                <w:sz w:val="18"/>
              </w:rPr>
            </w:pPr>
            <w:r>
              <w:rPr>
                <w:sz w:val="18"/>
              </w:rPr>
              <w:t>155,139</w:t>
            </w:r>
          </w:p>
        </w:tc>
        <w:tc>
          <w:tcPr>
            <w:tcW w:w="990" w:type="dxa"/>
            <w:vAlign w:val="bottom"/>
          </w:tcPr>
          <w:p w:rsidR="00640BA7" w:rsidRPr="005B1ADC" w:rsidRDefault="00035611" w:rsidP="00640BA7">
            <w:pPr>
              <w:tabs>
                <w:tab w:val="decimal" w:pos="734"/>
              </w:tabs>
              <w:jc w:val="left"/>
              <w:rPr>
                <w:sz w:val="18"/>
              </w:rPr>
            </w:pPr>
            <w:r>
              <w:rPr>
                <w:sz w:val="18"/>
              </w:rPr>
              <w:t>163,452</w:t>
            </w:r>
          </w:p>
        </w:tc>
        <w:tc>
          <w:tcPr>
            <w:tcW w:w="990" w:type="dxa"/>
            <w:vAlign w:val="bottom"/>
          </w:tcPr>
          <w:p w:rsidR="00640BA7" w:rsidRPr="005B1ADC" w:rsidRDefault="00035611" w:rsidP="00640BA7">
            <w:pPr>
              <w:tabs>
                <w:tab w:val="decimal" w:pos="734"/>
              </w:tabs>
              <w:jc w:val="left"/>
              <w:rPr>
                <w:sz w:val="18"/>
              </w:rPr>
            </w:pPr>
            <w:r>
              <w:rPr>
                <w:sz w:val="18"/>
              </w:rPr>
              <w:t>173,063</w:t>
            </w:r>
          </w:p>
        </w:tc>
        <w:tc>
          <w:tcPr>
            <w:tcW w:w="990" w:type="dxa"/>
            <w:vAlign w:val="bottom"/>
          </w:tcPr>
          <w:p w:rsidR="00640BA7" w:rsidRPr="005B1ADC" w:rsidRDefault="001376FC" w:rsidP="00640BA7">
            <w:pPr>
              <w:tabs>
                <w:tab w:val="decimal" w:pos="734"/>
              </w:tabs>
              <w:jc w:val="left"/>
              <w:rPr>
                <w:sz w:val="18"/>
              </w:rPr>
            </w:pPr>
            <w:r>
              <w:rPr>
                <w:sz w:val="18"/>
              </w:rPr>
              <w:t>177,957</w:t>
            </w:r>
          </w:p>
        </w:tc>
        <w:tc>
          <w:tcPr>
            <w:tcW w:w="990" w:type="dxa"/>
            <w:vAlign w:val="bottom"/>
          </w:tcPr>
          <w:p w:rsidR="00640BA7" w:rsidRPr="005B1ADC" w:rsidRDefault="00BA5D9C" w:rsidP="00640BA7">
            <w:pPr>
              <w:tabs>
                <w:tab w:val="decimal" w:pos="734"/>
              </w:tabs>
              <w:jc w:val="left"/>
              <w:rPr>
                <w:sz w:val="18"/>
              </w:rPr>
            </w:pPr>
            <w:r>
              <w:rPr>
                <w:sz w:val="18"/>
              </w:rPr>
              <w:t>175,819</w:t>
            </w:r>
          </w:p>
        </w:tc>
        <w:tc>
          <w:tcPr>
            <w:tcW w:w="834" w:type="dxa"/>
            <w:vAlign w:val="bottom"/>
          </w:tcPr>
          <w:p w:rsidR="00640BA7" w:rsidRPr="005B1ADC" w:rsidRDefault="00BA5D9C" w:rsidP="00640BA7">
            <w:pPr>
              <w:tabs>
                <w:tab w:val="decimal" w:pos="284"/>
              </w:tabs>
              <w:jc w:val="left"/>
              <w:rPr>
                <w:sz w:val="18"/>
              </w:rPr>
            </w:pPr>
            <w:r>
              <w:rPr>
                <w:sz w:val="18"/>
              </w:rPr>
              <w:t>(1.2)</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Manufacturing</w:t>
            </w:r>
          </w:p>
        </w:tc>
        <w:tc>
          <w:tcPr>
            <w:tcW w:w="991" w:type="dxa"/>
            <w:vAlign w:val="bottom"/>
          </w:tcPr>
          <w:p w:rsidR="00640BA7" w:rsidRPr="005B1ADC" w:rsidRDefault="00640BA7" w:rsidP="00640BA7">
            <w:pPr>
              <w:tabs>
                <w:tab w:val="decimal" w:pos="734"/>
              </w:tabs>
              <w:jc w:val="left"/>
              <w:rPr>
                <w:sz w:val="18"/>
              </w:rPr>
            </w:pPr>
            <w:r w:rsidRPr="005B1ADC">
              <w:rPr>
                <w:sz w:val="18"/>
              </w:rPr>
              <w:t>136,216</w:t>
            </w:r>
          </w:p>
        </w:tc>
        <w:tc>
          <w:tcPr>
            <w:tcW w:w="991" w:type="dxa"/>
            <w:vAlign w:val="bottom"/>
          </w:tcPr>
          <w:p w:rsidR="00640BA7" w:rsidRPr="005B1ADC" w:rsidRDefault="00640BA7" w:rsidP="00640BA7">
            <w:pPr>
              <w:tabs>
                <w:tab w:val="decimal" w:pos="734"/>
              </w:tabs>
              <w:jc w:val="left"/>
              <w:rPr>
                <w:sz w:val="18"/>
              </w:rPr>
            </w:pPr>
            <w:r w:rsidRPr="005B1ADC">
              <w:rPr>
                <w:sz w:val="18"/>
              </w:rPr>
              <w:t>140,831</w:t>
            </w:r>
          </w:p>
        </w:tc>
        <w:tc>
          <w:tcPr>
            <w:tcW w:w="990" w:type="dxa"/>
            <w:vAlign w:val="bottom"/>
          </w:tcPr>
          <w:p w:rsidR="00640BA7" w:rsidRPr="005B1ADC" w:rsidRDefault="00640BA7" w:rsidP="00640BA7">
            <w:pPr>
              <w:tabs>
                <w:tab w:val="decimal" w:pos="734"/>
              </w:tabs>
              <w:jc w:val="left"/>
              <w:rPr>
                <w:sz w:val="18"/>
              </w:rPr>
            </w:pPr>
            <w:r>
              <w:rPr>
                <w:sz w:val="18"/>
              </w:rPr>
              <w:t>142,381</w:t>
            </w:r>
          </w:p>
        </w:tc>
        <w:tc>
          <w:tcPr>
            <w:tcW w:w="990" w:type="dxa"/>
            <w:vAlign w:val="bottom"/>
          </w:tcPr>
          <w:p w:rsidR="00640BA7" w:rsidRPr="005B1ADC" w:rsidRDefault="00035611" w:rsidP="00640BA7">
            <w:pPr>
              <w:tabs>
                <w:tab w:val="decimal" w:pos="734"/>
              </w:tabs>
              <w:jc w:val="left"/>
              <w:rPr>
                <w:sz w:val="18"/>
              </w:rPr>
            </w:pPr>
            <w:r>
              <w:rPr>
                <w:sz w:val="18"/>
              </w:rPr>
              <w:t>144,064</w:t>
            </w:r>
          </w:p>
        </w:tc>
        <w:tc>
          <w:tcPr>
            <w:tcW w:w="990" w:type="dxa"/>
            <w:vAlign w:val="bottom"/>
          </w:tcPr>
          <w:p w:rsidR="00640BA7" w:rsidRPr="005B1ADC" w:rsidRDefault="00035611" w:rsidP="00640BA7">
            <w:pPr>
              <w:tabs>
                <w:tab w:val="decimal" w:pos="734"/>
              </w:tabs>
              <w:jc w:val="left"/>
              <w:rPr>
                <w:sz w:val="18"/>
              </w:rPr>
            </w:pPr>
            <w:r>
              <w:rPr>
                <w:sz w:val="18"/>
              </w:rPr>
              <w:t>147,270</w:t>
            </w:r>
          </w:p>
        </w:tc>
        <w:tc>
          <w:tcPr>
            <w:tcW w:w="990" w:type="dxa"/>
            <w:vAlign w:val="bottom"/>
          </w:tcPr>
          <w:p w:rsidR="00640BA7" w:rsidRPr="005B1ADC" w:rsidRDefault="001376FC" w:rsidP="00640BA7">
            <w:pPr>
              <w:tabs>
                <w:tab w:val="decimal" w:pos="734"/>
              </w:tabs>
              <w:jc w:val="left"/>
              <w:rPr>
                <w:sz w:val="18"/>
              </w:rPr>
            </w:pPr>
            <w:r>
              <w:rPr>
                <w:sz w:val="18"/>
              </w:rPr>
              <w:t>148,068</w:t>
            </w:r>
          </w:p>
        </w:tc>
        <w:tc>
          <w:tcPr>
            <w:tcW w:w="990" w:type="dxa"/>
            <w:vAlign w:val="bottom"/>
          </w:tcPr>
          <w:p w:rsidR="00640BA7" w:rsidRPr="005B1ADC" w:rsidRDefault="00BA5D9C" w:rsidP="00640BA7">
            <w:pPr>
              <w:tabs>
                <w:tab w:val="decimal" w:pos="734"/>
              </w:tabs>
              <w:jc w:val="left"/>
              <w:rPr>
                <w:sz w:val="18"/>
              </w:rPr>
            </w:pPr>
            <w:r>
              <w:rPr>
                <w:sz w:val="18"/>
              </w:rPr>
              <w:t>148,218</w:t>
            </w:r>
          </w:p>
        </w:tc>
        <w:tc>
          <w:tcPr>
            <w:tcW w:w="834" w:type="dxa"/>
            <w:vAlign w:val="bottom"/>
          </w:tcPr>
          <w:p w:rsidR="00640BA7" w:rsidRPr="005B1ADC" w:rsidRDefault="00BA5D9C" w:rsidP="00640BA7">
            <w:pPr>
              <w:tabs>
                <w:tab w:val="decimal" w:pos="284"/>
              </w:tabs>
              <w:jc w:val="left"/>
              <w:rPr>
                <w:sz w:val="18"/>
              </w:rPr>
            </w:pPr>
            <w:r>
              <w:rPr>
                <w:sz w:val="18"/>
              </w:rPr>
              <w:t>0.1</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Wholesale Trade</w:t>
            </w:r>
          </w:p>
        </w:tc>
        <w:tc>
          <w:tcPr>
            <w:tcW w:w="991" w:type="dxa"/>
            <w:vAlign w:val="bottom"/>
          </w:tcPr>
          <w:p w:rsidR="00640BA7" w:rsidRPr="005B1ADC" w:rsidRDefault="00640BA7" w:rsidP="00640BA7">
            <w:pPr>
              <w:tabs>
                <w:tab w:val="decimal" w:pos="734"/>
              </w:tabs>
              <w:jc w:val="left"/>
              <w:rPr>
                <w:sz w:val="18"/>
              </w:rPr>
            </w:pPr>
            <w:r w:rsidRPr="005B1ADC">
              <w:rPr>
                <w:sz w:val="18"/>
              </w:rPr>
              <w:t>99,825</w:t>
            </w:r>
          </w:p>
        </w:tc>
        <w:tc>
          <w:tcPr>
            <w:tcW w:w="991" w:type="dxa"/>
            <w:vAlign w:val="bottom"/>
          </w:tcPr>
          <w:p w:rsidR="00640BA7" w:rsidRPr="005B1ADC" w:rsidRDefault="00640BA7" w:rsidP="00640BA7">
            <w:pPr>
              <w:tabs>
                <w:tab w:val="decimal" w:pos="734"/>
              </w:tabs>
              <w:jc w:val="left"/>
              <w:rPr>
                <w:sz w:val="18"/>
              </w:rPr>
            </w:pPr>
            <w:r w:rsidRPr="005B1ADC">
              <w:rPr>
                <w:sz w:val="18"/>
              </w:rPr>
              <w:t>103,253</w:t>
            </w:r>
          </w:p>
        </w:tc>
        <w:tc>
          <w:tcPr>
            <w:tcW w:w="990" w:type="dxa"/>
            <w:vAlign w:val="bottom"/>
          </w:tcPr>
          <w:p w:rsidR="00640BA7" w:rsidRPr="005B1ADC" w:rsidRDefault="00640BA7" w:rsidP="00640BA7">
            <w:pPr>
              <w:tabs>
                <w:tab w:val="decimal" w:pos="734"/>
              </w:tabs>
              <w:jc w:val="left"/>
              <w:rPr>
                <w:sz w:val="18"/>
              </w:rPr>
            </w:pPr>
            <w:r>
              <w:rPr>
                <w:sz w:val="18"/>
              </w:rPr>
              <w:t>104,882</w:t>
            </w:r>
          </w:p>
        </w:tc>
        <w:tc>
          <w:tcPr>
            <w:tcW w:w="990" w:type="dxa"/>
            <w:vAlign w:val="bottom"/>
          </w:tcPr>
          <w:p w:rsidR="00640BA7" w:rsidRPr="005B1ADC" w:rsidRDefault="00035611" w:rsidP="00640BA7">
            <w:pPr>
              <w:tabs>
                <w:tab w:val="decimal" w:pos="734"/>
              </w:tabs>
              <w:jc w:val="left"/>
              <w:rPr>
                <w:sz w:val="18"/>
              </w:rPr>
            </w:pPr>
            <w:r>
              <w:rPr>
                <w:sz w:val="18"/>
              </w:rPr>
              <w:t>106,726</w:t>
            </w:r>
          </w:p>
        </w:tc>
        <w:tc>
          <w:tcPr>
            <w:tcW w:w="990" w:type="dxa"/>
            <w:vAlign w:val="bottom"/>
          </w:tcPr>
          <w:p w:rsidR="00640BA7" w:rsidRPr="005B1ADC" w:rsidRDefault="00035611" w:rsidP="00640BA7">
            <w:pPr>
              <w:tabs>
                <w:tab w:val="decimal" w:pos="734"/>
              </w:tabs>
              <w:jc w:val="left"/>
              <w:rPr>
                <w:sz w:val="18"/>
              </w:rPr>
            </w:pPr>
            <w:r>
              <w:rPr>
                <w:sz w:val="18"/>
              </w:rPr>
              <w:t>108,257</w:t>
            </w:r>
          </w:p>
        </w:tc>
        <w:tc>
          <w:tcPr>
            <w:tcW w:w="990" w:type="dxa"/>
            <w:vAlign w:val="bottom"/>
          </w:tcPr>
          <w:p w:rsidR="00640BA7" w:rsidRPr="005B1ADC" w:rsidRDefault="001376FC" w:rsidP="00640BA7">
            <w:pPr>
              <w:tabs>
                <w:tab w:val="decimal" w:pos="734"/>
              </w:tabs>
              <w:jc w:val="left"/>
              <w:rPr>
                <w:sz w:val="18"/>
              </w:rPr>
            </w:pPr>
            <w:r>
              <w:rPr>
                <w:sz w:val="18"/>
              </w:rPr>
              <w:t>108,908</w:t>
            </w:r>
          </w:p>
        </w:tc>
        <w:tc>
          <w:tcPr>
            <w:tcW w:w="990" w:type="dxa"/>
            <w:vAlign w:val="bottom"/>
          </w:tcPr>
          <w:p w:rsidR="00640BA7" w:rsidRPr="005B1ADC" w:rsidRDefault="00BA5D9C" w:rsidP="00640BA7">
            <w:pPr>
              <w:tabs>
                <w:tab w:val="decimal" w:pos="734"/>
              </w:tabs>
              <w:jc w:val="left"/>
              <w:rPr>
                <w:sz w:val="18"/>
              </w:rPr>
            </w:pPr>
            <w:r>
              <w:rPr>
                <w:sz w:val="18"/>
              </w:rPr>
              <w:t>109,218</w:t>
            </w:r>
          </w:p>
        </w:tc>
        <w:tc>
          <w:tcPr>
            <w:tcW w:w="834" w:type="dxa"/>
            <w:vAlign w:val="bottom"/>
          </w:tcPr>
          <w:p w:rsidR="00640BA7" w:rsidRPr="005B1ADC" w:rsidRDefault="00BA5D9C" w:rsidP="00640BA7">
            <w:pPr>
              <w:tabs>
                <w:tab w:val="decimal" w:pos="284"/>
              </w:tabs>
              <w:jc w:val="left"/>
              <w:rPr>
                <w:sz w:val="18"/>
              </w:rPr>
            </w:pPr>
            <w:r>
              <w:rPr>
                <w:sz w:val="18"/>
              </w:rPr>
              <w:t>0.3</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Retail Trade</w:t>
            </w:r>
          </w:p>
        </w:tc>
        <w:tc>
          <w:tcPr>
            <w:tcW w:w="991" w:type="dxa"/>
            <w:vAlign w:val="bottom"/>
          </w:tcPr>
          <w:p w:rsidR="00640BA7" w:rsidRPr="005B1ADC" w:rsidRDefault="00640BA7" w:rsidP="00640BA7">
            <w:pPr>
              <w:tabs>
                <w:tab w:val="decimal" w:pos="734"/>
              </w:tabs>
              <w:jc w:val="left"/>
              <w:rPr>
                <w:sz w:val="18"/>
              </w:rPr>
            </w:pPr>
            <w:r w:rsidRPr="005B1ADC">
              <w:rPr>
                <w:sz w:val="18"/>
              </w:rPr>
              <w:t>254,942</w:t>
            </w:r>
          </w:p>
        </w:tc>
        <w:tc>
          <w:tcPr>
            <w:tcW w:w="991" w:type="dxa"/>
            <w:vAlign w:val="bottom"/>
          </w:tcPr>
          <w:p w:rsidR="00640BA7" w:rsidRPr="005B1ADC" w:rsidRDefault="00640BA7" w:rsidP="00640BA7">
            <w:pPr>
              <w:tabs>
                <w:tab w:val="decimal" w:pos="734"/>
              </w:tabs>
              <w:jc w:val="left"/>
              <w:rPr>
                <w:sz w:val="18"/>
              </w:rPr>
            </w:pPr>
            <w:r w:rsidRPr="005B1ADC">
              <w:rPr>
                <w:sz w:val="18"/>
              </w:rPr>
              <w:t>263,104</w:t>
            </w:r>
          </w:p>
        </w:tc>
        <w:tc>
          <w:tcPr>
            <w:tcW w:w="990" w:type="dxa"/>
            <w:vAlign w:val="bottom"/>
          </w:tcPr>
          <w:p w:rsidR="00640BA7" w:rsidRPr="005B1ADC" w:rsidRDefault="00640BA7" w:rsidP="00640BA7">
            <w:pPr>
              <w:tabs>
                <w:tab w:val="decimal" w:pos="734"/>
              </w:tabs>
              <w:jc w:val="left"/>
              <w:rPr>
                <w:sz w:val="18"/>
              </w:rPr>
            </w:pPr>
            <w:r>
              <w:rPr>
                <w:sz w:val="18"/>
              </w:rPr>
              <w:t>269,032</w:t>
            </w:r>
          </w:p>
        </w:tc>
        <w:tc>
          <w:tcPr>
            <w:tcW w:w="990" w:type="dxa"/>
            <w:vAlign w:val="bottom"/>
          </w:tcPr>
          <w:p w:rsidR="00640BA7" w:rsidRPr="005B1ADC" w:rsidRDefault="00035611" w:rsidP="00640BA7">
            <w:pPr>
              <w:tabs>
                <w:tab w:val="decimal" w:pos="734"/>
              </w:tabs>
              <w:jc w:val="left"/>
              <w:rPr>
                <w:sz w:val="18"/>
              </w:rPr>
            </w:pPr>
            <w:r>
              <w:rPr>
                <w:sz w:val="18"/>
              </w:rPr>
              <w:t>270,783</w:t>
            </w:r>
          </w:p>
        </w:tc>
        <w:tc>
          <w:tcPr>
            <w:tcW w:w="990" w:type="dxa"/>
            <w:vAlign w:val="bottom"/>
          </w:tcPr>
          <w:p w:rsidR="00640BA7" w:rsidRPr="005B1ADC" w:rsidRDefault="00035611" w:rsidP="00640BA7">
            <w:pPr>
              <w:tabs>
                <w:tab w:val="decimal" w:pos="734"/>
              </w:tabs>
              <w:jc w:val="left"/>
              <w:rPr>
                <w:sz w:val="18"/>
              </w:rPr>
            </w:pPr>
            <w:r>
              <w:rPr>
                <w:sz w:val="18"/>
              </w:rPr>
              <w:t>272,644</w:t>
            </w:r>
          </w:p>
        </w:tc>
        <w:tc>
          <w:tcPr>
            <w:tcW w:w="990" w:type="dxa"/>
            <w:vAlign w:val="bottom"/>
          </w:tcPr>
          <w:p w:rsidR="00640BA7" w:rsidRPr="005B1ADC" w:rsidRDefault="001376FC" w:rsidP="00640BA7">
            <w:pPr>
              <w:tabs>
                <w:tab w:val="decimal" w:pos="734"/>
              </w:tabs>
              <w:jc w:val="left"/>
              <w:rPr>
                <w:sz w:val="18"/>
              </w:rPr>
            </w:pPr>
            <w:r>
              <w:rPr>
                <w:sz w:val="18"/>
              </w:rPr>
              <w:t>273,048</w:t>
            </w:r>
          </w:p>
        </w:tc>
        <w:tc>
          <w:tcPr>
            <w:tcW w:w="990" w:type="dxa"/>
            <w:vAlign w:val="bottom"/>
          </w:tcPr>
          <w:p w:rsidR="00640BA7" w:rsidRPr="005B1ADC" w:rsidRDefault="00BA5D9C" w:rsidP="00640BA7">
            <w:pPr>
              <w:tabs>
                <w:tab w:val="decimal" w:pos="734"/>
              </w:tabs>
              <w:jc w:val="left"/>
              <w:rPr>
                <w:sz w:val="18"/>
              </w:rPr>
            </w:pPr>
            <w:r>
              <w:rPr>
                <w:sz w:val="18"/>
              </w:rPr>
              <w:t>277,953</w:t>
            </w:r>
          </w:p>
        </w:tc>
        <w:tc>
          <w:tcPr>
            <w:tcW w:w="834" w:type="dxa"/>
            <w:vAlign w:val="bottom"/>
          </w:tcPr>
          <w:p w:rsidR="00640BA7" w:rsidRPr="005B1ADC" w:rsidRDefault="00BA5D9C" w:rsidP="00640BA7">
            <w:pPr>
              <w:tabs>
                <w:tab w:val="decimal" w:pos="284"/>
              </w:tabs>
              <w:jc w:val="left"/>
              <w:rPr>
                <w:sz w:val="18"/>
              </w:rPr>
            </w:pPr>
            <w:r>
              <w:rPr>
                <w:sz w:val="18"/>
              </w:rPr>
              <w:t>1.8</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Transportation and Warehousing</w:t>
            </w:r>
          </w:p>
        </w:tc>
        <w:tc>
          <w:tcPr>
            <w:tcW w:w="991" w:type="dxa"/>
            <w:vAlign w:val="bottom"/>
          </w:tcPr>
          <w:p w:rsidR="00640BA7" w:rsidRPr="005B1ADC" w:rsidRDefault="00640BA7" w:rsidP="00640BA7">
            <w:pPr>
              <w:tabs>
                <w:tab w:val="decimal" w:pos="734"/>
              </w:tabs>
              <w:jc w:val="left"/>
              <w:rPr>
                <w:sz w:val="18"/>
              </w:rPr>
            </w:pPr>
            <w:r w:rsidRPr="005B1ADC">
              <w:rPr>
                <w:sz w:val="18"/>
              </w:rPr>
              <w:t>65,180</w:t>
            </w:r>
          </w:p>
        </w:tc>
        <w:tc>
          <w:tcPr>
            <w:tcW w:w="991" w:type="dxa"/>
            <w:vAlign w:val="bottom"/>
          </w:tcPr>
          <w:p w:rsidR="00640BA7" w:rsidRPr="005B1ADC" w:rsidRDefault="00640BA7" w:rsidP="00640BA7">
            <w:pPr>
              <w:tabs>
                <w:tab w:val="decimal" w:pos="734"/>
              </w:tabs>
              <w:jc w:val="left"/>
              <w:rPr>
                <w:sz w:val="18"/>
              </w:rPr>
            </w:pPr>
            <w:r w:rsidRPr="005B1ADC">
              <w:rPr>
                <w:sz w:val="18"/>
              </w:rPr>
              <w:t>67,287</w:t>
            </w:r>
          </w:p>
        </w:tc>
        <w:tc>
          <w:tcPr>
            <w:tcW w:w="990" w:type="dxa"/>
            <w:vAlign w:val="bottom"/>
          </w:tcPr>
          <w:p w:rsidR="00640BA7" w:rsidRPr="005B1ADC" w:rsidRDefault="00035611" w:rsidP="00640BA7">
            <w:pPr>
              <w:tabs>
                <w:tab w:val="decimal" w:pos="734"/>
              </w:tabs>
              <w:jc w:val="left"/>
              <w:rPr>
                <w:sz w:val="18"/>
              </w:rPr>
            </w:pPr>
            <w:r>
              <w:rPr>
                <w:sz w:val="18"/>
              </w:rPr>
              <w:t>68,327</w:t>
            </w:r>
          </w:p>
        </w:tc>
        <w:tc>
          <w:tcPr>
            <w:tcW w:w="990" w:type="dxa"/>
            <w:vAlign w:val="bottom"/>
          </w:tcPr>
          <w:p w:rsidR="00640BA7" w:rsidRPr="005B1ADC" w:rsidRDefault="00035611" w:rsidP="00640BA7">
            <w:pPr>
              <w:tabs>
                <w:tab w:val="decimal" w:pos="734"/>
              </w:tabs>
              <w:jc w:val="left"/>
              <w:rPr>
                <w:sz w:val="18"/>
              </w:rPr>
            </w:pPr>
            <w:r>
              <w:rPr>
                <w:sz w:val="18"/>
              </w:rPr>
              <w:t>72,554</w:t>
            </w:r>
          </w:p>
        </w:tc>
        <w:tc>
          <w:tcPr>
            <w:tcW w:w="990" w:type="dxa"/>
            <w:vAlign w:val="bottom"/>
          </w:tcPr>
          <w:p w:rsidR="00640BA7" w:rsidRPr="005B1ADC" w:rsidRDefault="00035611" w:rsidP="00640BA7">
            <w:pPr>
              <w:tabs>
                <w:tab w:val="decimal" w:pos="734"/>
              </w:tabs>
              <w:jc w:val="left"/>
              <w:rPr>
                <w:sz w:val="18"/>
              </w:rPr>
            </w:pPr>
            <w:r>
              <w:rPr>
                <w:sz w:val="18"/>
              </w:rPr>
              <w:t>77,469</w:t>
            </w:r>
          </w:p>
        </w:tc>
        <w:tc>
          <w:tcPr>
            <w:tcW w:w="990" w:type="dxa"/>
            <w:vAlign w:val="bottom"/>
          </w:tcPr>
          <w:p w:rsidR="00640BA7" w:rsidRPr="005B1ADC" w:rsidRDefault="001376FC" w:rsidP="00640BA7">
            <w:pPr>
              <w:tabs>
                <w:tab w:val="decimal" w:pos="734"/>
              </w:tabs>
              <w:jc w:val="left"/>
              <w:rPr>
                <w:sz w:val="18"/>
              </w:rPr>
            </w:pPr>
            <w:r>
              <w:rPr>
                <w:sz w:val="18"/>
              </w:rPr>
              <w:t>77,023</w:t>
            </w:r>
          </w:p>
        </w:tc>
        <w:tc>
          <w:tcPr>
            <w:tcW w:w="990" w:type="dxa"/>
            <w:vAlign w:val="bottom"/>
          </w:tcPr>
          <w:p w:rsidR="00640BA7" w:rsidRPr="005B1ADC" w:rsidRDefault="00BA5D9C" w:rsidP="00640BA7">
            <w:pPr>
              <w:tabs>
                <w:tab w:val="decimal" w:pos="734"/>
              </w:tabs>
              <w:jc w:val="left"/>
              <w:rPr>
                <w:sz w:val="18"/>
              </w:rPr>
            </w:pPr>
            <w:r>
              <w:rPr>
                <w:sz w:val="18"/>
              </w:rPr>
              <w:t>82,031</w:t>
            </w:r>
          </w:p>
        </w:tc>
        <w:tc>
          <w:tcPr>
            <w:tcW w:w="834" w:type="dxa"/>
            <w:vAlign w:val="bottom"/>
          </w:tcPr>
          <w:p w:rsidR="00640BA7" w:rsidRPr="005B1ADC" w:rsidRDefault="00BA5D9C" w:rsidP="00640BA7">
            <w:pPr>
              <w:tabs>
                <w:tab w:val="decimal" w:pos="284"/>
              </w:tabs>
              <w:jc w:val="left"/>
              <w:rPr>
                <w:sz w:val="18"/>
              </w:rPr>
            </w:pPr>
            <w:r>
              <w:rPr>
                <w:sz w:val="18"/>
              </w:rPr>
              <w:t>6.5</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Information</w:t>
            </w:r>
          </w:p>
        </w:tc>
        <w:tc>
          <w:tcPr>
            <w:tcW w:w="991" w:type="dxa"/>
            <w:vAlign w:val="bottom"/>
          </w:tcPr>
          <w:p w:rsidR="00640BA7" w:rsidRPr="005B1ADC" w:rsidRDefault="00640BA7" w:rsidP="00640BA7">
            <w:pPr>
              <w:tabs>
                <w:tab w:val="decimal" w:pos="734"/>
              </w:tabs>
              <w:jc w:val="left"/>
              <w:rPr>
                <w:sz w:val="18"/>
              </w:rPr>
            </w:pPr>
            <w:r w:rsidRPr="005B1ADC">
              <w:rPr>
                <w:sz w:val="18"/>
              </w:rPr>
              <w:t>70,001</w:t>
            </w:r>
          </w:p>
        </w:tc>
        <w:tc>
          <w:tcPr>
            <w:tcW w:w="991" w:type="dxa"/>
            <w:vAlign w:val="bottom"/>
          </w:tcPr>
          <w:p w:rsidR="00640BA7" w:rsidRPr="005B1ADC" w:rsidRDefault="00640BA7" w:rsidP="00640BA7">
            <w:pPr>
              <w:tabs>
                <w:tab w:val="decimal" w:pos="734"/>
              </w:tabs>
              <w:jc w:val="left"/>
              <w:rPr>
                <w:sz w:val="18"/>
              </w:rPr>
            </w:pPr>
            <w:r w:rsidRPr="005B1ADC">
              <w:rPr>
                <w:sz w:val="18"/>
              </w:rPr>
              <w:t>70,599</w:t>
            </w:r>
          </w:p>
        </w:tc>
        <w:tc>
          <w:tcPr>
            <w:tcW w:w="990" w:type="dxa"/>
            <w:vAlign w:val="bottom"/>
          </w:tcPr>
          <w:p w:rsidR="00640BA7" w:rsidRPr="005B1ADC" w:rsidRDefault="00035611" w:rsidP="00640BA7">
            <w:pPr>
              <w:tabs>
                <w:tab w:val="decimal" w:pos="734"/>
              </w:tabs>
              <w:jc w:val="left"/>
              <w:rPr>
                <w:sz w:val="18"/>
              </w:rPr>
            </w:pPr>
            <w:r>
              <w:rPr>
                <w:sz w:val="18"/>
              </w:rPr>
              <w:t>71,730</w:t>
            </w:r>
          </w:p>
        </w:tc>
        <w:tc>
          <w:tcPr>
            <w:tcW w:w="990" w:type="dxa"/>
            <w:vAlign w:val="bottom"/>
          </w:tcPr>
          <w:p w:rsidR="00640BA7" w:rsidRPr="005B1ADC" w:rsidRDefault="00035611" w:rsidP="00640BA7">
            <w:pPr>
              <w:tabs>
                <w:tab w:val="decimal" w:pos="734"/>
              </w:tabs>
              <w:jc w:val="left"/>
              <w:rPr>
                <w:sz w:val="18"/>
              </w:rPr>
            </w:pPr>
            <w:r>
              <w:rPr>
                <w:sz w:val="18"/>
              </w:rPr>
              <w:t>71,643</w:t>
            </w:r>
          </w:p>
        </w:tc>
        <w:tc>
          <w:tcPr>
            <w:tcW w:w="990" w:type="dxa"/>
            <w:vAlign w:val="bottom"/>
          </w:tcPr>
          <w:p w:rsidR="00640BA7" w:rsidRPr="005B1ADC" w:rsidRDefault="00035611" w:rsidP="00640BA7">
            <w:pPr>
              <w:tabs>
                <w:tab w:val="decimal" w:pos="734"/>
              </w:tabs>
              <w:jc w:val="left"/>
              <w:rPr>
                <w:sz w:val="18"/>
              </w:rPr>
            </w:pPr>
            <w:r>
              <w:rPr>
                <w:sz w:val="18"/>
              </w:rPr>
              <w:t>74,992</w:t>
            </w:r>
          </w:p>
        </w:tc>
        <w:tc>
          <w:tcPr>
            <w:tcW w:w="990" w:type="dxa"/>
            <w:vAlign w:val="bottom"/>
          </w:tcPr>
          <w:p w:rsidR="00640BA7" w:rsidRPr="005B1ADC" w:rsidRDefault="001376FC" w:rsidP="00640BA7">
            <w:pPr>
              <w:tabs>
                <w:tab w:val="decimal" w:pos="734"/>
              </w:tabs>
              <w:jc w:val="left"/>
              <w:rPr>
                <w:sz w:val="18"/>
              </w:rPr>
            </w:pPr>
            <w:r>
              <w:rPr>
                <w:sz w:val="18"/>
              </w:rPr>
              <w:t>75,225</w:t>
            </w:r>
          </w:p>
        </w:tc>
        <w:tc>
          <w:tcPr>
            <w:tcW w:w="990" w:type="dxa"/>
            <w:vAlign w:val="bottom"/>
          </w:tcPr>
          <w:p w:rsidR="00640BA7" w:rsidRPr="005B1ADC" w:rsidRDefault="00BA5D9C" w:rsidP="00640BA7">
            <w:pPr>
              <w:tabs>
                <w:tab w:val="decimal" w:pos="734"/>
              </w:tabs>
              <w:jc w:val="left"/>
              <w:rPr>
                <w:sz w:val="18"/>
              </w:rPr>
            </w:pPr>
            <w:r>
              <w:rPr>
                <w:sz w:val="18"/>
              </w:rPr>
              <w:t>75,371</w:t>
            </w:r>
          </w:p>
        </w:tc>
        <w:tc>
          <w:tcPr>
            <w:tcW w:w="834" w:type="dxa"/>
            <w:vAlign w:val="bottom"/>
          </w:tcPr>
          <w:p w:rsidR="00640BA7" w:rsidRPr="005B1ADC" w:rsidRDefault="00BA5D9C" w:rsidP="00640BA7">
            <w:pPr>
              <w:tabs>
                <w:tab w:val="decimal" w:pos="284"/>
              </w:tabs>
              <w:jc w:val="left"/>
              <w:rPr>
                <w:sz w:val="18"/>
              </w:rPr>
            </w:pPr>
            <w:r>
              <w:rPr>
                <w:sz w:val="18"/>
              </w:rPr>
              <w:t>0.2</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Finance and Insurance</w:t>
            </w:r>
          </w:p>
        </w:tc>
        <w:tc>
          <w:tcPr>
            <w:tcW w:w="991" w:type="dxa"/>
            <w:vAlign w:val="bottom"/>
          </w:tcPr>
          <w:p w:rsidR="00640BA7" w:rsidRPr="005B1ADC" w:rsidRDefault="00640BA7" w:rsidP="00640BA7">
            <w:pPr>
              <w:tabs>
                <w:tab w:val="decimal" w:pos="734"/>
              </w:tabs>
              <w:jc w:val="left"/>
              <w:rPr>
                <w:sz w:val="18"/>
              </w:rPr>
            </w:pPr>
            <w:r w:rsidRPr="005B1ADC">
              <w:rPr>
                <w:sz w:val="18"/>
              </w:rPr>
              <w:t>103,623</w:t>
            </w:r>
          </w:p>
        </w:tc>
        <w:tc>
          <w:tcPr>
            <w:tcW w:w="991" w:type="dxa"/>
            <w:vAlign w:val="bottom"/>
          </w:tcPr>
          <w:p w:rsidR="00640BA7" w:rsidRPr="005B1ADC" w:rsidRDefault="00640BA7" w:rsidP="00640BA7">
            <w:pPr>
              <w:tabs>
                <w:tab w:val="decimal" w:pos="734"/>
              </w:tabs>
              <w:jc w:val="left"/>
              <w:rPr>
                <w:sz w:val="18"/>
              </w:rPr>
            </w:pPr>
            <w:r w:rsidRPr="005B1ADC">
              <w:rPr>
                <w:sz w:val="18"/>
              </w:rPr>
              <w:t>106,344</w:t>
            </w:r>
          </w:p>
        </w:tc>
        <w:tc>
          <w:tcPr>
            <w:tcW w:w="990" w:type="dxa"/>
            <w:vAlign w:val="bottom"/>
          </w:tcPr>
          <w:p w:rsidR="00640BA7" w:rsidRPr="005B1ADC" w:rsidRDefault="00035611" w:rsidP="00640BA7">
            <w:pPr>
              <w:tabs>
                <w:tab w:val="decimal" w:pos="734"/>
              </w:tabs>
              <w:jc w:val="left"/>
              <w:rPr>
                <w:sz w:val="18"/>
              </w:rPr>
            </w:pPr>
            <w:r>
              <w:rPr>
                <w:sz w:val="18"/>
              </w:rPr>
              <w:t>108,970</w:t>
            </w:r>
          </w:p>
        </w:tc>
        <w:tc>
          <w:tcPr>
            <w:tcW w:w="990" w:type="dxa"/>
            <w:vAlign w:val="bottom"/>
          </w:tcPr>
          <w:p w:rsidR="00640BA7" w:rsidRPr="005B1ADC" w:rsidRDefault="00035611" w:rsidP="00640BA7">
            <w:pPr>
              <w:tabs>
                <w:tab w:val="decimal" w:pos="734"/>
              </w:tabs>
              <w:jc w:val="left"/>
              <w:rPr>
                <w:sz w:val="18"/>
              </w:rPr>
            </w:pPr>
            <w:r>
              <w:rPr>
                <w:sz w:val="18"/>
              </w:rPr>
              <w:t>111,293</w:t>
            </w:r>
          </w:p>
        </w:tc>
        <w:tc>
          <w:tcPr>
            <w:tcW w:w="990" w:type="dxa"/>
            <w:vAlign w:val="bottom"/>
          </w:tcPr>
          <w:p w:rsidR="00640BA7" w:rsidRPr="005B1ADC" w:rsidRDefault="00035611" w:rsidP="00640BA7">
            <w:pPr>
              <w:tabs>
                <w:tab w:val="decimal" w:pos="734"/>
              </w:tabs>
              <w:jc w:val="left"/>
              <w:rPr>
                <w:sz w:val="18"/>
              </w:rPr>
            </w:pPr>
            <w:r>
              <w:rPr>
                <w:sz w:val="18"/>
              </w:rPr>
              <w:t>112,624</w:t>
            </w:r>
          </w:p>
        </w:tc>
        <w:tc>
          <w:tcPr>
            <w:tcW w:w="990" w:type="dxa"/>
            <w:vAlign w:val="bottom"/>
          </w:tcPr>
          <w:p w:rsidR="00640BA7" w:rsidRPr="005B1ADC" w:rsidRDefault="001376FC" w:rsidP="00640BA7">
            <w:pPr>
              <w:tabs>
                <w:tab w:val="decimal" w:pos="734"/>
              </w:tabs>
              <w:jc w:val="left"/>
              <w:rPr>
                <w:sz w:val="18"/>
              </w:rPr>
            </w:pPr>
            <w:r>
              <w:rPr>
                <w:sz w:val="18"/>
              </w:rPr>
              <w:t>112,926</w:t>
            </w:r>
          </w:p>
        </w:tc>
        <w:tc>
          <w:tcPr>
            <w:tcW w:w="990" w:type="dxa"/>
            <w:vAlign w:val="bottom"/>
          </w:tcPr>
          <w:p w:rsidR="00640BA7" w:rsidRPr="005B1ADC" w:rsidRDefault="00BA5D9C" w:rsidP="00640BA7">
            <w:pPr>
              <w:tabs>
                <w:tab w:val="decimal" w:pos="734"/>
              </w:tabs>
              <w:jc w:val="left"/>
              <w:rPr>
                <w:sz w:val="18"/>
              </w:rPr>
            </w:pPr>
            <w:r>
              <w:rPr>
                <w:sz w:val="18"/>
              </w:rPr>
              <w:t>112,990</w:t>
            </w:r>
          </w:p>
        </w:tc>
        <w:tc>
          <w:tcPr>
            <w:tcW w:w="834" w:type="dxa"/>
            <w:vAlign w:val="bottom"/>
          </w:tcPr>
          <w:p w:rsidR="00640BA7" w:rsidRPr="005B1ADC" w:rsidRDefault="00BA5D9C" w:rsidP="00640BA7">
            <w:pPr>
              <w:tabs>
                <w:tab w:val="decimal" w:pos="284"/>
              </w:tabs>
              <w:jc w:val="left"/>
              <w:rPr>
                <w:sz w:val="18"/>
              </w:rPr>
            </w:pPr>
            <w:r>
              <w:rPr>
                <w:sz w:val="18"/>
              </w:rPr>
              <w:t>0.1</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Real Estate and Rental and Leasing</w:t>
            </w:r>
          </w:p>
        </w:tc>
        <w:tc>
          <w:tcPr>
            <w:tcW w:w="991" w:type="dxa"/>
            <w:vAlign w:val="bottom"/>
          </w:tcPr>
          <w:p w:rsidR="00640BA7" w:rsidRPr="005B1ADC" w:rsidRDefault="00640BA7" w:rsidP="00640BA7">
            <w:pPr>
              <w:tabs>
                <w:tab w:val="decimal" w:pos="734"/>
              </w:tabs>
              <w:jc w:val="left"/>
              <w:rPr>
                <w:sz w:val="18"/>
              </w:rPr>
            </w:pPr>
            <w:r w:rsidRPr="005B1ADC">
              <w:rPr>
                <w:sz w:val="18"/>
              </w:rPr>
              <w:t>44,497</w:t>
            </w:r>
          </w:p>
        </w:tc>
        <w:tc>
          <w:tcPr>
            <w:tcW w:w="991" w:type="dxa"/>
            <w:vAlign w:val="bottom"/>
          </w:tcPr>
          <w:p w:rsidR="00640BA7" w:rsidRPr="005B1ADC" w:rsidRDefault="00640BA7" w:rsidP="00640BA7">
            <w:pPr>
              <w:tabs>
                <w:tab w:val="decimal" w:pos="734"/>
              </w:tabs>
              <w:jc w:val="left"/>
              <w:rPr>
                <w:sz w:val="18"/>
              </w:rPr>
            </w:pPr>
            <w:r w:rsidRPr="005B1ADC">
              <w:rPr>
                <w:sz w:val="18"/>
              </w:rPr>
              <w:t>46,944</w:t>
            </w:r>
          </w:p>
        </w:tc>
        <w:tc>
          <w:tcPr>
            <w:tcW w:w="990" w:type="dxa"/>
            <w:vAlign w:val="bottom"/>
          </w:tcPr>
          <w:p w:rsidR="00640BA7" w:rsidRPr="005B1ADC" w:rsidRDefault="00035611" w:rsidP="00640BA7">
            <w:pPr>
              <w:tabs>
                <w:tab w:val="decimal" w:pos="734"/>
              </w:tabs>
              <w:jc w:val="left"/>
              <w:rPr>
                <w:sz w:val="18"/>
              </w:rPr>
            </w:pPr>
            <w:r>
              <w:rPr>
                <w:sz w:val="18"/>
              </w:rPr>
              <w:t>48,707</w:t>
            </w:r>
          </w:p>
        </w:tc>
        <w:tc>
          <w:tcPr>
            <w:tcW w:w="990" w:type="dxa"/>
            <w:vAlign w:val="bottom"/>
          </w:tcPr>
          <w:p w:rsidR="00640BA7" w:rsidRPr="005B1ADC" w:rsidRDefault="00035611" w:rsidP="00640BA7">
            <w:pPr>
              <w:tabs>
                <w:tab w:val="decimal" w:pos="734"/>
              </w:tabs>
              <w:jc w:val="left"/>
              <w:rPr>
                <w:sz w:val="18"/>
              </w:rPr>
            </w:pPr>
            <w:r>
              <w:rPr>
                <w:sz w:val="18"/>
              </w:rPr>
              <w:t>50,566</w:t>
            </w:r>
          </w:p>
        </w:tc>
        <w:tc>
          <w:tcPr>
            <w:tcW w:w="990" w:type="dxa"/>
            <w:vAlign w:val="bottom"/>
          </w:tcPr>
          <w:p w:rsidR="00640BA7" w:rsidRPr="005B1ADC" w:rsidRDefault="00035611" w:rsidP="00640BA7">
            <w:pPr>
              <w:tabs>
                <w:tab w:val="decimal" w:pos="734"/>
              </w:tabs>
              <w:jc w:val="left"/>
              <w:rPr>
                <w:sz w:val="18"/>
              </w:rPr>
            </w:pPr>
            <w:r>
              <w:rPr>
                <w:sz w:val="18"/>
              </w:rPr>
              <w:t>52,152</w:t>
            </w:r>
          </w:p>
        </w:tc>
        <w:tc>
          <w:tcPr>
            <w:tcW w:w="990" w:type="dxa"/>
            <w:vAlign w:val="bottom"/>
          </w:tcPr>
          <w:p w:rsidR="00640BA7" w:rsidRPr="005B1ADC" w:rsidRDefault="001376FC" w:rsidP="00640BA7">
            <w:pPr>
              <w:tabs>
                <w:tab w:val="decimal" w:pos="734"/>
              </w:tabs>
              <w:jc w:val="left"/>
              <w:rPr>
                <w:sz w:val="18"/>
              </w:rPr>
            </w:pPr>
            <w:r>
              <w:rPr>
                <w:sz w:val="18"/>
              </w:rPr>
              <w:t>2,618</w:t>
            </w:r>
          </w:p>
        </w:tc>
        <w:tc>
          <w:tcPr>
            <w:tcW w:w="990" w:type="dxa"/>
            <w:vAlign w:val="bottom"/>
          </w:tcPr>
          <w:p w:rsidR="00640BA7" w:rsidRPr="005B1ADC" w:rsidRDefault="00BA5D9C" w:rsidP="00640BA7">
            <w:pPr>
              <w:tabs>
                <w:tab w:val="decimal" w:pos="734"/>
              </w:tabs>
              <w:jc w:val="left"/>
              <w:rPr>
                <w:sz w:val="18"/>
              </w:rPr>
            </w:pPr>
            <w:r>
              <w:rPr>
                <w:sz w:val="18"/>
              </w:rPr>
              <w:t>52,772</w:t>
            </w:r>
          </w:p>
        </w:tc>
        <w:tc>
          <w:tcPr>
            <w:tcW w:w="834" w:type="dxa"/>
            <w:vAlign w:val="bottom"/>
          </w:tcPr>
          <w:p w:rsidR="00640BA7" w:rsidRPr="005B1ADC" w:rsidRDefault="00BA5D9C" w:rsidP="00640BA7">
            <w:pPr>
              <w:tabs>
                <w:tab w:val="decimal" w:pos="284"/>
              </w:tabs>
              <w:jc w:val="left"/>
              <w:rPr>
                <w:sz w:val="18"/>
              </w:rPr>
            </w:pPr>
            <w:r>
              <w:rPr>
                <w:sz w:val="18"/>
              </w:rPr>
              <w:t>0.3</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Professional and Technical Services</w:t>
            </w:r>
          </w:p>
        </w:tc>
        <w:tc>
          <w:tcPr>
            <w:tcW w:w="991" w:type="dxa"/>
            <w:vAlign w:val="bottom"/>
          </w:tcPr>
          <w:p w:rsidR="00640BA7" w:rsidRPr="005B1ADC" w:rsidRDefault="00640BA7" w:rsidP="00640BA7">
            <w:pPr>
              <w:tabs>
                <w:tab w:val="decimal" w:pos="734"/>
              </w:tabs>
              <w:jc w:val="left"/>
              <w:rPr>
                <w:sz w:val="18"/>
              </w:rPr>
            </w:pPr>
            <w:r w:rsidRPr="005B1ADC">
              <w:rPr>
                <w:sz w:val="18"/>
              </w:rPr>
              <w:t>196,684</w:t>
            </w:r>
          </w:p>
        </w:tc>
        <w:tc>
          <w:tcPr>
            <w:tcW w:w="991" w:type="dxa"/>
            <w:vAlign w:val="bottom"/>
          </w:tcPr>
          <w:p w:rsidR="00640BA7" w:rsidRPr="005B1ADC" w:rsidRDefault="00640BA7" w:rsidP="00640BA7">
            <w:pPr>
              <w:tabs>
                <w:tab w:val="decimal" w:pos="734"/>
              </w:tabs>
              <w:jc w:val="left"/>
              <w:rPr>
                <w:sz w:val="18"/>
              </w:rPr>
            </w:pPr>
            <w:r w:rsidRPr="005B1ADC">
              <w:rPr>
                <w:sz w:val="18"/>
              </w:rPr>
              <w:t>204,586</w:t>
            </w:r>
          </w:p>
        </w:tc>
        <w:tc>
          <w:tcPr>
            <w:tcW w:w="990" w:type="dxa"/>
            <w:vAlign w:val="bottom"/>
          </w:tcPr>
          <w:p w:rsidR="00640BA7" w:rsidRPr="005B1ADC" w:rsidRDefault="00035611" w:rsidP="00640BA7">
            <w:pPr>
              <w:tabs>
                <w:tab w:val="decimal" w:pos="734"/>
              </w:tabs>
              <w:jc w:val="left"/>
              <w:rPr>
                <w:sz w:val="18"/>
              </w:rPr>
            </w:pPr>
            <w:r>
              <w:rPr>
                <w:sz w:val="18"/>
              </w:rPr>
              <w:t>210,093</w:t>
            </w:r>
          </w:p>
        </w:tc>
        <w:tc>
          <w:tcPr>
            <w:tcW w:w="990" w:type="dxa"/>
            <w:vAlign w:val="bottom"/>
          </w:tcPr>
          <w:p w:rsidR="00640BA7" w:rsidRPr="005B1ADC" w:rsidRDefault="00035611" w:rsidP="00640BA7">
            <w:pPr>
              <w:tabs>
                <w:tab w:val="decimal" w:pos="734"/>
              </w:tabs>
              <w:jc w:val="left"/>
              <w:rPr>
                <w:sz w:val="18"/>
              </w:rPr>
            </w:pPr>
            <w:r>
              <w:rPr>
                <w:sz w:val="18"/>
              </w:rPr>
              <w:t>215,783</w:t>
            </w:r>
          </w:p>
        </w:tc>
        <w:tc>
          <w:tcPr>
            <w:tcW w:w="990" w:type="dxa"/>
            <w:vAlign w:val="bottom"/>
          </w:tcPr>
          <w:p w:rsidR="00640BA7" w:rsidRPr="005B1ADC" w:rsidRDefault="00035611" w:rsidP="00640BA7">
            <w:pPr>
              <w:tabs>
                <w:tab w:val="decimal" w:pos="734"/>
              </w:tabs>
              <w:jc w:val="left"/>
              <w:rPr>
                <w:sz w:val="18"/>
              </w:rPr>
            </w:pPr>
            <w:r>
              <w:rPr>
                <w:sz w:val="18"/>
              </w:rPr>
              <w:t>224,620</w:t>
            </w:r>
          </w:p>
        </w:tc>
        <w:tc>
          <w:tcPr>
            <w:tcW w:w="990" w:type="dxa"/>
            <w:vAlign w:val="bottom"/>
          </w:tcPr>
          <w:p w:rsidR="00640BA7" w:rsidRPr="005B1ADC" w:rsidRDefault="001376FC" w:rsidP="00640BA7">
            <w:pPr>
              <w:tabs>
                <w:tab w:val="decimal" w:pos="734"/>
              </w:tabs>
              <w:jc w:val="left"/>
              <w:rPr>
                <w:sz w:val="18"/>
              </w:rPr>
            </w:pPr>
            <w:r>
              <w:rPr>
                <w:sz w:val="18"/>
              </w:rPr>
              <w:t>225,808</w:t>
            </w:r>
          </w:p>
        </w:tc>
        <w:tc>
          <w:tcPr>
            <w:tcW w:w="990" w:type="dxa"/>
            <w:vAlign w:val="bottom"/>
          </w:tcPr>
          <w:p w:rsidR="00640BA7" w:rsidRPr="005B1ADC" w:rsidRDefault="00BA5D9C" w:rsidP="00640BA7">
            <w:pPr>
              <w:tabs>
                <w:tab w:val="decimal" w:pos="734"/>
              </w:tabs>
              <w:jc w:val="left"/>
              <w:rPr>
                <w:sz w:val="18"/>
              </w:rPr>
            </w:pPr>
            <w:r>
              <w:rPr>
                <w:sz w:val="18"/>
              </w:rPr>
              <w:t>229,479</w:t>
            </w:r>
          </w:p>
        </w:tc>
        <w:tc>
          <w:tcPr>
            <w:tcW w:w="834" w:type="dxa"/>
            <w:vAlign w:val="bottom"/>
          </w:tcPr>
          <w:p w:rsidR="00640BA7" w:rsidRPr="005B1ADC" w:rsidRDefault="00BA5D9C" w:rsidP="00640BA7">
            <w:pPr>
              <w:tabs>
                <w:tab w:val="decimal" w:pos="284"/>
              </w:tabs>
              <w:jc w:val="left"/>
              <w:rPr>
                <w:sz w:val="18"/>
              </w:rPr>
            </w:pPr>
            <w:r>
              <w:rPr>
                <w:sz w:val="18"/>
              </w:rPr>
              <w:t>1.6</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Management of Companies and Enterprises</w:t>
            </w:r>
          </w:p>
        </w:tc>
        <w:tc>
          <w:tcPr>
            <w:tcW w:w="991" w:type="dxa"/>
            <w:vAlign w:val="bottom"/>
          </w:tcPr>
          <w:p w:rsidR="00640BA7" w:rsidRPr="005B1ADC" w:rsidRDefault="00640BA7" w:rsidP="00640BA7">
            <w:pPr>
              <w:tabs>
                <w:tab w:val="decimal" w:pos="734"/>
              </w:tabs>
              <w:jc w:val="left"/>
              <w:rPr>
                <w:sz w:val="18"/>
              </w:rPr>
            </w:pPr>
            <w:r w:rsidRPr="005B1ADC">
              <w:rPr>
                <w:sz w:val="18"/>
              </w:rPr>
              <w:t>35,406</w:t>
            </w:r>
          </w:p>
        </w:tc>
        <w:tc>
          <w:tcPr>
            <w:tcW w:w="991" w:type="dxa"/>
            <w:vAlign w:val="bottom"/>
          </w:tcPr>
          <w:p w:rsidR="00640BA7" w:rsidRPr="005B1ADC" w:rsidRDefault="00640BA7" w:rsidP="00640BA7">
            <w:pPr>
              <w:tabs>
                <w:tab w:val="decimal" w:pos="734"/>
              </w:tabs>
              <w:jc w:val="left"/>
              <w:rPr>
                <w:sz w:val="18"/>
              </w:rPr>
            </w:pPr>
            <w:r w:rsidRPr="005B1ADC">
              <w:rPr>
                <w:sz w:val="18"/>
              </w:rPr>
              <w:t>36,488</w:t>
            </w:r>
          </w:p>
        </w:tc>
        <w:tc>
          <w:tcPr>
            <w:tcW w:w="990" w:type="dxa"/>
            <w:vAlign w:val="bottom"/>
          </w:tcPr>
          <w:p w:rsidR="00640BA7" w:rsidRPr="005B1ADC" w:rsidRDefault="00035611" w:rsidP="00640BA7">
            <w:pPr>
              <w:tabs>
                <w:tab w:val="decimal" w:pos="734"/>
              </w:tabs>
              <w:jc w:val="left"/>
              <w:rPr>
                <w:sz w:val="18"/>
              </w:rPr>
            </w:pPr>
            <w:r>
              <w:rPr>
                <w:sz w:val="18"/>
              </w:rPr>
              <w:t>36,833</w:t>
            </w:r>
          </w:p>
        </w:tc>
        <w:tc>
          <w:tcPr>
            <w:tcW w:w="990" w:type="dxa"/>
            <w:vAlign w:val="bottom"/>
          </w:tcPr>
          <w:p w:rsidR="00640BA7" w:rsidRPr="005B1ADC" w:rsidRDefault="00035611" w:rsidP="00640BA7">
            <w:pPr>
              <w:tabs>
                <w:tab w:val="decimal" w:pos="734"/>
              </w:tabs>
              <w:jc w:val="left"/>
              <w:rPr>
                <w:sz w:val="18"/>
              </w:rPr>
            </w:pPr>
            <w:r>
              <w:rPr>
                <w:sz w:val="18"/>
              </w:rPr>
              <w:t>39,018</w:t>
            </w:r>
          </w:p>
        </w:tc>
        <w:tc>
          <w:tcPr>
            <w:tcW w:w="990" w:type="dxa"/>
            <w:vAlign w:val="bottom"/>
          </w:tcPr>
          <w:p w:rsidR="00640BA7" w:rsidRPr="005B1ADC" w:rsidRDefault="00035611" w:rsidP="00640BA7">
            <w:pPr>
              <w:tabs>
                <w:tab w:val="decimal" w:pos="734"/>
              </w:tabs>
              <w:jc w:val="left"/>
              <w:rPr>
                <w:sz w:val="18"/>
              </w:rPr>
            </w:pPr>
            <w:r>
              <w:rPr>
                <w:sz w:val="18"/>
              </w:rPr>
              <w:t>40,839</w:t>
            </w:r>
          </w:p>
        </w:tc>
        <w:tc>
          <w:tcPr>
            <w:tcW w:w="990" w:type="dxa"/>
            <w:vAlign w:val="bottom"/>
          </w:tcPr>
          <w:p w:rsidR="00640BA7" w:rsidRPr="005B1ADC" w:rsidRDefault="001376FC" w:rsidP="00640BA7">
            <w:pPr>
              <w:tabs>
                <w:tab w:val="decimal" w:pos="734"/>
              </w:tabs>
              <w:jc w:val="left"/>
              <w:rPr>
                <w:sz w:val="18"/>
              </w:rPr>
            </w:pPr>
            <w:r>
              <w:rPr>
                <w:sz w:val="18"/>
              </w:rPr>
              <w:t>41,274</w:t>
            </w:r>
          </w:p>
        </w:tc>
        <w:tc>
          <w:tcPr>
            <w:tcW w:w="990" w:type="dxa"/>
            <w:vAlign w:val="bottom"/>
          </w:tcPr>
          <w:p w:rsidR="00640BA7" w:rsidRPr="005B1ADC" w:rsidRDefault="00BA5D9C" w:rsidP="00640BA7">
            <w:pPr>
              <w:tabs>
                <w:tab w:val="decimal" w:pos="734"/>
              </w:tabs>
              <w:jc w:val="left"/>
              <w:rPr>
                <w:sz w:val="18"/>
              </w:rPr>
            </w:pPr>
            <w:r>
              <w:rPr>
                <w:sz w:val="18"/>
              </w:rPr>
              <w:t>41,625</w:t>
            </w:r>
          </w:p>
        </w:tc>
        <w:tc>
          <w:tcPr>
            <w:tcW w:w="834" w:type="dxa"/>
            <w:vAlign w:val="bottom"/>
          </w:tcPr>
          <w:p w:rsidR="00640BA7" w:rsidRPr="005B1ADC" w:rsidRDefault="00BA5D9C" w:rsidP="00640BA7">
            <w:pPr>
              <w:tabs>
                <w:tab w:val="decimal" w:pos="284"/>
              </w:tabs>
              <w:jc w:val="left"/>
              <w:rPr>
                <w:sz w:val="18"/>
              </w:rPr>
            </w:pPr>
            <w:r>
              <w:rPr>
                <w:sz w:val="18"/>
              </w:rPr>
              <w:t>0.9</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Administrative and Waste Services</w:t>
            </w:r>
          </w:p>
        </w:tc>
        <w:tc>
          <w:tcPr>
            <w:tcW w:w="991" w:type="dxa"/>
            <w:vAlign w:val="bottom"/>
          </w:tcPr>
          <w:p w:rsidR="00640BA7" w:rsidRPr="005B1ADC" w:rsidRDefault="00640BA7" w:rsidP="00640BA7">
            <w:pPr>
              <w:tabs>
                <w:tab w:val="decimal" w:pos="734"/>
              </w:tabs>
              <w:jc w:val="left"/>
              <w:rPr>
                <w:sz w:val="18"/>
              </w:rPr>
            </w:pPr>
            <w:r w:rsidRPr="005B1ADC">
              <w:rPr>
                <w:sz w:val="18"/>
              </w:rPr>
              <w:t>154,121</w:t>
            </w:r>
          </w:p>
        </w:tc>
        <w:tc>
          <w:tcPr>
            <w:tcW w:w="991" w:type="dxa"/>
            <w:vAlign w:val="bottom"/>
          </w:tcPr>
          <w:p w:rsidR="00640BA7" w:rsidRPr="005B1ADC" w:rsidRDefault="00640BA7" w:rsidP="00640BA7">
            <w:pPr>
              <w:tabs>
                <w:tab w:val="decimal" w:pos="734"/>
              </w:tabs>
              <w:jc w:val="left"/>
              <w:rPr>
                <w:sz w:val="18"/>
              </w:rPr>
            </w:pPr>
            <w:r w:rsidRPr="005B1ADC">
              <w:rPr>
                <w:sz w:val="18"/>
              </w:rPr>
              <w:t>157,385</w:t>
            </w:r>
          </w:p>
        </w:tc>
        <w:tc>
          <w:tcPr>
            <w:tcW w:w="990" w:type="dxa"/>
            <w:vAlign w:val="bottom"/>
          </w:tcPr>
          <w:p w:rsidR="00640BA7" w:rsidRPr="005B1ADC" w:rsidRDefault="00035611" w:rsidP="00640BA7">
            <w:pPr>
              <w:tabs>
                <w:tab w:val="decimal" w:pos="734"/>
              </w:tabs>
              <w:jc w:val="left"/>
              <w:rPr>
                <w:sz w:val="18"/>
              </w:rPr>
            </w:pPr>
            <w:r>
              <w:rPr>
                <w:sz w:val="18"/>
              </w:rPr>
              <w:t>158,535</w:t>
            </w:r>
          </w:p>
        </w:tc>
        <w:tc>
          <w:tcPr>
            <w:tcW w:w="990" w:type="dxa"/>
            <w:vAlign w:val="bottom"/>
          </w:tcPr>
          <w:p w:rsidR="00640BA7" w:rsidRPr="005B1ADC" w:rsidRDefault="00035611" w:rsidP="00640BA7">
            <w:pPr>
              <w:tabs>
                <w:tab w:val="decimal" w:pos="734"/>
              </w:tabs>
              <w:jc w:val="left"/>
              <w:rPr>
                <w:sz w:val="18"/>
              </w:rPr>
            </w:pPr>
            <w:r>
              <w:rPr>
                <w:sz w:val="18"/>
              </w:rPr>
              <w:t>158,041</w:t>
            </w:r>
          </w:p>
        </w:tc>
        <w:tc>
          <w:tcPr>
            <w:tcW w:w="990" w:type="dxa"/>
            <w:vAlign w:val="bottom"/>
          </w:tcPr>
          <w:p w:rsidR="00640BA7" w:rsidRPr="005B1ADC" w:rsidRDefault="00035611" w:rsidP="00640BA7">
            <w:pPr>
              <w:tabs>
                <w:tab w:val="decimal" w:pos="734"/>
              </w:tabs>
              <w:jc w:val="left"/>
              <w:rPr>
                <w:sz w:val="18"/>
              </w:rPr>
            </w:pPr>
            <w:r>
              <w:rPr>
                <w:sz w:val="18"/>
              </w:rPr>
              <w:t>158,512</w:t>
            </w:r>
          </w:p>
        </w:tc>
        <w:tc>
          <w:tcPr>
            <w:tcW w:w="990" w:type="dxa"/>
            <w:vAlign w:val="bottom"/>
          </w:tcPr>
          <w:p w:rsidR="00640BA7" w:rsidRPr="005B1ADC" w:rsidRDefault="001376FC" w:rsidP="00640BA7">
            <w:pPr>
              <w:tabs>
                <w:tab w:val="decimal" w:pos="734"/>
              </w:tabs>
              <w:jc w:val="left"/>
              <w:rPr>
                <w:sz w:val="18"/>
              </w:rPr>
            </w:pPr>
            <w:r>
              <w:rPr>
                <w:sz w:val="18"/>
              </w:rPr>
              <w:t>164,554</w:t>
            </w:r>
          </w:p>
        </w:tc>
        <w:tc>
          <w:tcPr>
            <w:tcW w:w="990" w:type="dxa"/>
            <w:vAlign w:val="bottom"/>
          </w:tcPr>
          <w:p w:rsidR="00640BA7" w:rsidRPr="005B1ADC" w:rsidRDefault="00BA5D9C" w:rsidP="00640BA7">
            <w:pPr>
              <w:tabs>
                <w:tab w:val="decimal" w:pos="734"/>
              </w:tabs>
              <w:jc w:val="left"/>
              <w:rPr>
                <w:sz w:val="18"/>
              </w:rPr>
            </w:pPr>
            <w:r>
              <w:rPr>
                <w:sz w:val="18"/>
              </w:rPr>
              <w:t>159,162</w:t>
            </w:r>
          </w:p>
        </w:tc>
        <w:tc>
          <w:tcPr>
            <w:tcW w:w="834" w:type="dxa"/>
            <w:vAlign w:val="bottom"/>
          </w:tcPr>
          <w:p w:rsidR="00640BA7" w:rsidRPr="005B1ADC" w:rsidRDefault="00BA5D9C" w:rsidP="00640BA7">
            <w:pPr>
              <w:tabs>
                <w:tab w:val="decimal" w:pos="284"/>
              </w:tabs>
              <w:jc w:val="left"/>
              <w:rPr>
                <w:sz w:val="18"/>
              </w:rPr>
            </w:pPr>
            <w:r>
              <w:rPr>
                <w:sz w:val="18"/>
              </w:rPr>
              <w:t>(3.3)</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Educational Services</w:t>
            </w:r>
          </w:p>
        </w:tc>
        <w:tc>
          <w:tcPr>
            <w:tcW w:w="991" w:type="dxa"/>
            <w:vAlign w:val="bottom"/>
          </w:tcPr>
          <w:p w:rsidR="00640BA7" w:rsidRPr="005B1ADC" w:rsidRDefault="00640BA7" w:rsidP="00640BA7">
            <w:pPr>
              <w:tabs>
                <w:tab w:val="decimal" w:pos="734"/>
              </w:tabs>
              <w:jc w:val="left"/>
              <w:rPr>
                <w:sz w:val="18"/>
              </w:rPr>
            </w:pPr>
            <w:r w:rsidRPr="005B1ADC">
              <w:rPr>
                <w:sz w:val="18"/>
              </w:rPr>
              <w:t>32,965</w:t>
            </w:r>
          </w:p>
        </w:tc>
        <w:tc>
          <w:tcPr>
            <w:tcW w:w="991" w:type="dxa"/>
            <w:vAlign w:val="bottom"/>
          </w:tcPr>
          <w:p w:rsidR="00640BA7" w:rsidRPr="005B1ADC" w:rsidRDefault="00640BA7" w:rsidP="00640BA7">
            <w:pPr>
              <w:tabs>
                <w:tab w:val="decimal" w:pos="734"/>
              </w:tabs>
              <w:jc w:val="left"/>
              <w:rPr>
                <w:sz w:val="18"/>
              </w:rPr>
            </w:pPr>
            <w:r w:rsidRPr="005B1ADC">
              <w:rPr>
                <w:sz w:val="18"/>
              </w:rPr>
              <w:t>33,847</w:t>
            </w:r>
          </w:p>
        </w:tc>
        <w:tc>
          <w:tcPr>
            <w:tcW w:w="990" w:type="dxa"/>
            <w:vAlign w:val="bottom"/>
          </w:tcPr>
          <w:p w:rsidR="00640BA7" w:rsidRPr="005B1ADC" w:rsidRDefault="00035611" w:rsidP="00640BA7">
            <w:pPr>
              <w:tabs>
                <w:tab w:val="decimal" w:pos="734"/>
              </w:tabs>
              <w:jc w:val="left"/>
              <w:rPr>
                <w:sz w:val="18"/>
              </w:rPr>
            </w:pPr>
            <w:r>
              <w:rPr>
                <w:sz w:val="18"/>
              </w:rPr>
              <w:t>34,992</w:t>
            </w:r>
          </w:p>
        </w:tc>
        <w:tc>
          <w:tcPr>
            <w:tcW w:w="990" w:type="dxa"/>
            <w:vAlign w:val="bottom"/>
          </w:tcPr>
          <w:p w:rsidR="00640BA7" w:rsidRPr="005B1ADC" w:rsidRDefault="00035611" w:rsidP="00640BA7">
            <w:pPr>
              <w:tabs>
                <w:tab w:val="decimal" w:pos="734"/>
              </w:tabs>
              <w:jc w:val="left"/>
              <w:rPr>
                <w:sz w:val="18"/>
              </w:rPr>
            </w:pPr>
            <w:r>
              <w:rPr>
                <w:sz w:val="18"/>
              </w:rPr>
              <w:t>35,375</w:t>
            </w:r>
          </w:p>
        </w:tc>
        <w:tc>
          <w:tcPr>
            <w:tcW w:w="990" w:type="dxa"/>
            <w:vAlign w:val="bottom"/>
          </w:tcPr>
          <w:p w:rsidR="00640BA7" w:rsidRPr="005B1ADC" w:rsidRDefault="00035611" w:rsidP="00640BA7">
            <w:pPr>
              <w:tabs>
                <w:tab w:val="decimal" w:pos="734"/>
              </w:tabs>
              <w:jc w:val="left"/>
              <w:rPr>
                <w:sz w:val="18"/>
              </w:rPr>
            </w:pPr>
            <w:r>
              <w:rPr>
                <w:sz w:val="18"/>
              </w:rPr>
              <w:t>36,694</w:t>
            </w:r>
          </w:p>
        </w:tc>
        <w:tc>
          <w:tcPr>
            <w:tcW w:w="990" w:type="dxa"/>
            <w:vAlign w:val="bottom"/>
          </w:tcPr>
          <w:p w:rsidR="00640BA7" w:rsidRPr="005B1ADC" w:rsidRDefault="001376FC" w:rsidP="00640BA7">
            <w:pPr>
              <w:tabs>
                <w:tab w:val="decimal" w:pos="734"/>
              </w:tabs>
              <w:jc w:val="left"/>
              <w:rPr>
                <w:sz w:val="18"/>
              </w:rPr>
            </w:pPr>
            <w:r>
              <w:rPr>
                <w:sz w:val="18"/>
              </w:rPr>
              <w:t>36,025</w:t>
            </w:r>
          </w:p>
        </w:tc>
        <w:tc>
          <w:tcPr>
            <w:tcW w:w="990" w:type="dxa"/>
            <w:vAlign w:val="bottom"/>
          </w:tcPr>
          <w:p w:rsidR="00640BA7" w:rsidRPr="005B1ADC" w:rsidRDefault="00BA5D9C" w:rsidP="00640BA7">
            <w:pPr>
              <w:tabs>
                <w:tab w:val="decimal" w:pos="734"/>
              </w:tabs>
              <w:jc w:val="left"/>
              <w:rPr>
                <w:sz w:val="18"/>
              </w:rPr>
            </w:pPr>
            <w:r>
              <w:rPr>
                <w:sz w:val="18"/>
              </w:rPr>
              <w:t>37,360</w:t>
            </w:r>
          </w:p>
        </w:tc>
        <w:tc>
          <w:tcPr>
            <w:tcW w:w="834" w:type="dxa"/>
            <w:vAlign w:val="bottom"/>
          </w:tcPr>
          <w:p w:rsidR="00640BA7" w:rsidRPr="005B1ADC" w:rsidRDefault="00BA5D9C" w:rsidP="00640BA7">
            <w:pPr>
              <w:tabs>
                <w:tab w:val="decimal" w:pos="284"/>
              </w:tabs>
              <w:jc w:val="left"/>
              <w:rPr>
                <w:sz w:val="18"/>
              </w:rPr>
            </w:pPr>
            <w:r>
              <w:rPr>
                <w:sz w:val="18"/>
              </w:rPr>
              <w:t>3.7</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Health Care and Social Assistance</w:t>
            </w:r>
          </w:p>
        </w:tc>
        <w:tc>
          <w:tcPr>
            <w:tcW w:w="991" w:type="dxa"/>
            <w:vAlign w:val="bottom"/>
          </w:tcPr>
          <w:p w:rsidR="00640BA7" w:rsidRPr="005B1ADC" w:rsidRDefault="00640BA7" w:rsidP="00640BA7">
            <w:pPr>
              <w:tabs>
                <w:tab w:val="decimal" w:pos="734"/>
              </w:tabs>
              <w:jc w:val="left"/>
              <w:rPr>
                <w:sz w:val="18"/>
              </w:rPr>
            </w:pPr>
            <w:r w:rsidRPr="005B1ADC">
              <w:rPr>
                <w:sz w:val="18"/>
              </w:rPr>
              <w:t>261,428</w:t>
            </w:r>
          </w:p>
        </w:tc>
        <w:tc>
          <w:tcPr>
            <w:tcW w:w="991" w:type="dxa"/>
            <w:vAlign w:val="bottom"/>
          </w:tcPr>
          <w:p w:rsidR="00640BA7" w:rsidRPr="005B1ADC" w:rsidRDefault="00640BA7" w:rsidP="00640BA7">
            <w:pPr>
              <w:tabs>
                <w:tab w:val="decimal" w:pos="734"/>
              </w:tabs>
              <w:jc w:val="left"/>
              <w:rPr>
                <w:sz w:val="18"/>
              </w:rPr>
            </w:pPr>
            <w:r w:rsidRPr="005B1ADC">
              <w:rPr>
                <w:sz w:val="18"/>
              </w:rPr>
              <w:t>275,183</w:t>
            </w:r>
          </w:p>
        </w:tc>
        <w:tc>
          <w:tcPr>
            <w:tcW w:w="990" w:type="dxa"/>
            <w:vAlign w:val="bottom"/>
          </w:tcPr>
          <w:p w:rsidR="00640BA7" w:rsidRPr="005B1ADC" w:rsidRDefault="00035611" w:rsidP="00640BA7">
            <w:pPr>
              <w:tabs>
                <w:tab w:val="decimal" w:pos="734"/>
              </w:tabs>
              <w:jc w:val="left"/>
              <w:rPr>
                <w:sz w:val="18"/>
              </w:rPr>
            </w:pPr>
            <w:r>
              <w:rPr>
                <w:sz w:val="18"/>
              </w:rPr>
              <w:t>287,168</w:t>
            </w:r>
          </w:p>
        </w:tc>
        <w:tc>
          <w:tcPr>
            <w:tcW w:w="990" w:type="dxa"/>
            <w:vAlign w:val="bottom"/>
          </w:tcPr>
          <w:p w:rsidR="00640BA7" w:rsidRPr="005B1ADC" w:rsidRDefault="00035611" w:rsidP="00640BA7">
            <w:pPr>
              <w:tabs>
                <w:tab w:val="decimal" w:pos="734"/>
              </w:tabs>
              <w:jc w:val="left"/>
              <w:rPr>
                <w:sz w:val="18"/>
              </w:rPr>
            </w:pPr>
            <w:r>
              <w:rPr>
                <w:sz w:val="18"/>
              </w:rPr>
              <w:t>291,299</w:t>
            </w:r>
          </w:p>
        </w:tc>
        <w:tc>
          <w:tcPr>
            <w:tcW w:w="990" w:type="dxa"/>
            <w:vAlign w:val="bottom"/>
          </w:tcPr>
          <w:p w:rsidR="00640BA7" w:rsidRPr="005B1ADC" w:rsidRDefault="00035611" w:rsidP="00640BA7">
            <w:pPr>
              <w:tabs>
                <w:tab w:val="decimal" w:pos="734"/>
              </w:tabs>
              <w:jc w:val="left"/>
              <w:rPr>
                <w:sz w:val="18"/>
              </w:rPr>
            </w:pPr>
            <w:r>
              <w:rPr>
                <w:sz w:val="18"/>
              </w:rPr>
              <w:t>298,559</w:t>
            </w:r>
          </w:p>
        </w:tc>
        <w:tc>
          <w:tcPr>
            <w:tcW w:w="990" w:type="dxa"/>
            <w:vAlign w:val="bottom"/>
          </w:tcPr>
          <w:p w:rsidR="00640BA7" w:rsidRPr="005B1ADC" w:rsidRDefault="001376FC" w:rsidP="00640BA7">
            <w:pPr>
              <w:tabs>
                <w:tab w:val="decimal" w:pos="734"/>
              </w:tabs>
              <w:jc w:val="left"/>
              <w:rPr>
                <w:sz w:val="18"/>
              </w:rPr>
            </w:pPr>
            <w:r>
              <w:rPr>
                <w:sz w:val="18"/>
              </w:rPr>
              <w:t>298,537</w:t>
            </w:r>
          </w:p>
        </w:tc>
        <w:tc>
          <w:tcPr>
            <w:tcW w:w="990" w:type="dxa"/>
            <w:vAlign w:val="bottom"/>
          </w:tcPr>
          <w:p w:rsidR="00640BA7" w:rsidRPr="005B1ADC" w:rsidRDefault="00BA5D9C" w:rsidP="00640BA7">
            <w:pPr>
              <w:tabs>
                <w:tab w:val="decimal" w:pos="734"/>
              </w:tabs>
              <w:jc w:val="left"/>
              <w:rPr>
                <w:sz w:val="18"/>
              </w:rPr>
            </w:pPr>
            <w:r>
              <w:rPr>
                <w:sz w:val="18"/>
              </w:rPr>
              <w:t>301,122</w:t>
            </w:r>
          </w:p>
        </w:tc>
        <w:tc>
          <w:tcPr>
            <w:tcW w:w="834" w:type="dxa"/>
            <w:vAlign w:val="bottom"/>
          </w:tcPr>
          <w:p w:rsidR="00640BA7" w:rsidRPr="005B1ADC" w:rsidRDefault="00BA5D9C" w:rsidP="00640BA7">
            <w:pPr>
              <w:tabs>
                <w:tab w:val="decimal" w:pos="284"/>
              </w:tabs>
              <w:jc w:val="left"/>
              <w:rPr>
                <w:sz w:val="18"/>
              </w:rPr>
            </w:pPr>
            <w:r>
              <w:rPr>
                <w:sz w:val="18"/>
              </w:rPr>
              <w:t>0.9</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Arts, Entertainment, and Recreation</w:t>
            </w:r>
          </w:p>
        </w:tc>
        <w:tc>
          <w:tcPr>
            <w:tcW w:w="991" w:type="dxa"/>
            <w:vAlign w:val="bottom"/>
          </w:tcPr>
          <w:p w:rsidR="00640BA7" w:rsidRPr="005B1ADC" w:rsidRDefault="00640BA7" w:rsidP="00640BA7">
            <w:pPr>
              <w:tabs>
                <w:tab w:val="decimal" w:pos="734"/>
              </w:tabs>
              <w:jc w:val="left"/>
              <w:rPr>
                <w:sz w:val="18"/>
              </w:rPr>
            </w:pPr>
            <w:r w:rsidRPr="005B1ADC">
              <w:rPr>
                <w:sz w:val="18"/>
              </w:rPr>
              <w:t>48,978</w:t>
            </w:r>
          </w:p>
        </w:tc>
        <w:tc>
          <w:tcPr>
            <w:tcW w:w="991" w:type="dxa"/>
            <w:vAlign w:val="bottom"/>
          </w:tcPr>
          <w:p w:rsidR="00640BA7" w:rsidRPr="005B1ADC" w:rsidRDefault="00640BA7" w:rsidP="00640BA7">
            <w:pPr>
              <w:tabs>
                <w:tab w:val="decimal" w:pos="734"/>
              </w:tabs>
              <w:jc w:val="left"/>
              <w:rPr>
                <w:sz w:val="18"/>
              </w:rPr>
            </w:pPr>
            <w:r w:rsidRPr="005B1ADC">
              <w:rPr>
                <w:sz w:val="18"/>
              </w:rPr>
              <w:t>50,707</w:t>
            </w:r>
          </w:p>
        </w:tc>
        <w:tc>
          <w:tcPr>
            <w:tcW w:w="990" w:type="dxa"/>
            <w:vAlign w:val="bottom"/>
          </w:tcPr>
          <w:p w:rsidR="00640BA7" w:rsidRPr="005B1ADC" w:rsidRDefault="00035611" w:rsidP="00640BA7">
            <w:pPr>
              <w:tabs>
                <w:tab w:val="decimal" w:pos="734"/>
              </w:tabs>
              <w:jc w:val="left"/>
              <w:rPr>
                <w:sz w:val="18"/>
              </w:rPr>
            </w:pPr>
            <w:r>
              <w:rPr>
                <w:sz w:val="18"/>
              </w:rPr>
              <w:t>52,625</w:t>
            </w:r>
          </w:p>
        </w:tc>
        <w:tc>
          <w:tcPr>
            <w:tcW w:w="990" w:type="dxa"/>
            <w:vAlign w:val="bottom"/>
          </w:tcPr>
          <w:p w:rsidR="00640BA7" w:rsidRPr="005B1ADC" w:rsidRDefault="00035611" w:rsidP="00640BA7">
            <w:pPr>
              <w:tabs>
                <w:tab w:val="decimal" w:pos="734"/>
              </w:tabs>
              <w:jc w:val="left"/>
              <w:rPr>
                <w:sz w:val="18"/>
              </w:rPr>
            </w:pPr>
            <w:r>
              <w:rPr>
                <w:sz w:val="18"/>
              </w:rPr>
              <w:t>55,407</w:t>
            </w:r>
          </w:p>
        </w:tc>
        <w:tc>
          <w:tcPr>
            <w:tcW w:w="990" w:type="dxa"/>
            <w:vAlign w:val="bottom"/>
          </w:tcPr>
          <w:p w:rsidR="00640BA7" w:rsidRPr="005B1ADC" w:rsidRDefault="00035611" w:rsidP="00640BA7">
            <w:pPr>
              <w:tabs>
                <w:tab w:val="decimal" w:pos="734"/>
              </w:tabs>
              <w:jc w:val="left"/>
              <w:rPr>
                <w:sz w:val="18"/>
              </w:rPr>
            </w:pPr>
            <w:r>
              <w:rPr>
                <w:sz w:val="18"/>
              </w:rPr>
              <w:t>56,848</w:t>
            </w:r>
          </w:p>
        </w:tc>
        <w:tc>
          <w:tcPr>
            <w:tcW w:w="990" w:type="dxa"/>
            <w:vAlign w:val="bottom"/>
          </w:tcPr>
          <w:p w:rsidR="00640BA7" w:rsidRPr="005B1ADC" w:rsidRDefault="001376FC" w:rsidP="00640BA7">
            <w:pPr>
              <w:tabs>
                <w:tab w:val="decimal" w:pos="734"/>
              </w:tabs>
              <w:jc w:val="left"/>
              <w:rPr>
                <w:sz w:val="18"/>
              </w:rPr>
            </w:pPr>
            <w:r>
              <w:rPr>
                <w:sz w:val="18"/>
              </w:rPr>
              <w:t>57,862</w:t>
            </w:r>
          </w:p>
        </w:tc>
        <w:tc>
          <w:tcPr>
            <w:tcW w:w="990" w:type="dxa"/>
            <w:vAlign w:val="bottom"/>
          </w:tcPr>
          <w:p w:rsidR="00640BA7" w:rsidRPr="005B1ADC" w:rsidRDefault="00BA5D9C" w:rsidP="00640BA7">
            <w:pPr>
              <w:tabs>
                <w:tab w:val="decimal" w:pos="734"/>
              </w:tabs>
              <w:jc w:val="left"/>
              <w:rPr>
                <w:sz w:val="18"/>
              </w:rPr>
            </w:pPr>
            <w:r>
              <w:rPr>
                <w:sz w:val="18"/>
              </w:rPr>
              <w:t>54,654</w:t>
            </w:r>
          </w:p>
        </w:tc>
        <w:tc>
          <w:tcPr>
            <w:tcW w:w="834" w:type="dxa"/>
            <w:vAlign w:val="bottom"/>
          </w:tcPr>
          <w:p w:rsidR="00640BA7" w:rsidRPr="005B1ADC" w:rsidRDefault="00BA5D9C" w:rsidP="00640BA7">
            <w:pPr>
              <w:tabs>
                <w:tab w:val="decimal" w:pos="284"/>
              </w:tabs>
              <w:jc w:val="left"/>
              <w:rPr>
                <w:sz w:val="18"/>
              </w:rPr>
            </w:pPr>
            <w:r>
              <w:rPr>
                <w:sz w:val="18"/>
              </w:rPr>
              <w:t>(5.5)</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Accommodation and Food Services</w:t>
            </w:r>
          </w:p>
        </w:tc>
        <w:tc>
          <w:tcPr>
            <w:tcW w:w="991" w:type="dxa"/>
            <w:vAlign w:val="bottom"/>
          </w:tcPr>
          <w:p w:rsidR="00640BA7" w:rsidRPr="005B1ADC" w:rsidRDefault="00640BA7" w:rsidP="00640BA7">
            <w:pPr>
              <w:tabs>
                <w:tab w:val="decimal" w:pos="734"/>
              </w:tabs>
              <w:jc w:val="left"/>
              <w:rPr>
                <w:sz w:val="18"/>
              </w:rPr>
            </w:pPr>
            <w:r w:rsidRPr="005B1ADC">
              <w:rPr>
                <w:sz w:val="18"/>
              </w:rPr>
              <w:t>251,052</w:t>
            </w:r>
          </w:p>
        </w:tc>
        <w:tc>
          <w:tcPr>
            <w:tcW w:w="991" w:type="dxa"/>
            <w:vAlign w:val="bottom"/>
          </w:tcPr>
          <w:p w:rsidR="00640BA7" w:rsidRPr="005B1ADC" w:rsidRDefault="00640BA7" w:rsidP="00640BA7">
            <w:pPr>
              <w:tabs>
                <w:tab w:val="decimal" w:pos="734"/>
              </w:tabs>
              <w:jc w:val="left"/>
              <w:rPr>
                <w:sz w:val="18"/>
              </w:rPr>
            </w:pPr>
            <w:r w:rsidRPr="005B1ADC">
              <w:rPr>
                <w:sz w:val="18"/>
              </w:rPr>
              <w:t>261,704</w:t>
            </w:r>
          </w:p>
        </w:tc>
        <w:tc>
          <w:tcPr>
            <w:tcW w:w="990" w:type="dxa"/>
            <w:vAlign w:val="bottom"/>
          </w:tcPr>
          <w:p w:rsidR="00640BA7" w:rsidRPr="005B1ADC" w:rsidRDefault="00035611" w:rsidP="00640BA7">
            <w:pPr>
              <w:tabs>
                <w:tab w:val="decimal" w:pos="734"/>
              </w:tabs>
              <w:jc w:val="left"/>
              <w:rPr>
                <w:sz w:val="18"/>
              </w:rPr>
            </w:pPr>
            <w:r>
              <w:rPr>
                <w:sz w:val="18"/>
              </w:rPr>
              <w:t>270,671</w:t>
            </w:r>
          </w:p>
        </w:tc>
        <w:tc>
          <w:tcPr>
            <w:tcW w:w="990" w:type="dxa"/>
            <w:vAlign w:val="bottom"/>
          </w:tcPr>
          <w:p w:rsidR="00640BA7" w:rsidRPr="005B1ADC" w:rsidRDefault="00035611" w:rsidP="00640BA7">
            <w:pPr>
              <w:tabs>
                <w:tab w:val="decimal" w:pos="734"/>
              </w:tabs>
              <w:jc w:val="left"/>
              <w:rPr>
                <w:sz w:val="18"/>
              </w:rPr>
            </w:pPr>
            <w:r>
              <w:rPr>
                <w:sz w:val="18"/>
              </w:rPr>
              <w:t>277,613</w:t>
            </w:r>
          </w:p>
        </w:tc>
        <w:tc>
          <w:tcPr>
            <w:tcW w:w="990" w:type="dxa"/>
            <w:vAlign w:val="bottom"/>
          </w:tcPr>
          <w:p w:rsidR="00640BA7" w:rsidRPr="005B1ADC" w:rsidRDefault="00035611" w:rsidP="00640BA7">
            <w:pPr>
              <w:tabs>
                <w:tab w:val="decimal" w:pos="734"/>
              </w:tabs>
              <w:jc w:val="left"/>
              <w:rPr>
                <w:sz w:val="18"/>
              </w:rPr>
            </w:pPr>
            <w:r>
              <w:rPr>
                <w:sz w:val="18"/>
              </w:rPr>
              <w:t>282,491</w:t>
            </w:r>
          </w:p>
        </w:tc>
        <w:tc>
          <w:tcPr>
            <w:tcW w:w="990" w:type="dxa"/>
            <w:vAlign w:val="bottom"/>
          </w:tcPr>
          <w:p w:rsidR="00640BA7" w:rsidRPr="005B1ADC" w:rsidRDefault="001376FC" w:rsidP="00640BA7">
            <w:pPr>
              <w:tabs>
                <w:tab w:val="decimal" w:pos="734"/>
              </w:tabs>
              <w:jc w:val="left"/>
              <w:rPr>
                <w:sz w:val="18"/>
              </w:rPr>
            </w:pPr>
            <w:r>
              <w:rPr>
                <w:sz w:val="18"/>
              </w:rPr>
              <w:t>290,636</w:t>
            </w:r>
          </w:p>
        </w:tc>
        <w:tc>
          <w:tcPr>
            <w:tcW w:w="990" w:type="dxa"/>
            <w:vAlign w:val="bottom"/>
          </w:tcPr>
          <w:p w:rsidR="00640BA7" w:rsidRPr="005B1ADC" w:rsidRDefault="00BA5D9C" w:rsidP="00640BA7">
            <w:pPr>
              <w:tabs>
                <w:tab w:val="decimal" w:pos="734"/>
              </w:tabs>
              <w:jc w:val="left"/>
              <w:rPr>
                <w:sz w:val="18"/>
              </w:rPr>
            </w:pPr>
            <w:r>
              <w:rPr>
                <w:sz w:val="18"/>
              </w:rPr>
              <w:t>280,111</w:t>
            </w:r>
          </w:p>
        </w:tc>
        <w:tc>
          <w:tcPr>
            <w:tcW w:w="834" w:type="dxa"/>
            <w:vAlign w:val="bottom"/>
          </w:tcPr>
          <w:p w:rsidR="00640BA7" w:rsidRPr="005B1ADC" w:rsidRDefault="00BA5D9C" w:rsidP="00640BA7">
            <w:pPr>
              <w:tabs>
                <w:tab w:val="decimal" w:pos="284"/>
              </w:tabs>
              <w:jc w:val="left"/>
              <w:rPr>
                <w:sz w:val="18"/>
              </w:rPr>
            </w:pPr>
            <w:r>
              <w:rPr>
                <w:sz w:val="18"/>
              </w:rPr>
              <w:t>(3.6)</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Other Services</w:t>
            </w:r>
          </w:p>
        </w:tc>
        <w:tc>
          <w:tcPr>
            <w:tcW w:w="991" w:type="dxa"/>
            <w:vAlign w:val="bottom"/>
          </w:tcPr>
          <w:p w:rsidR="00640BA7" w:rsidRPr="005B1ADC" w:rsidRDefault="00640BA7" w:rsidP="00640BA7">
            <w:pPr>
              <w:tabs>
                <w:tab w:val="decimal" w:pos="734"/>
              </w:tabs>
              <w:jc w:val="left"/>
              <w:rPr>
                <w:sz w:val="18"/>
              </w:rPr>
            </w:pPr>
            <w:r w:rsidRPr="005B1ADC">
              <w:rPr>
                <w:sz w:val="18"/>
              </w:rPr>
              <w:t>72,443</w:t>
            </w:r>
          </w:p>
        </w:tc>
        <w:tc>
          <w:tcPr>
            <w:tcW w:w="991" w:type="dxa"/>
            <w:vAlign w:val="bottom"/>
          </w:tcPr>
          <w:p w:rsidR="00640BA7" w:rsidRPr="005B1ADC" w:rsidRDefault="00640BA7" w:rsidP="00640BA7">
            <w:pPr>
              <w:tabs>
                <w:tab w:val="decimal" w:pos="734"/>
              </w:tabs>
              <w:jc w:val="left"/>
              <w:rPr>
                <w:sz w:val="18"/>
              </w:rPr>
            </w:pPr>
            <w:r w:rsidRPr="005B1ADC">
              <w:rPr>
                <w:sz w:val="18"/>
              </w:rPr>
              <w:t>75,157</w:t>
            </w:r>
          </w:p>
        </w:tc>
        <w:tc>
          <w:tcPr>
            <w:tcW w:w="990" w:type="dxa"/>
            <w:vAlign w:val="bottom"/>
          </w:tcPr>
          <w:p w:rsidR="00640BA7" w:rsidRPr="005B1ADC" w:rsidRDefault="00035611" w:rsidP="00640BA7">
            <w:pPr>
              <w:tabs>
                <w:tab w:val="decimal" w:pos="734"/>
              </w:tabs>
              <w:jc w:val="left"/>
              <w:rPr>
                <w:sz w:val="18"/>
              </w:rPr>
            </w:pPr>
            <w:r>
              <w:rPr>
                <w:sz w:val="18"/>
              </w:rPr>
              <w:t>78,231</w:t>
            </w:r>
          </w:p>
        </w:tc>
        <w:tc>
          <w:tcPr>
            <w:tcW w:w="990" w:type="dxa"/>
            <w:vAlign w:val="bottom"/>
          </w:tcPr>
          <w:p w:rsidR="00640BA7" w:rsidRPr="005B1ADC" w:rsidRDefault="00035611" w:rsidP="00640BA7">
            <w:pPr>
              <w:tabs>
                <w:tab w:val="decimal" w:pos="734"/>
              </w:tabs>
              <w:jc w:val="left"/>
              <w:rPr>
                <w:sz w:val="18"/>
              </w:rPr>
            </w:pPr>
            <w:r>
              <w:rPr>
                <w:sz w:val="18"/>
              </w:rPr>
              <w:t>82,201</w:t>
            </w:r>
          </w:p>
        </w:tc>
        <w:tc>
          <w:tcPr>
            <w:tcW w:w="990" w:type="dxa"/>
            <w:vAlign w:val="bottom"/>
          </w:tcPr>
          <w:p w:rsidR="00640BA7" w:rsidRPr="005B1ADC" w:rsidRDefault="00035611" w:rsidP="00640BA7">
            <w:pPr>
              <w:tabs>
                <w:tab w:val="decimal" w:pos="734"/>
              </w:tabs>
              <w:jc w:val="left"/>
              <w:rPr>
                <w:sz w:val="18"/>
              </w:rPr>
            </w:pPr>
            <w:r>
              <w:rPr>
                <w:sz w:val="18"/>
              </w:rPr>
              <w:t>82,029</w:t>
            </w:r>
          </w:p>
        </w:tc>
        <w:tc>
          <w:tcPr>
            <w:tcW w:w="990" w:type="dxa"/>
            <w:vAlign w:val="bottom"/>
          </w:tcPr>
          <w:p w:rsidR="00640BA7" w:rsidRPr="005B1ADC" w:rsidRDefault="001376FC" w:rsidP="00640BA7">
            <w:pPr>
              <w:tabs>
                <w:tab w:val="decimal" w:pos="734"/>
              </w:tabs>
              <w:jc w:val="left"/>
              <w:rPr>
                <w:sz w:val="18"/>
              </w:rPr>
            </w:pPr>
            <w:r>
              <w:rPr>
                <w:sz w:val="18"/>
              </w:rPr>
              <w:t>83,437</w:t>
            </w:r>
          </w:p>
        </w:tc>
        <w:tc>
          <w:tcPr>
            <w:tcW w:w="990" w:type="dxa"/>
            <w:vAlign w:val="bottom"/>
          </w:tcPr>
          <w:p w:rsidR="00640BA7" w:rsidRPr="005B1ADC" w:rsidRDefault="00BA5D9C" w:rsidP="00640BA7">
            <w:pPr>
              <w:tabs>
                <w:tab w:val="decimal" w:pos="734"/>
              </w:tabs>
              <w:jc w:val="left"/>
              <w:rPr>
                <w:sz w:val="18"/>
              </w:rPr>
            </w:pPr>
            <w:r>
              <w:rPr>
                <w:sz w:val="18"/>
              </w:rPr>
              <w:t>82,572</w:t>
            </w:r>
          </w:p>
        </w:tc>
        <w:tc>
          <w:tcPr>
            <w:tcW w:w="834" w:type="dxa"/>
            <w:vAlign w:val="bottom"/>
          </w:tcPr>
          <w:p w:rsidR="00640BA7" w:rsidRPr="005B1ADC" w:rsidRDefault="00BA5D9C" w:rsidP="00640BA7">
            <w:pPr>
              <w:tabs>
                <w:tab w:val="decimal" w:pos="284"/>
              </w:tabs>
              <w:jc w:val="left"/>
              <w:rPr>
                <w:sz w:val="18"/>
              </w:rPr>
            </w:pPr>
            <w:r>
              <w:rPr>
                <w:sz w:val="18"/>
              </w:rPr>
              <w:t>(1.0)</w:t>
            </w:r>
          </w:p>
        </w:tc>
      </w:tr>
      <w:tr w:rsidR="00640BA7" w:rsidRPr="005B1ADC" w:rsidTr="00035611">
        <w:trPr>
          <w:jc w:val="center"/>
        </w:trPr>
        <w:tc>
          <w:tcPr>
            <w:tcW w:w="3559" w:type="dxa"/>
            <w:vAlign w:val="bottom"/>
          </w:tcPr>
          <w:p w:rsidR="00640BA7" w:rsidRPr="005B1ADC" w:rsidRDefault="00640BA7" w:rsidP="00640BA7">
            <w:pPr>
              <w:ind w:left="283" w:hanging="180"/>
              <w:jc w:val="left"/>
              <w:rPr>
                <w:sz w:val="18"/>
              </w:rPr>
            </w:pPr>
            <w:r w:rsidRPr="005B1ADC">
              <w:rPr>
                <w:sz w:val="18"/>
              </w:rPr>
              <w:t>Unclassified</w:t>
            </w:r>
          </w:p>
        </w:tc>
        <w:tc>
          <w:tcPr>
            <w:tcW w:w="991" w:type="dxa"/>
            <w:vAlign w:val="bottom"/>
          </w:tcPr>
          <w:p w:rsidR="00640BA7" w:rsidRPr="005B1ADC" w:rsidRDefault="00640BA7" w:rsidP="00640BA7">
            <w:pPr>
              <w:tabs>
                <w:tab w:val="decimal" w:pos="734"/>
              </w:tabs>
              <w:jc w:val="left"/>
              <w:rPr>
                <w:sz w:val="18"/>
              </w:rPr>
            </w:pPr>
            <w:r w:rsidRPr="005B1ADC">
              <w:rPr>
                <w:sz w:val="18"/>
              </w:rPr>
              <w:t>2,783</w:t>
            </w:r>
          </w:p>
        </w:tc>
        <w:tc>
          <w:tcPr>
            <w:tcW w:w="991" w:type="dxa"/>
            <w:vAlign w:val="bottom"/>
          </w:tcPr>
          <w:p w:rsidR="00640BA7" w:rsidRPr="005B1ADC" w:rsidRDefault="00640BA7" w:rsidP="00640BA7">
            <w:pPr>
              <w:tabs>
                <w:tab w:val="decimal" w:pos="734"/>
              </w:tabs>
              <w:jc w:val="left"/>
              <w:rPr>
                <w:sz w:val="18"/>
              </w:rPr>
            </w:pPr>
            <w:r w:rsidRPr="005B1ADC">
              <w:rPr>
                <w:sz w:val="18"/>
              </w:rPr>
              <w:t>1,478</w:t>
            </w:r>
          </w:p>
        </w:tc>
        <w:tc>
          <w:tcPr>
            <w:tcW w:w="990" w:type="dxa"/>
            <w:vAlign w:val="bottom"/>
          </w:tcPr>
          <w:p w:rsidR="00640BA7" w:rsidRPr="005B1ADC" w:rsidRDefault="00035611" w:rsidP="00640BA7">
            <w:pPr>
              <w:tabs>
                <w:tab w:val="decimal" w:pos="734"/>
              </w:tabs>
              <w:jc w:val="left"/>
              <w:rPr>
                <w:sz w:val="18"/>
              </w:rPr>
            </w:pPr>
            <w:r>
              <w:rPr>
                <w:sz w:val="18"/>
              </w:rPr>
              <w:t>759</w:t>
            </w:r>
          </w:p>
        </w:tc>
        <w:tc>
          <w:tcPr>
            <w:tcW w:w="990" w:type="dxa"/>
            <w:vAlign w:val="bottom"/>
          </w:tcPr>
          <w:p w:rsidR="00640BA7" w:rsidRPr="005B1ADC" w:rsidRDefault="00035611" w:rsidP="00640BA7">
            <w:pPr>
              <w:tabs>
                <w:tab w:val="decimal" w:pos="734"/>
              </w:tabs>
              <w:jc w:val="left"/>
              <w:rPr>
                <w:sz w:val="18"/>
              </w:rPr>
            </w:pPr>
            <w:r>
              <w:rPr>
                <w:sz w:val="18"/>
              </w:rPr>
              <w:t>180</w:t>
            </w:r>
          </w:p>
        </w:tc>
        <w:tc>
          <w:tcPr>
            <w:tcW w:w="990" w:type="dxa"/>
            <w:vAlign w:val="bottom"/>
          </w:tcPr>
          <w:p w:rsidR="00640BA7" w:rsidRPr="005B1ADC" w:rsidRDefault="00035611" w:rsidP="00640BA7">
            <w:pPr>
              <w:tabs>
                <w:tab w:val="decimal" w:pos="734"/>
              </w:tabs>
              <w:jc w:val="left"/>
              <w:rPr>
                <w:sz w:val="18"/>
              </w:rPr>
            </w:pPr>
            <w:r>
              <w:rPr>
                <w:sz w:val="18"/>
              </w:rPr>
              <w:t>1,886</w:t>
            </w:r>
          </w:p>
        </w:tc>
        <w:tc>
          <w:tcPr>
            <w:tcW w:w="990" w:type="dxa"/>
            <w:vAlign w:val="bottom"/>
          </w:tcPr>
          <w:p w:rsidR="00640BA7" w:rsidRPr="005B1ADC" w:rsidRDefault="001376FC" w:rsidP="00640BA7">
            <w:pPr>
              <w:tabs>
                <w:tab w:val="decimal" w:pos="734"/>
              </w:tabs>
              <w:jc w:val="left"/>
              <w:rPr>
                <w:sz w:val="18"/>
              </w:rPr>
            </w:pPr>
            <w:r>
              <w:rPr>
                <w:sz w:val="18"/>
              </w:rPr>
              <w:t>2,154</w:t>
            </w:r>
          </w:p>
        </w:tc>
        <w:tc>
          <w:tcPr>
            <w:tcW w:w="990" w:type="dxa"/>
            <w:vAlign w:val="bottom"/>
          </w:tcPr>
          <w:p w:rsidR="00640BA7" w:rsidRPr="005B1ADC" w:rsidRDefault="00BA5D9C" w:rsidP="00640BA7">
            <w:pPr>
              <w:tabs>
                <w:tab w:val="decimal" w:pos="734"/>
              </w:tabs>
              <w:jc w:val="left"/>
              <w:rPr>
                <w:sz w:val="18"/>
              </w:rPr>
            </w:pPr>
            <w:r>
              <w:rPr>
                <w:sz w:val="18"/>
              </w:rPr>
              <w:t>3,697</w:t>
            </w:r>
          </w:p>
        </w:tc>
        <w:tc>
          <w:tcPr>
            <w:tcW w:w="834" w:type="dxa"/>
            <w:vAlign w:val="bottom"/>
          </w:tcPr>
          <w:p w:rsidR="00640BA7" w:rsidRPr="005B1ADC" w:rsidRDefault="00BA5D9C" w:rsidP="00640BA7">
            <w:pPr>
              <w:tabs>
                <w:tab w:val="decimal" w:pos="284"/>
              </w:tabs>
              <w:jc w:val="left"/>
              <w:rPr>
                <w:sz w:val="18"/>
              </w:rPr>
            </w:pPr>
            <w:r>
              <w:rPr>
                <w:sz w:val="18"/>
              </w:rPr>
              <w:t>71.6</w:t>
            </w:r>
          </w:p>
        </w:tc>
      </w:tr>
      <w:tr w:rsidR="00640BA7" w:rsidRPr="005B1ADC" w:rsidTr="00035611">
        <w:trPr>
          <w:jc w:val="center"/>
        </w:trPr>
        <w:tc>
          <w:tcPr>
            <w:tcW w:w="3559" w:type="dxa"/>
            <w:vAlign w:val="bottom"/>
          </w:tcPr>
          <w:p w:rsidR="00640BA7" w:rsidRPr="005B1ADC" w:rsidRDefault="00640BA7" w:rsidP="00640BA7">
            <w:pPr>
              <w:jc w:val="left"/>
              <w:rPr>
                <w:sz w:val="18"/>
              </w:rPr>
            </w:pPr>
            <w:r w:rsidRPr="005B1ADC">
              <w:rPr>
                <w:sz w:val="18"/>
              </w:rPr>
              <w:t>Government</w:t>
            </w:r>
          </w:p>
        </w:tc>
        <w:tc>
          <w:tcPr>
            <w:tcW w:w="991" w:type="dxa"/>
            <w:vAlign w:val="bottom"/>
          </w:tcPr>
          <w:p w:rsidR="00640BA7" w:rsidRPr="005B1ADC" w:rsidRDefault="00640BA7" w:rsidP="00640BA7">
            <w:pPr>
              <w:tabs>
                <w:tab w:val="decimal" w:pos="734"/>
              </w:tabs>
              <w:jc w:val="left"/>
              <w:rPr>
                <w:sz w:val="18"/>
                <w:u w:val="single"/>
              </w:rPr>
            </w:pPr>
            <w:r w:rsidRPr="005B1ADC">
              <w:rPr>
                <w:sz w:val="18"/>
                <w:u w:val="single"/>
              </w:rPr>
              <w:t xml:space="preserve">   388,566</w:t>
            </w:r>
          </w:p>
        </w:tc>
        <w:tc>
          <w:tcPr>
            <w:tcW w:w="991" w:type="dxa"/>
            <w:vAlign w:val="bottom"/>
          </w:tcPr>
          <w:p w:rsidR="00640BA7" w:rsidRPr="005B1ADC" w:rsidRDefault="00640BA7" w:rsidP="00640BA7">
            <w:pPr>
              <w:tabs>
                <w:tab w:val="decimal" w:pos="734"/>
              </w:tabs>
              <w:jc w:val="left"/>
              <w:rPr>
                <w:sz w:val="18"/>
                <w:u w:val="single"/>
              </w:rPr>
            </w:pPr>
            <w:r w:rsidRPr="005B1ADC">
              <w:rPr>
                <w:sz w:val="18"/>
                <w:u w:val="single"/>
              </w:rPr>
              <w:t xml:space="preserve">   396,853</w:t>
            </w:r>
          </w:p>
        </w:tc>
        <w:tc>
          <w:tcPr>
            <w:tcW w:w="990" w:type="dxa"/>
            <w:vAlign w:val="bottom"/>
          </w:tcPr>
          <w:p w:rsidR="00640BA7" w:rsidRPr="005B1ADC" w:rsidRDefault="00035611" w:rsidP="00640BA7">
            <w:pPr>
              <w:tabs>
                <w:tab w:val="decimal" w:pos="734"/>
              </w:tabs>
              <w:jc w:val="left"/>
              <w:rPr>
                <w:sz w:val="18"/>
                <w:u w:val="single"/>
              </w:rPr>
            </w:pPr>
            <w:r>
              <w:rPr>
                <w:sz w:val="18"/>
                <w:u w:val="single"/>
              </w:rPr>
              <w:t xml:space="preserve">   405,690</w:t>
            </w:r>
          </w:p>
        </w:tc>
        <w:tc>
          <w:tcPr>
            <w:tcW w:w="990" w:type="dxa"/>
            <w:vAlign w:val="bottom"/>
          </w:tcPr>
          <w:p w:rsidR="00640BA7" w:rsidRPr="005B1ADC" w:rsidRDefault="00035611" w:rsidP="00640BA7">
            <w:pPr>
              <w:tabs>
                <w:tab w:val="decimal" w:pos="734"/>
              </w:tabs>
              <w:jc w:val="left"/>
              <w:rPr>
                <w:sz w:val="18"/>
                <w:u w:val="single"/>
              </w:rPr>
            </w:pPr>
            <w:r>
              <w:rPr>
                <w:sz w:val="18"/>
                <w:u w:val="single"/>
              </w:rPr>
              <w:t xml:space="preserve">   412,002</w:t>
            </w:r>
          </w:p>
        </w:tc>
        <w:tc>
          <w:tcPr>
            <w:tcW w:w="990" w:type="dxa"/>
            <w:vAlign w:val="bottom"/>
          </w:tcPr>
          <w:p w:rsidR="00640BA7" w:rsidRPr="005B1ADC" w:rsidRDefault="00035611" w:rsidP="00640BA7">
            <w:pPr>
              <w:tabs>
                <w:tab w:val="decimal" w:pos="734"/>
              </w:tabs>
              <w:jc w:val="left"/>
              <w:rPr>
                <w:sz w:val="18"/>
                <w:u w:val="single"/>
              </w:rPr>
            </w:pPr>
            <w:r>
              <w:rPr>
                <w:sz w:val="18"/>
                <w:u w:val="single"/>
              </w:rPr>
              <w:t xml:space="preserve">  418,297</w:t>
            </w:r>
          </w:p>
        </w:tc>
        <w:tc>
          <w:tcPr>
            <w:tcW w:w="990" w:type="dxa"/>
            <w:vAlign w:val="bottom"/>
          </w:tcPr>
          <w:p w:rsidR="00640BA7" w:rsidRPr="005B1ADC" w:rsidRDefault="001376FC" w:rsidP="00640BA7">
            <w:pPr>
              <w:tabs>
                <w:tab w:val="decimal" w:pos="734"/>
              </w:tabs>
              <w:jc w:val="left"/>
              <w:rPr>
                <w:sz w:val="18"/>
                <w:u w:val="single"/>
              </w:rPr>
            </w:pPr>
            <w:r>
              <w:rPr>
                <w:sz w:val="18"/>
                <w:u w:val="single"/>
              </w:rPr>
              <w:t xml:space="preserve">  413,959</w:t>
            </w:r>
          </w:p>
        </w:tc>
        <w:tc>
          <w:tcPr>
            <w:tcW w:w="990" w:type="dxa"/>
            <w:vAlign w:val="bottom"/>
          </w:tcPr>
          <w:p w:rsidR="00640BA7" w:rsidRPr="005B1ADC" w:rsidRDefault="00BA5D9C" w:rsidP="00640BA7">
            <w:pPr>
              <w:tabs>
                <w:tab w:val="decimal" w:pos="734"/>
              </w:tabs>
              <w:jc w:val="left"/>
              <w:rPr>
                <w:sz w:val="18"/>
                <w:u w:val="single"/>
              </w:rPr>
            </w:pPr>
            <w:r>
              <w:rPr>
                <w:sz w:val="18"/>
                <w:u w:val="single"/>
              </w:rPr>
              <w:t xml:space="preserve">  422,772</w:t>
            </w:r>
          </w:p>
        </w:tc>
        <w:tc>
          <w:tcPr>
            <w:tcW w:w="834" w:type="dxa"/>
            <w:vAlign w:val="bottom"/>
          </w:tcPr>
          <w:p w:rsidR="00640BA7" w:rsidRPr="005B1ADC" w:rsidRDefault="00BA5D9C" w:rsidP="00640BA7">
            <w:pPr>
              <w:tabs>
                <w:tab w:val="decimal" w:pos="284"/>
              </w:tabs>
              <w:jc w:val="left"/>
              <w:rPr>
                <w:sz w:val="18"/>
                <w:u w:val="single"/>
              </w:rPr>
            </w:pPr>
            <w:r>
              <w:rPr>
                <w:sz w:val="18"/>
                <w:u w:val="single"/>
              </w:rPr>
              <w:t>2.1</w:t>
            </w:r>
          </w:p>
        </w:tc>
      </w:tr>
      <w:tr w:rsidR="00640BA7" w:rsidRPr="005B1ADC" w:rsidTr="00035611">
        <w:trPr>
          <w:jc w:val="center"/>
        </w:trPr>
        <w:tc>
          <w:tcPr>
            <w:tcW w:w="3559" w:type="dxa"/>
            <w:vAlign w:val="bottom"/>
          </w:tcPr>
          <w:p w:rsidR="00640BA7" w:rsidRPr="005B1ADC" w:rsidRDefault="00640BA7" w:rsidP="00640BA7">
            <w:pPr>
              <w:ind w:left="335"/>
              <w:jc w:val="left"/>
              <w:rPr>
                <w:sz w:val="18"/>
              </w:rPr>
            </w:pPr>
            <w:r w:rsidRPr="005B1ADC">
              <w:rPr>
                <w:sz w:val="18"/>
              </w:rPr>
              <w:t>Total</w:t>
            </w:r>
            <w:r w:rsidRPr="005B1ADC">
              <w:rPr>
                <w:sz w:val="18"/>
                <w:vertAlign w:val="superscript"/>
              </w:rPr>
              <w:t>*</w:t>
            </w:r>
          </w:p>
        </w:tc>
        <w:tc>
          <w:tcPr>
            <w:tcW w:w="991" w:type="dxa"/>
            <w:vAlign w:val="bottom"/>
          </w:tcPr>
          <w:p w:rsidR="00640BA7" w:rsidRPr="005B1ADC" w:rsidRDefault="00640BA7" w:rsidP="00640BA7">
            <w:pPr>
              <w:tabs>
                <w:tab w:val="decimal" w:pos="734"/>
              </w:tabs>
              <w:jc w:val="left"/>
              <w:rPr>
                <w:sz w:val="18"/>
              </w:rPr>
            </w:pPr>
            <w:r w:rsidRPr="005B1ADC">
              <w:rPr>
                <w:sz w:val="18"/>
              </w:rPr>
              <w:t>2,417,769</w:t>
            </w:r>
          </w:p>
        </w:tc>
        <w:tc>
          <w:tcPr>
            <w:tcW w:w="991" w:type="dxa"/>
            <w:vAlign w:val="bottom"/>
          </w:tcPr>
          <w:p w:rsidR="00640BA7" w:rsidRPr="005B1ADC" w:rsidRDefault="00640BA7" w:rsidP="00640BA7">
            <w:pPr>
              <w:tabs>
                <w:tab w:val="decimal" w:pos="734"/>
              </w:tabs>
              <w:jc w:val="left"/>
              <w:rPr>
                <w:sz w:val="18"/>
              </w:rPr>
            </w:pPr>
            <w:r w:rsidRPr="005B1ADC">
              <w:rPr>
                <w:sz w:val="18"/>
              </w:rPr>
              <w:t>2,494,778</w:t>
            </w:r>
          </w:p>
        </w:tc>
        <w:tc>
          <w:tcPr>
            <w:tcW w:w="990" w:type="dxa"/>
            <w:vAlign w:val="bottom"/>
          </w:tcPr>
          <w:p w:rsidR="00640BA7" w:rsidRPr="005B1ADC" w:rsidRDefault="00035611" w:rsidP="00640BA7">
            <w:pPr>
              <w:tabs>
                <w:tab w:val="decimal" w:pos="734"/>
              </w:tabs>
              <w:jc w:val="left"/>
              <w:rPr>
                <w:sz w:val="18"/>
              </w:rPr>
            </w:pPr>
            <w:r>
              <w:rPr>
                <w:sz w:val="18"/>
              </w:rPr>
              <w:t>2,553,045</w:t>
            </w:r>
          </w:p>
        </w:tc>
        <w:tc>
          <w:tcPr>
            <w:tcW w:w="990" w:type="dxa"/>
            <w:vAlign w:val="bottom"/>
          </w:tcPr>
          <w:p w:rsidR="00640BA7" w:rsidRPr="005B1ADC" w:rsidRDefault="00035611" w:rsidP="00640BA7">
            <w:pPr>
              <w:tabs>
                <w:tab w:val="decimal" w:pos="734"/>
              </w:tabs>
              <w:jc w:val="left"/>
              <w:rPr>
                <w:sz w:val="18"/>
              </w:rPr>
            </w:pPr>
            <w:r>
              <w:rPr>
                <w:sz w:val="18"/>
              </w:rPr>
              <w:t>2,609,255</w:t>
            </w:r>
          </w:p>
        </w:tc>
        <w:tc>
          <w:tcPr>
            <w:tcW w:w="990" w:type="dxa"/>
            <w:vAlign w:val="bottom"/>
          </w:tcPr>
          <w:p w:rsidR="00640BA7" w:rsidRPr="005B1ADC" w:rsidRDefault="00035611" w:rsidP="00640BA7">
            <w:pPr>
              <w:tabs>
                <w:tab w:val="decimal" w:pos="734"/>
              </w:tabs>
              <w:jc w:val="left"/>
              <w:rPr>
                <w:sz w:val="18"/>
              </w:rPr>
            </w:pPr>
            <w:r>
              <w:rPr>
                <w:sz w:val="18"/>
              </w:rPr>
              <w:t>2,673,605</w:t>
            </w:r>
          </w:p>
        </w:tc>
        <w:tc>
          <w:tcPr>
            <w:tcW w:w="990" w:type="dxa"/>
            <w:vAlign w:val="bottom"/>
          </w:tcPr>
          <w:p w:rsidR="00640BA7" w:rsidRPr="005B1ADC" w:rsidRDefault="001376FC" w:rsidP="00640BA7">
            <w:pPr>
              <w:tabs>
                <w:tab w:val="decimal" w:pos="734"/>
              </w:tabs>
              <w:jc w:val="left"/>
              <w:rPr>
                <w:sz w:val="18"/>
              </w:rPr>
            </w:pPr>
            <w:r>
              <w:rPr>
                <w:sz w:val="18"/>
              </w:rPr>
              <w:t>2,696,101</w:t>
            </w:r>
          </w:p>
        </w:tc>
        <w:tc>
          <w:tcPr>
            <w:tcW w:w="990" w:type="dxa"/>
            <w:vAlign w:val="bottom"/>
          </w:tcPr>
          <w:p w:rsidR="00640BA7" w:rsidRPr="005B1ADC" w:rsidRDefault="00BA5D9C" w:rsidP="00640BA7">
            <w:pPr>
              <w:tabs>
                <w:tab w:val="decimal" w:pos="734"/>
              </w:tabs>
              <w:jc w:val="left"/>
              <w:rPr>
                <w:sz w:val="18"/>
              </w:rPr>
            </w:pPr>
            <w:r>
              <w:rPr>
                <w:sz w:val="18"/>
              </w:rPr>
              <w:t>2,701,446</w:t>
            </w:r>
          </w:p>
        </w:tc>
        <w:tc>
          <w:tcPr>
            <w:tcW w:w="834" w:type="dxa"/>
            <w:vAlign w:val="bottom"/>
          </w:tcPr>
          <w:p w:rsidR="00640BA7" w:rsidRPr="005B1ADC" w:rsidRDefault="00BA5D9C" w:rsidP="00640BA7">
            <w:pPr>
              <w:tabs>
                <w:tab w:val="decimal" w:pos="284"/>
              </w:tabs>
              <w:jc w:val="left"/>
              <w:rPr>
                <w:sz w:val="18"/>
              </w:rPr>
            </w:pPr>
            <w:r>
              <w:rPr>
                <w:sz w:val="18"/>
              </w:rPr>
              <w:t>0.2</w:t>
            </w:r>
          </w:p>
        </w:tc>
      </w:tr>
      <w:tr w:rsidR="00640BA7" w:rsidRPr="005B1ADC" w:rsidTr="00035611">
        <w:trPr>
          <w:jc w:val="center"/>
        </w:trPr>
        <w:tc>
          <w:tcPr>
            <w:tcW w:w="11325" w:type="dxa"/>
            <w:gridSpan w:val="9"/>
            <w:vAlign w:val="bottom"/>
          </w:tcPr>
          <w:p w:rsidR="00640BA7" w:rsidRPr="005B1ADC" w:rsidRDefault="00640BA7" w:rsidP="00035611">
            <w:pPr>
              <w:rPr>
                <w:sz w:val="18"/>
              </w:rPr>
            </w:pPr>
            <w:r w:rsidRPr="005B1ADC">
              <w:rPr>
                <w:sz w:val="18"/>
              </w:rPr>
              <w:t>____________________</w:t>
            </w:r>
          </w:p>
          <w:p w:rsidR="00640BA7" w:rsidRPr="005B1ADC" w:rsidRDefault="00640BA7" w:rsidP="00035611">
            <w:pPr>
              <w:rPr>
                <w:sz w:val="18"/>
              </w:rPr>
            </w:pPr>
            <w:r w:rsidRPr="005B1ADC">
              <w:rPr>
                <w:sz w:val="18"/>
                <w:vertAlign w:val="superscript"/>
              </w:rPr>
              <w:t xml:space="preserve">* </w:t>
            </w:r>
            <w:r w:rsidRPr="005B1ADC">
              <w:rPr>
                <w:sz w:val="18"/>
              </w:rPr>
              <w:t>Industry employment levels may not add to total due to rounding.</w:t>
            </w:r>
          </w:p>
          <w:p w:rsidR="00640BA7" w:rsidRPr="005B1ADC" w:rsidRDefault="00640BA7" w:rsidP="00035611">
            <w:pPr>
              <w:rPr>
                <w:sz w:val="18"/>
              </w:rPr>
            </w:pPr>
            <w:r w:rsidRPr="005B1ADC">
              <w:rPr>
                <w:sz w:val="18"/>
              </w:rPr>
              <w:t>Source: Colorado Department of Labor and Employment, Quarterly Census of Employment and Wages</w:t>
            </w:r>
          </w:p>
        </w:tc>
      </w:tr>
    </w:tbl>
    <w:p w:rsidR="00640BA7" w:rsidRPr="008149CD" w:rsidRDefault="00640BA7" w:rsidP="00225E2F">
      <w:pPr>
        <w:pStyle w:val="BodyText"/>
        <w:keepNext/>
      </w:pPr>
    </w:p>
    <w:p w:rsidR="00F46BAA" w:rsidRPr="00365EBF" w:rsidRDefault="00F46BAA" w:rsidP="00365EBF"/>
    <w:p w:rsidR="00035611" w:rsidRDefault="00035611">
      <w:pPr>
        <w:spacing w:after="200" w:line="276" w:lineRule="auto"/>
        <w:jc w:val="left"/>
        <w:rPr>
          <w:szCs w:val="22"/>
        </w:rPr>
      </w:pPr>
      <w:r>
        <w:rPr>
          <w:szCs w:val="22"/>
        </w:rPr>
        <w:br w:type="page"/>
      </w:r>
    </w:p>
    <w:p w:rsidR="00035611" w:rsidRPr="005B1ADC" w:rsidRDefault="00035611" w:rsidP="00035611">
      <w:pPr>
        <w:pStyle w:val="BodyText"/>
        <w:rPr>
          <w:szCs w:val="22"/>
        </w:rPr>
      </w:pPr>
      <w:r w:rsidRPr="005B1ADC">
        <w:rPr>
          <w:szCs w:val="22"/>
        </w:rPr>
        <w:t>The following table shows the largest private sector employers in Colorado based on the most current information available as of May 201</w:t>
      </w:r>
      <w:r>
        <w:rPr>
          <w:szCs w:val="22"/>
        </w:rPr>
        <w:t>9</w:t>
      </w:r>
      <w:r w:rsidRPr="005B1ADC">
        <w:rPr>
          <w:szCs w:val="22"/>
        </w:rPr>
        <w:t>.  No independent investigation has been made, and no representation is made herein as to the financial condition of the employers listed below or the likelihood that these employers will maintain their status as major employers in the state.  Employment counts for these businesses may have changed since this table was compiled, and other large employers may exist in the State that are not included in the table.</w:t>
      </w:r>
    </w:p>
    <w:tbl>
      <w:tblPr>
        <w:tblStyle w:val="TableGrid"/>
        <w:tblW w:w="104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3895"/>
        <w:gridCol w:w="2257"/>
      </w:tblGrid>
      <w:tr w:rsidR="00035611" w:rsidRPr="005B1ADC" w:rsidTr="00035611">
        <w:trPr>
          <w:jc w:val="center"/>
        </w:trPr>
        <w:tc>
          <w:tcPr>
            <w:tcW w:w="10401" w:type="dxa"/>
            <w:gridSpan w:val="3"/>
            <w:vAlign w:val="bottom"/>
          </w:tcPr>
          <w:p w:rsidR="00035611" w:rsidRPr="005B1ADC" w:rsidRDefault="00035611" w:rsidP="00035611">
            <w:pPr>
              <w:spacing w:after="240"/>
              <w:jc w:val="center"/>
              <w:rPr>
                <w:b/>
                <w:szCs w:val="22"/>
              </w:rPr>
            </w:pPr>
            <w:r w:rsidRPr="005B1ADC">
              <w:rPr>
                <w:b/>
                <w:szCs w:val="22"/>
              </w:rPr>
              <w:t>Estimated Largest Private Sector Employers in Colorado</w:t>
            </w:r>
          </w:p>
        </w:tc>
      </w:tr>
      <w:tr w:rsidR="00035611" w:rsidRPr="005B1ADC" w:rsidTr="00035611">
        <w:trPr>
          <w:jc w:val="center"/>
        </w:trPr>
        <w:tc>
          <w:tcPr>
            <w:tcW w:w="4249" w:type="dxa"/>
            <w:vAlign w:val="bottom"/>
          </w:tcPr>
          <w:p w:rsidR="00035611" w:rsidRPr="005B1ADC" w:rsidRDefault="00035611" w:rsidP="00035611">
            <w:pPr>
              <w:pBdr>
                <w:bottom w:val="single" w:sz="4" w:space="1" w:color="auto"/>
              </w:pBdr>
              <w:spacing w:after="120"/>
              <w:jc w:val="center"/>
              <w:rPr>
                <w:b/>
                <w:szCs w:val="22"/>
              </w:rPr>
            </w:pPr>
            <w:r w:rsidRPr="005B1ADC">
              <w:rPr>
                <w:b/>
                <w:szCs w:val="22"/>
              </w:rPr>
              <w:t>Employer</w:t>
            </w:r>
          </w:p>
        </w:tc>
        <w:tc>
          <w:tcPr>
            <w:tcW w:w="3895" w:type="dxa"/>
            <w:vAlign w:val="bottom"/>
          </w:tcPr>
          <w:p w:rsidR="00035611" w:rsidRPr="005B1ADC" w:rsidRDefault="00035611" w:rsidP="00035611">
            <w:pPr>
              <w:pBdr>
                <w:bottom w:val="single" w:sz="4" w:space="1" w:color="auto"/>
              </w:pBdr>
              <w:spacing w:after="120"/>
              <w:jc w:val="center"/>
              <w:rPr>
                <w:b/>
                <w:szCs w:val="22"/>
              </w:rPr>
            </w:pPr>
            <w:r w:rsidRPr="005B1ADC">
              <w:rPr>
                <w:b/>
                <w:szCs w:val="22"/>
              </w:rPr>
              <w:t>Type of Business</w:t>
            </w:r>
          </w:p>
        </w:tc>
        <w:tc>
          <w:tcPr>
            <w:tcW w:w="2257" w:type="dxa"/>
            <w:vAlign w:val="bottom"/>
          </w:tcPr>
          <w:p w:rsidR="00035611" w:rsidRPr="005B1ADC" w:rsidRDefault="00035611" w:rsidP="00035611">
            <w:pPr>
              <w:pBdr>
                <w:bottom w:val="single" w:sz="4" w:space="1" w:color="auto"/>
              </w:pBdr>
              <w:spacing w:after="120"/>
              <w:jc w:val="center"/>
              <w:rPr>
                <w:b/>
                <w:szCs w:val="22"/>
              </w:rPr>
            </w:pPr>
            <w:r w:rsidRPr="005B1ADC">
              <w:rPr>
                <w:b/>
                <w:szCs w:val="22"/>
              </w:rPr>
              <w:t>Estimated Employees</w:t>
            </w:r>
            <w:r w:rsidRPr="005B1ADC">
              <w:rPr>
                <w:b/>
                <w:szCs w:val="22"/>
                <w:vertAlign w:val="superscript"/>
              </w:rPr>
              <w:t>1</w:t>
            </w:r>
          </w:p>
        </w:tc>
      </w:tr>
      <w:tr w:rsidR="00035611" w:rsidRPr="005B1ADC" w:rsidTr="00035611">
        <w:trPr>
          <w:jc w:val="center"/>
        </w:trPr>
        <w:tc>
          <w:tcPr>
            <w:tcW w:w="4249" w:type="dxa"/>
            <w:vAlign w:val="bottom"/>
          </w:tcPr>
          <w:p w:rsidR="00035611" w:rsidRPr="005B1ADC" w:rsidRDefault="00035611" w:rsidP="00035611">
            <w:pPr>
              <w:jc w:val="left"/>
              <w:rPr>
                <w:szCs w:val="22"/>
              </w:rPr>
            </w:pPr>
            <w:r w:rsidRPr="005B1ADC">
              <w:rPr>
                <w:szCs w:val="22"/>
              </w:rPr>
              <w:t>Wal-Mart</w:t>
            </w:r>
          </w:p>
        </w:tc>
        <w:tc>
          <w:tcPr>
            <w:tcW w:w="3895" w:type="dxa"/>
            <w:vAlign w:val="bottom"/>
          </w:tcPr>
          <w:p w:rsidR="00035611" w:rsidRPr="005B1ADC" w:rsidRDefault="00035611" w:rsidP="00035611">
            <w:pPr>
              <w:jc w:val="left"/>
              <w:rPr>
                <w:szCs w:val="22"/>
              </w:rPr>
            </w:pPr>
            <w:r w:rsidRPr="005B1ADC">
              <w:rPr>
                <w:szCs w:val="22"/>
              </w:rPr>
              <w:t xml:space="preserve">General Merchandise </w:t>
            </w:r>
          </w:p>
        </w:tc>
        <w:tc>
          <w:tcPr>
            <w:tcW w:w="2257" w:type="dxa"/>
            <w:vAlign w:val="bottom"/>
          </w:tcPr>
          <w:p w:rsidR="00035611" w:rsidRPr="005B1ADC" w:rsidRDefault="00D31A70" w:rsidP="00035611">
            <w:pPr>
              <w:tabs>
                <w:tab w:val="decimal" w:pos="1269"/>
              </w:tabs>
              <w:jc w:val="left"/>
              <w:rPr>
                <w:szCs w:val="22"/>
              </w:rPr>
            </w:pPr>
            <w:r>
              <w:rPr>
                <w:szCs w:val="22"/>
              </w:rPr>
              <w:t>27,200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UCHealth</w:t>
            </w:r>
            <w:r w:rsidRPr="005B1ADC">
              <w:rPr>
                <w:szCs w:val="22"/>
                <w:vertAlign w:val="superscript"/>
              </w:rPr>
              <w:t>2</w:t>
            </w:r>
          </w:p>
        </w:tc>
        <w:tc>
          <w:tcPr>
            <w:tcW w:w="3895" w:type="dxa"/>
            <w:vAlign w:val="bottom"/>
          </w:tcPr>
          <w:p w:rsidR="00D31A70" w:rsidRPr="005B1ADC" w:rsidRDefault="00D31A70" w:rsidP="00D31A70">
            <w:pPr>
              <w:jc w:val="left"/>
              <w:rPr>
                <w:szCs w:val="22"/>
              </w:rPr>
            </w:pPr>
            <w:r w:rsidRPr="005B1ADC">
              <w:rPr>
                <w:szCs w:val="22"/>
              </w:rPr>
              <w:t>Healthcare</w:t>
            </w:r>
          </w:p>
        </w:tc>
        <w:tc>
          <w:tcPr>
            <w:tcW w:w="2257" w:type="dxa"/>
            <w:vAlign w:val="bottom"/>
          </w:tcPr>
          <w:p w:rsidR="00D31A70" w:rsidRPr="005B1ADC" w:rsidRDefault="00D31A70" w:rsidP="00D31A70">
            <w:pPr>
              <w:tabs>
                <w:tab w:val="decimal" w:pos="1269"/>
              </w:tabs>
              <w:jc w:val="left"/>
              <w:rPr>
                <w:szCs w:val="22"/>
              </w:rPr>
            </w:pPr>
            <w:r>
              <w:rPr>
                <w:szCs w:val="22"/>
              </w:rPr>
              <w:t>23,500</w:t>
            </w:r>
          </w:p>
        </w:tc>
      </w:tr>
      <w:tr w:rsidR="00035611" w:rsidRPr="005B1ADC" w:rsidTr="00035611">
        <w:trPr>
          <w:jc w:val="center"/>
        </w:trPr>
        <w:tc>
          <w:tcPr>
            <w:tcW w:w="4249" w:type="dxa"/>
            <w:vAlign w:val="bottom"/>
          </w:tcPr>
          <w:p w:rsidR="00035611" w:rsidRPr="005B1ADC" w:rsidRDefault="00035611" w:rsidP="00035611">
            <w:pPr>
              <w:jc w:val="left"/>
              <w:rPr>
                <w:szCs w:val="22"/>
              </w:rPr>
            </w:pPr>
            <w:r w:rsidRPr="005B1ADC">
              <w:rPr>
                <w:szCs w:val="22"/>
              </w:rPr>
              <w:t>The Kroger Co. (King Soopers/City Market)</w:t>
            </w:r>
          </w:p>
        </w:tc>
        <w:tc>
          <w:tcPr>
            <w:tcW w:w="3895" w:type="dxa"/>
            <w:vAlign w:val="bottom"/>
          </w:tcPr>
          <w:p w:rsidR="00035611" w:rsidRPr="005B1ADC" w:rsidRDefault="00035611" w:rsidP="00035611">
            <w:pPr>
              <w:jc w:val="left"/>
              <w:rPr>
                <w:szCs w:val="22"/>
              </w:rPr>
            </w:pPr>
            <w:r w:rsidRPr="005B1ADC">
              <w:rPr>
                <w:szCs w:val="22"/>
              </w:rPr>
              <w:t>Supermarkets</w:t>
            </w:r>
          </w:p>
        </w:tc>
        <w:tc>
          <w:tcPr>
            <w:tcW w:w="2257" w:type="dxa"/>
            <w:vAlign w:val="bottom"/>
          </w:tcPr>
          <w:p w:rsidR="00035611" w:rsidRPr="005B1ADC" w:rsidRDefault="00D31A70" w:rsidP="00035611">
            <w:pPr>
              <w:tabs>
                <w:tab w:val="decimal" w:pos="1269"/>
              </w:tabs>
              <w:jc w:val="left"/>
              <w:rPr>
                <w:szCs w:val="22"/>
              </w:rPr>
            </w:pPr>
            <w:r>
              <w:rPr>
                <w:szCs w:val="22"/>
              </w:rPr>
              <w:t>22,500</w:t>
            </w:r>
          </w:p>
        </w:tc>
      </w:tr>
      <w:tr w:rsidR="00D31A70" w:rsidRPr="005B1ADC" w:rsidTr="00035611">
        <w:trPr>
          <w:jc w:val="center"/>
        </w:trPr>
        <w:tc>
          <w:tcPr>
            <w:tcW w:w="4249" w:type="dxa"/>
            <w:vAlign w:val="bottom"/>
          </w:tcPr>
          <w:p w:rsidR="00D31A70" w:rsidRPr="005B1ADC" w:rsidRDefault="00D31A70" w:rsidP="00D31A70">
            <w:pPr>
              <w:jc w:val="left"/>
              <w:rPr>
                <w:szCs w:val="22"/>
              </w:rPr>
            </w:pPr>
            <w:proofErr w:type="spellStart"/>
            <w:r w:rsidRPr="005B1ADC">
              <w:rPr>
                <w:szCs w:val="22"/>
              </w:rPr>
              <w:t>Centura</w:t>
            </w:r>
            <w:proofErr w:type="spellEnd"/>
            <w:r w:rsidRPr="005B1ADC">
              <w:rPr>
                <w:szCs w:val="22"/>
              </w:rPr>
              <w:t xml:space="preserve"> Health</w:t>
            </w:r>
          </w:p>
        </w:tc>
        <w:tc>
          <w:tcPr>
            <w:tcW w:w="3895" w:type="dxa"/>
            <w:vAlign w:val="bottom"/>
          </w:tcPr>
          <w:p w:rsidR="00D31A70" w:rsidRPr="005B1ADC" w:rsidRDefault="00D31A70" w:rsidP="00D31A70">
            <w:pPr>
              <w:jc w:val="left"/>
              <w:rPr>
                <w:szCs w:val="22"/>
              </w:rPr>
            </w:pPr>
            <w:r w:rsidRPr="005B1ADC">
              <w:rPr>
                <w:szCs w:val="22"/>
              </w:rPr>
              <w:t>Healthcare</w:t>
            </w:r>
          </w:p>
        </w:tc>
        <w:tc>
          <w:tcPr>
            <w:tcW w:w="2257" w:type="dxa"/>
            <w:vAlign w:val="bottom"/>
          </w:tcPr>
          <w:p w:rsidR="00D31A70" w:rsidRPr="005B1ADC" w:rsidRDefault="00D31A70" w:rsidP="00D31A70">
            <w:pPr>
              <w:tabs>
                <w:tab w:val="decimal" w:pos="1269"/>
              </w:tabs>
              <w:jc w:val="left"/>
              <w:rPr>
                <w:szCs w:val="22"/>
              </w:rPr>
            </w:pPr>
            <w:r>
              <w:rPr>
                <w:szCs w:val="22"/>
              </w:rPr>
              <w:t>13,000</w:t>
            </w:r>
          </w:p>
        </w:tc>
      </w:tr>
      <w:tr w:rsidR="00D31A70" w:rsidRPr="005B1ADC" w:rsidTr="00035611">
        <w:trPr>
          <w:jc w:val="center"/>
        </w:trPr>
        <w:tc>
          <w:tcPr>
            <w:tcW w:w="4249" w:type="dxa"/>
            <w:vAlign w:val="bottom"/>
          </w:tcPr>
          <w:p w:rsidR="00D31A70" w:rsidRPr="005B1ADC" w:rsidRDefault="00D31A70" w:rsidP="00D31A70">
            <w:pPr>
              <w:jc w:val="left"/>
              <w:rPr>
                <w:szCs w:val="22"/>
              </w:rPr>
            </w:pPr>
            <w:proofErr w:type="spellStart"/>
            <w:r w:rsidRPr="005B1ADC">
              <w:rPr>
                <w:szCs w:val="22"/>
              </w:rPr>
              <w:t>HealthONE</w:t>
            </w:r>
            <w:proofErr w:type="spellEnd"/>
            <w:r w:rsidRPr="005B1ADC">
              <w:rPr>
                <w:szCs w:val="22"/>
              </w:rPr>
              <w:t xml:space="preserve"> Corporation</w:t>
            </w:r>
          </w:p>
        </w:tc>
        <w:tc>
          <w:tcPr>
            <w:tcW w:w="3895" w:type="dxa"/>
            <w:vAlign w:val="bottom"/>
          </w:tcPr>
          <w:p w:rsidR="00D31A70" w:rsidRPr="005B1ADC" w:rsidRDefault="00D31A70" w:rsidP="00D31A70">
            <w:pPr>
              <w:jc w:val="left"/>
              <w:rPr>
                <w:szCs w:val="22"/>
              </w:rPr>
            </w:pPr>
            <w:r w:rsidRPr="005B1ADC">
              <w:rPr>
                <w:szCs w:val="22"/>
              </w:rPr>
              <w:t>Healthcare</w:t>
            </w:r>
          </w:p>
        </w:tc>
        <w:tc>
          <w:tcPr>
            <w:tcW w:w="2257" w:type="dxa"/>
            <w:vAlign w:val="bottom"/>
          </w:tcPr>
          <w:p w:rsidR="00D31A70" w:rsidRPr="005B1ADC" w:rsidRDefault="00D31A70" w:rsidP="00D31A70">
            <w:pPr>
              <w:tabs>
                <w:tab w:val="decimal" w:pos="1269"/>
              </w:tabs>
              <w:jc w:val="left"/>
              <w:rPr>
                <w:szCs w:val="22"/>
              </w:rPr>
            </w:pPr>
            <w:r>
              <w:rPr>
                <w:szCs w:val="22"/>
              </w:rPr>
              <w:t>11,900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Lockheed Martin Corporation</w:t>
            </w:r>
          </w:p>
        </w:tc>
        <w:tc>
          <w:tcPr>
            <w:tcW w:w="3895" w:type="dxa"/>
            <w:vAlign w:val="bottom"/>
          </w:tcPr>
          <w:p w:rsidR="00D31A70" w:rsidRPr="005B1ADC" w:rsidRDefault="00D31A70" w:rsidP="00D31A70">
            <w:pPr>
              <w:jc w:val="left"/>
              <w:rPr>
                <w:szCs w:val="22"/>
              </w:rPr>
            </w:pPr>
            <w:r w:rsidRPr="005B1ADC">
              <w:rPr>
                <w:szCs w:val="22"/>
              </w:rPr>
              <w:t>Aerospace &amp; Defense Related Systems</w:t>
            </w:r>
          </w:p>
        </w:tc>
        <w:tc>
          <w:tcPr>
            <w:tcW w:w="2257" w:type="dxa"/>
            <w:vAlign w:val="bottom"/>
          </w:tcPr>
          <w:p w:rsidR="00D31A70" w:rsidRPr="005B1ADC" w:rsidRDefault="00D31A70" w:rsidP="00D31A70">
            <w:pPr>
              <w:tabs>
                <w:tab w:val="decimal" w:pos="1269"/>
              </w:tabs>
              <w:jc w:val="left"/>
              <w:rPr>
                <w:szCs w:val="22"/>
              </w:rPr>
            </w:pPr>
            <w:r>
              <w:rPr>
                <w:szCs w:val="22"/>
              </w:rPr>
              <w:t>8,900</w:t>
            </w:r>
          </w:p>
        </w:tc>
      </w:tr>
      <w:tr w:rsidR="00035611" w:rsidRPr="005B1ADC" w:rsidTr="00035611">
        <w:trPr>
          <w:jc w:val="center"/>
        </w:trPr>
        <w:tc>
          <w:tcPr>
            <w:tcW w:w="4249" w:type="dxa"/>
            <w:vAlign w:val="bottom"/>
          </w:tcPr>
          <w:p w:rsidR="00035611" w:rsidRPr="005B1ADC" w:rsidRDefault="00035611" w:rsidP="00035611">
            <w:pPr>
              <w:jc w:val="left"/>
              <w:rPr>
                <w:szCs w:val="22"/>
              </w:rPr>
            </w:pPr>
            <w:r w:rsidRPr="005B1ADC">
              <w:rPr>
                <w:szCs w:val="22"/>
              </w:rPr>
              <w:t>SCL Health System</w:t>
            </w:r>
          </w:p>
        </w:tc>
        <w:tc>
          <w:tcPr>
            <w:tcW w:w="3895" w:type="dxa"/>
            <w:vAlign w:val="bottom"/>
          </w:tcPr>
          <w:p w:rsidR="00035611" w:rsidRPr="005B1ADC" w:rsidRDefault="00035611" w:rsidP="00035611">
            <w:pPr>
              <w:jc w:val="left"/>
              <w:rPr>
                <w:szCs w:val="22"/>
              </w:rPr>
            </w:pPr>
            <w:r w:rsidRPr="005B1ADC">
              <w:rPr>
                <w:szCs w:val="22"/>
              </w:rPr>
              <w:t>Healthcare</w:t>
            </w:r>
          </w:p>
        </w:tc>
        <w:tc>
          <w:tcPr>
            <w:tcW w:w="2257" w:type="dxa"/>
            <w:vAlign w:val="bottom"/>
          </w:tcPr>
          <w:p w:rsidR="00035611" w:rsidRPr="005B1ADC" w:rsidRDefault="00D31A70" w:rsidP="00035611">
            <w:pPr>
              <w:tabs>
                <w:tab w:val="decimal" w:pos="1269"/>
              </w:tabs>
              <w:jc w:val="left"/>
              <w:rPr>
                <w:szCs w:val="22"/>
              </w:rPr>
            </w:pPr>
            <w:r>
              <w:rPr>
                <w:szCs w:val="22"/>
              </w:rPr>
              <w:t>8,700</w:t>
            </w:r>
          </w:p>
        </w:tc>
      </w:tr>
      <w:tr w:rsidR="00D31A70" w:rsidRPr="005B1ADC" w:rsidTr="00035611">
        <w:trPr>
          <w:jc w:val="center"/>
        </w:trPr>
        <w:tc>
          <w:tcPr>
            <w:tcW w:w="4249" w:type="dxa"/>
            <w:vAlign w:val="bottom"/>
          </w:tcPr>
          <w:p w:rsidR="00D31A70" w:rsidRPr="005B1ADC" w:rsidRDefault="00D31A70" w:rsidP="00D31A70">
            <w:pPr>
              <w:jc w:val="left"/>
              <w:rPr>
                <w:szCs w:val="22"/>
              </w:rPr>
            </w:pPr>
            <w:r>
              <w:rPr>
                <w:szCs w:val="22"/>
              </w:rPr>
              <w:t xml:space="preserve">Comcast </w:t>
            </w:r>
          </w:p>
        </w:tc>
        <w:tc>
          <w:tcPr>
            <w:tcW w:w="3895" w:type="dxa"/>
            <w:vAlign w:val="bottom"/>
          </w:tcPr>
          <w:p w:rsidR="00D31A70" w:rsidRPr="005B1ADC" w:rsidRDefault="00D31A70" w:rsidP="00D31A70">
            <w:pPr>
              <w:jc w:val="left"/>
              <w:rPr>
                <w:szCs w:val="22"/>
              </w:rPr>
            </w:pPr>
            <w:r w:rsidRPr="005B1ADC">
              <w:rPr>
                <w:szCs w:val="22"/>
              </w:rPr>
              <w:t>Telecommunications</w:t>
            </w:r>
          </w:p>
        </w:tc>
        <w:tc>
          <w:tcPr>
            <w:tcW w:w="2257" w:type="dxa"/>
            <w:vAlign w:val="bottom"/>
          </w:tcPr>
          <w:p w:rsidR="00D31A70" w:rsidRPr="005B1ADC" w:rsidRDefault="00D31A70" w:rsidP="00D31A70">
            <w:pPr>
              <w:tabs>
                <w:tab w:val="decimal" w:pos="1269"/>
              </w:tabs>
              <w:jc w:val="left"/>
              <w:rPr>
                <w:szCs w:val="22"/>
              </w:rPr>
            </w:pPr>
            <w:r>
              <w:rPr>
                <w:szCs w:val="22"/>
              </w:rPr>
              <w:t>8,600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Home Depot</w:t>
            </w:r>
          </w:p>
        </w:tc>
        <w:tc>
          <w:tcPr>
            <w:tcW w:w="3895" w:type="dxa"/>
            <w:vAlign w:val="bottom"/>
          </w:tcPr>
          <w:p w:rsidR="00D31A70" w:rsidRPr="005B1ADC" w:rsidRDefault="00D31A70" w:rsidP="00D31A70">
            <w:pPr>
              <w:jc w:val="left"/>
              <w:rPr>
                <w:szCs w:val="22"/>
              </w:rPr>
            </w:pPr>
            <w:r w:rsidRPr="005B1ADC">
              <w:rPr>
                <w:szCs w:val="22"/>
              </w:rPr>
              <w:t>Building Materials Retailer</w:t>
            </w:r>
          </w:p>
        </w:tc>
        <w:tc>
          <w:tcPr>
            <w:tcW w:w="2257" w:type="dxa"/>
            <w:vAlign w:val="bottom"/>
          </w:tcPr>
          <w:p w:rsidR="00D31A70" w:rsidRPr="005B1ADC" w:rsidRDefault="00D31A70" w:rsidP="00D31A70">
            <w:pPr>
              <w:tabs>
                <w:tab w:val="decimal" w:pos="1269"/>
              </w:tabs>
              <w:jc w:val="left"/>
              <w:rPr>
                <w:szCs w:val="22"/>
              </w:rPr>
            </w:pPr>
            <w:r>
              <w:rPr>
                <w:szCs w:val="22"/>
              </w:rPr>
              <w:t>8,400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CenturyLink</w:t>
            </w:r>
          </w:p>
        </w:tc>
        <w:tc>
          <w:tcPr>
            <w:tcW w:w="3895" w:type="dxa"/>
            <w:vAlign w:val="bottom"/>
          </w:tcPr>
          <w:p w:rsidR="00D31A70" w:rsidRPr="005B1ADC" w:rsidRDefault="00D31A70" w:rsidP="00D31A70">
            <w:pPr>
              <w:jc w:val="left"/>
              <w:rPr>
                <w:szCs w:val="22"/>
              </w:rPr>
            </w:pPr>
            <w:r w:rsidRPr="005B1ADC">
              <w:rPr>
                <w:szCs w:val="22"/>
              </w:rPr>
              <w:t>Telecommunications</w:t>
            </w:r>
          </w:p>
        </w:tc>
        <w:tc>
          <w:tcPr>
            <w:tcW w:w="2257" w:type="dxa"/>
            <w:vAlign w:val="bottom"/>
          </w:tcPr>
          <w:p w:rsidR="00D31A70" w:rsidRPr="005B1ADC" w:rsidRDefault="00D31A70" w:rsidP="00D31A70">
            <w:pPr>
              <w:tabs>
                <w:tab w:val="decimal" w:pos="1269"/>
              </w:tabs>
              <w:jc w:val="left"/>
              <w:rPr>
                <w:szCs w:val="22"/>
              </w:rPr>
            </w:pPr>
            <w:r>
              <w:rPr>
                <w:szCs w:val="22"/>
              </w:rPr>
              <w:t>7,800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Target Corporation</w:t>
            </w:r>
          </w:p>
        </w:tc>
        <w:tc>
          <w:tcPr>
            <w:tcW w:w="3895" w:type="dxa"/>
            <w:vAlign w:val="bottom"/>
          </w:tcPr>
          <w:p w:rsidR="00D31A70" w:rsidRPr="005B1ADC" w:rsidRDefault="00D31A70" w:rsidP="00D31A70">
            <w:pPr>
              <w:jc w:val="left"/>
              <w:rPr>
                <w:szCs w:val="22"/>
              </w:rPr>
            </w:pPr>
            <w:r w:rsidRPr="005B1ADC">
              <w:rPr>
                <w:szCs w:val="22"/>
              </w:rPr>
              <w:t>General Merchandise</w:t>
            </w:r>
          </w:p>
        </w:tc>
        <w:tc>
          <w:tcPr>
            <w:tcW w:w="2257" w:type="dxa"/>
            <w:vAlign w:val="bottom"/>
          </w:tcPr>
          <w:p w:rsidR="00D31A70" w:rsidRPr="005B1ADC" w:rsidRDefault="00D31A70" w:rsidP="00D31A70">
            <w:pPr>
              <w:tabs>
                <w:tab w:val="decimal" w:pos="1269"/>
              </w:tabs>
              <w:jc w:val="left"/>
              <w:rPr>
                <w:szCs w:val="22"/>
              </w:rPr>
            </w:pPr>
            <w:r>
              <w:rPr>
                <w:szCs w:val="22"/>
              </w:rPr>
              <w:t>7,600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Safeway Inc.</w:t>
            </w:r>
          </w:p>
        </w:tc>
        <w:tc>
          <w:tcPr>
            <w:tcW w:w="3895" w:type="dxa"/>
            <w:vAlign w:val="bottom"/>
          </w:tcPr>
          <w:p w:rsidR="00D31A70" w:rsidRPr="005B1ADC" w:rsidRDefault="00D31A70" w:rsidP="00D31A70">
            <w:pPr>
              <w:jc w:val="left"/>
              <w:rPr>
                <w:szCs w:val="22"/>
              </w:rPr>
            </w:pPr>
            <w:r w:rsidRPr="005B1ADC">
              <w:rPr>
                <w:szCs w:val="22"/>
              </w:rPr>
              <w:t>Supermarkets</w:t>
            </w:r>
          </w:p>
        </w:tc>
        <w:tc>
          <w:tcPr>
            <w:tcW w:w="2257" w:type="dxa"/>
            <w:vAlign w:val="bottom"/>
          </w:tcPr>
          <w:p w:rsidR="00D31A70" w:rsidRPr="005B1ADC" w:rsidRDefault="00D31A70" w:rsidP="00D31A70">
            <w:pPr>
              <w:tabs>
                <w:tab w:val="decimal" w:pos="1269"/>
              </w:tabs>
              <w:jc w:val="left"/>
              <w:rPr>
                <w:szCs w:val="22"/>
              </w:rPr>
            </w:pPr>
            <w:r>
              <w:rPr>
                <w:szCs w:val="22"/>
              </w:rPr>
              <w:t>7,300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Children’s Hospital Colorado</w:t>
            </w:r>
          </w:p>
        </w:tc>
        <w:tc>
          <w:tcPr>
            <w:tcW w:w="3895" w:type="dxa"/>
            <w:vAlign w:val="bottom"/>
          </w:tcPr>
          <w:p w:rsidR="00D31A70" w:rsidRPr="005B1ADC" w:rsidRDefault="00D31A70" w:rsidP="00D31A70">
            <w:pPr>
              <w:jc w:val="left"/>
              <w:rPr>
                <w:szCs w:val="22"/>
              </w:rPr>
            </w:pPr>
            <w:r w:rsidRPr="005B1ADC">
              <w:rPr>
                <w:szCs w:val="22"/>
              </w:rPr>
              <w:t>Healthcare</w:t>
            </w:r>
          </w:p>
        </w:tc>
        <w:tc>
          <w:tcPr>
            <w:tcW w:w="2257" w:type="dxa"/>
            <w:vAlign w:val="bottom"/>
          </w:tcPr>
          <w:p w:rsidR="00D31A70" w:rsidRPr="005B1ADC" w:rsidRDefault="00D31A70" w:rsidP="00D31A70">
            <w:pPr>
              <w:tabs>
                <w:tab w:val="decimal" w:pos="1269"/>
              </w:tabs>
              <w:jc w:val="left"/>
              <w:rPr>
                <w:szCs w:val="22"/>
              </w:rPr>
            </w:pPr>
            <w:r>
              <w:rPr>
                <w:szCs w:val="22"/>
              </w:rPr>
              <w:t>7,200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Kaiser Permanente</w:t>
            </w:r>
          </w:p>
        </w:tc>
        <w:tc>
          <w:tcPr>
            <w:tcW w:w="3895" w:type="dxa"/>
            <w:vAlign w:val="bottom"/>
          </w:tcPr>
          <w:p w:rsidR="00D31A70" w:rsidRPr="005B1ADC" w:rsidRDefault="00D31A70" w:rsidP="00D31A70">
            <w:pPr>
              <w:jc w:val="left"/>
              <w:rPr>
                <w:szCs w:val="22"/>
              </w:rPr>
            </w:pPr>
            <w:r w:rsidRPr="005B1ADC">
              <w:rPr>
                <w:szCs w:val="22"/>
              </w:rPr>
              <w:t>Health Maintenance Organization</w:t>
            </w:r>
          </w:p>
        </w:tc>
        <w:tc>
          <w:tcPr>
            <w:tcW w:w="2257" w:type="dxa"/>
            <w:vAlign w:val="bottom"/>
          </w:tcPr>
          <w:p w:rsidR="00D31A70" w:rsidRPr="005B1ADC" w:rsidRDefault="00D31A70" w:rsidP="00D31A70">
            <w:pPr>
              <w:tabs>
                <w:tab w:val="decimal" w:pos="1269"/>
              </w:tabs>
              <w:jc w:val="left"/>
              <w:rPr>
                <w:szCs w:val="22"/>
              </w:rPr>
            </w:pPr>
            <w:r>
              <w:rPr>
                <w:szCs w:val="22"/>
              </w:rPr>
              <w:t>7,100</w:t>
            </w:r>
          </w:p>
        </w:tc>
      </w:tr>
      <w:tr w:rsidR="00035611" w:rsidRPr="005B1ADC" w:rsidTr="00035611">
        <w:trPr>
          <w:jc w:val="center"/>
        </w:trPr>
        <w:tc>
          <w:tcPr>
            <w:tcW w:w="4249" w:type="dxa"/>
            <w:vAlign w:val="bottom"/>
          </w:tcPr>
          <w:p w:rsidR="00035611" w:rsidRPr="005B1ADC" w:rsidRDefault="00D31A70" w:rsidP="00035611">
            <w:pPr>
              <w:jc w:val="left"/>
              <w:rPr>
                <w:szCs w:val="22"/>
              </w:rPr>
            </w:pPr>
            <w:r>
              <w:rPr>
                <w:szCs w:val="22"/>
              </w:rPr>
              <w:t>Amazon</w:t>
            </w:r>
          </w:p>
        </w:tc>
        <w:tc>
          <w:tcPr>
            <w:tcW w:w="3895" w:type="dxa"/>
            <w:vAlign w:val="bottom"/>
          </w:tcPr>
          <w:p w:rsidR="00035611" w:rsidRPr="005B1ADC" w:rsidRDefault="00D31A70" w:rsidP="00035611">
            <w:pPr>
              <w:jc w:val="left"/>
              <w:rPr>
                <w:szCs w:val="22"/>
              </w:rPr>
            </w:pPr>
            <w:r>
              <w:rPr>
                <w:szCs w:val="22"/>
              </w:rPr>
              <w:t>Warehousing &amp; Distribution Services</w:t>
            </w:r>
          </w:p>
        </w:tc>
        <w:tc>
          <w:tcPr>
            <w:tcW w:w="2257" w:type="dxa"/>
            <w:vAlign w:val="bottom"/>
          </w:tcPr>
          <w:p w:rsidR="00035611" w:rsidRPr="005B1ADC" w:rsidRDefault="00D31A70" w:rsidP="00035611">
            <w:pPr>
              <w:tabs>
                <w:tab w:val="decimal" w:pos="1269"/>
              </w:tabs>
              <w:jc w:val="left"/>
              <w:rPr>
                <w:szCs w:val="22"/>
              </w:rPr>
            </w:pPr>
            <w:r>
              <w:rPr>
                <w:szCs w:val="22"/>
              </w:rPr>
              <w:t>6,700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Vail Resorts</w:t>
            </w:r>
          </w:p>
        </w:tc>
        <w:tc>
          <w:tcPr>
            <w:tcW w:w="3895" w:type="dxa"/>
            <w:vAlign w:val="bottom"/>
          </w:tcPr>
          <w:p w:rsidR="00D31A70" w:rsidRPr="005B1ADC" w:rsidRDefault="00D31A70" w:rsidP="00D31A70">
            <w:pPr>
              <w:jc w:val="left"/>
              <w:rPr>
                <w:szCs w:val="22"/>
              </w:rPr>
            </w:pPr>
            <w:r w:rsidRPr="005B1ADC">
              <w:rPr>
                <w:szCs w:val="22"/>
              </w:rPr>
              <w:t>Leisure &amp; Hospitality</w:t>
            </w:r>
          </w:p>
        </w:tc>
        <w:tc>
          <w:tcPr>
            <w:tcW w:w="2257" w:type="dxa"/>
            <w:vAlign w:val="bottom"/>
          </w:tcPr>
          <w:p w:rsidR="00D31A70" w:rsidRPr="005B1ADC" w:rsidRDefault="00D31A70" w:rsidP="00D31A70">
            <w:pPr>
              <w:tabs>
                <w:tab w:val="decimal" w:pos="1269"/>
              </w:tabs>
              <w:jc w:val="left"/>
              <w:rPr>
                <w:szCs w:val="22"/>
              </w:rPr>
            </w:pPr>
            <w:r>
              <w:rPr>
                <w:szCs w:val="22"/>
              </w:rPr>
              <w:t>6,600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United Airlines</w:t>
            </w:r>
          </w:p>
        </w:tc>
        <w:tc>
          <w:tcPr>
            <w:tcW w:w="3895" w:type="dxa"/>
            <w:vAlign w:val="bottom"/>
          </w:tcPr>
          <w:p w:rsidR="00D31A70" w:rsidRPr="005B1ADC" w:rsidRDefault="00D31A70" w:rsidP="00D31A70">
            <w:pPr>
              <w:jc w:val="left"/>
              <w:rPr>
                <w:szCs w:val="22"/>
              </w:rPr>
            </w:pPr>
            <w:r w:rsidRPr="005B1ADC">
              <w:rPr>
                <w:szCs w:val="22"/>
              </w:rPr>
              <w:t>Airline</w:t>
            </w:r>
          </w:p>
        </w:tc>
        <w:tc>
          <w:tcPr>
            <w:tcW w:w="2257" w:type="dxa"/>
            <w:vAlign w:val="bottom"/>
          </w:tcPr>
          <w:p w:rsidR="00D31A70" w:rsidRPr="005B1ADC" w:rsidRDefault="00D31A70" w:rsidP="00D31A70">
            <w:pPr>
              <w:tabs>
                <w:tab w:val="decimal" w:pos="1269"/>
              </w:tabs>
              <w:jc w:val="left"/>
              <w:rPr>
                <w:szCs w:val="22"/>
              </w:rPr>
            </w:pPr>
            <w:r>
              <w:rPr>
                <w:szCs w:val="22"/>
              </w:rPr>
              <w:t>6,100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United Parcel Service</w:t>
            </w:r>
          </w:p>
        </w:tc>
        <w:tc>
          <w:tcPr>
            <w:tcW w:w="3895" w:type="dxa"/>
            <w:vAlign w:val="bottom"/>
          </w:tcPr>
          <w:p w:rsidR="00D31A70" w:rsidRPr="005B1ADC" w:rsidRDefault="00D31A70" w:rsidP="00D31A70">
            <w:pPr>
              <w:jc w:val="left"/>
              <w:rPr>
                <w:szCs w:val="22"/>
              </w:rPr>
            </w:pPr>
            <w:r w:rsidRPr="005B1ADC">
              <w:rPr>
                <w:szCs w:val="22"/>
              </w:rPr>
              <w:t>Delivery Services</w:t>
            </w:r>
          </w:p>
        </w:tc>
        <w:tc>
          <w:tcPr>
            <w:tcW w:w="2257" w:type="dxa"/>
            <w:vAlign w:val="bottom"/>
          </w:tcPr>
          <w:p w:rsidR="00D31A70" w:rsidRPr="005B1ADC" w:rsidRDefault="00D31A70" w:rsidP="00D31A70">
            <w:pPr>
              <w:tabs>
                <w:tab w:val="decimal" w:pos="1269"/>
              </w:tabs>
              <w:jc w:val="left"/>
              <w:rPr>
                <w:szCs w:val="22"/>
              </w:rPr>
            </w:pPr>
            <w:r>
              <w:rPr>
                <w:szCs w:val="22"/>
              </w:rPr>
              <w:t>5,400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Wells Fargo</w:t>
            </w:r>
          </w:p>
        </w:tc>
        <w:tc>
          <w:tcPr>
            <w:tcW w:w="3895" w:type="dxa"/>
            <w:vAlign w:val="bottom"/>
          </w:tcPr>
          <w:p w:rsidR="00D31A70" w:rsidRPr="005B1ADC" w:rsidRDefault="00D31A70" w:rsidP="00D31A70">
            <w:pPr>
              <w:jc w:val="left"/>
              <w:rPr>
                <w:szCs w:val="22"/>
              </w:rPr>
            </w:pPr>
            <w:r w:rsidRPr="005B1ADC">
              <w:rPr>
                <w:szCs w:val="22"/>
              </w:rPr>
              <w:t>Banking/Financial Services</w:t>
            </w:r>
          </w:p>
        </w:tc>
        <w:tc>
          <w:tcPr>
            <w:tcW w:w="2257" w:type="dxa"/>
            <w:vAlign w:val="bottom"/>
          </w:tcPr>
          <w:p w:rsidR="00D31A70" w:rsidRPr="005B1ADC" w:rsidRDefault="00D31A70" w:rsidP="00D31A70">
            <w:pPr>
              <w:tabs>
                <w:tab w:val="decimal" w:pos="1269"/>
              </w:tabs>
              <w:jc w:val="left"/>
              <w:rPr>
                <w:szCs w:val="22"/>
              </w:rPr>
            </w:pPr>
            <w:r>
              <w:rPr>
                <w:szCs w:val="22"/>
              </w:rPr>
              <w:t>5,400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Banner Health</w:t>
            </w:r>
          </w:p>
        </w:tc>
        <w:tc>
          <w:tcPr>
            <w:tcW w:w="3895" w:type="dxa"/>
            <w:vAlign w:val="bottom"/>
          </w:tcPr>
          <w:p w:rsidR="00D31A70" w:rsidRPr="005B1ADC" w:rsidRDefault="00D31A70" w:rsidP="00D31A70">
            <w:pPr>
              <w:jc w:val="left"/>
              <w:rPr>
                <w:szCs w:val="22"/>
              </w:rPr>
            </w:pPr>
            <w:r w:rsidRPr="005B1ADC">
              <w:rPr>
                <w:szCs w:val="22"/>
              </w:rPr>
              <w:t>Healthcare</w:t>
            </w:r>
          </w:p>
        </w:tc>
        <w:tc>
          <w:tcPr>
            <w:tcW w:w="2257" w:type="dxa"/>
            <w:vAlign w:val="bottom"/>
          </w:tcPr>
          <w:p w:rsidR="00D31A70" w:rsidRPr="005B1ADC" w:rsidRDefault="00D31A70" w:rsidP="00D31A70">
            <w:pPr>
              <w:tabs>
                <w:tab w:val="decimal" w:pos="1269"/>
              </w:tabs>
              <w:jc w:val="left"/>
              <w:rPr>
                <w:szCs w:val="22"/>
              </w:rPr>
            </w:pPr>
            <w:r>
              <w:rPr>
                <w:szCs w:val="22"/>
              </w:rPr>
              <w:t>5,100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Oracle</w:t>
            </w:r>
          </w:p>
        </w:tc>
        <w:tc>
          <w:tcPr>
            <w:tcW w:w="3895" w:type="dxa"/>
            <w:vAlign w:val="bottom"/>
          </w:tcPr>
          <w:p w:rsidR="00D31A70" w:rsidRPr="005B1ADC" w:rsidRDefault="00D31A70" w:rsidP="00D31A70">
            <w:pPr>
              <w:jc w:val="left"/>
              <w:rPr>
                <w:szCs w:val="22"/>
              </w:rPr>
            </w:pPr>
            <w:r w:rsidRPr="005B1ADC">
              <w:rPr>
                <w:szCs w:val="22"/>
              </w:rPr>
              <w:t>Software &amp; Network Computer Systems</w:t>
            </w:r>
          </w:p>
        </w:tc>
        <w:tc>
          <w:tcPr>
            <w:tcW w:w="2257" w:type="dxa"/>
            <w:vAlign w:val="bottom"/>
          </w:tcPr>
          <w:p w:rsidR="00D31A70" w:rsidRPr="005B1ADC" w:rsidRDefault="00D31A70" w:rsidP="00D31A70">
            <w:pPr>
              <w:tabs>
                <w:tab w:val="decimal" w:pos="1269"/>
              </w:tabs>
              <w:jc w:val="left"/>
              <w:rPr>
                <w:szCs w:val="22"/>
              </w:rPr>
            </w:pPr>
            <w:r>
              <w:rPr>
                <w:szCs w:val="22"/>
              </w:rPr>
              <w:t>4,600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JBS Swift &amp; Company</w:t>
            </w:r>
          </w:p>
        </w:tc>
        <w:tc>
          <w:tcPr>
            <w:tcW w:w="3895" w:type="dxa"/>
            <w:vAlign w:val="bottom"/>
          </w:tcPr>
          <w:p w:rsidR="00D31A70" w:rsidRPr="005B1ADC" w:rsidRDefault="00D31A70" w:rsidP="00D31A70">
            <w:pPr>
              <w:jc w:val="left"/>
              <w:rPr>
                <w:szCs w:val="22"/>
              </w:rPr>
            </w:pPr>
            <w:r w:rsidRPr="005B1ADC">
              <w:rPr>
                <w:szCs w:val="22"/>
              </w:rPr>
              <w:t>Beef Processing/Corporate Office</w:t>
            </w:r>
          </w:p>
        </w:tc>
        <w:tc>
          <w:tcPr>
            <w:tcW w:w="2257" w:type="dxa"/>
            <w:vAlign w:val="bottom"/>
          </w:tcPr>
          <w:p w:rsidR="00D31A70" w:rsidRPr="005B1ADC" w:rsidRDefault="00D31A70" w:rsidP="00D31A70">
            <w:pPr>
              <w:tabs>
                <w:tab w:val="decimal" w:pos="1269"/>
              </w:tabs>
              <w:jc w:val="left"/>
              <w:rPr>
                <w:szCs w:val="22"/>
              </w:rPr>
            </w:pPr>
            <w:r>
              <w:rPr>
                <w:szCs w:val="22"/>
              </w:rPr>
              <w:t>4,600</w:t>
            </w:r>
          </w:p>
        </w:tc>
      </w:tr>
      <w:tr w:rsidR="00D31A70" w:rsidRPr="005B1ADC" w:rsidTr="00035611">
        <w:trPr>
          <w:jc w:val="center"/>
        </w:trPr>
        <w:tc>
          <w:tcPr>
            <w:tcW w:w="4249" w:type="dxa"/>
            <w:vAlign w:val="bottom"/>
          </w:tcPr>
          <w:p w:rsidR="00D31A70" w:rsidRPr="005B1ADC" w:rsidRDefault="00D31A70" w:rsidP="00D31A70">
            <w:pPr>
              <w:jc w:val="left"/>
              <w:rPr>
                <w:szCs w:val="22"/>
              </w:rPr>
            </w:pPr>
            <w:r w:rsidRPr="005B1ADC">
              <w:rPr>
                <w:szCs w:val="22"/>
              </w:rPr>
              <w:t>FedEx Corp.</w:t>
            </w:r>
          </w:p>
        </w:tc>
        <w:tc>
          <w:tcPr>
            <w:tcW w:w="3895" w:type="dxa"/>
            <w:vAlign w:val="bottom"/>
          </w:tcPr>
          <w:p w:rsidR="00D31A70" w:rsidRPr="005B1ADC" w:rsidRDefault="00D31A70" w:rsidP="00D31A70">
            <w:pPr>
              <w:jc w:val="left"/>
              <w:rPr>
                <w:szCs w:val="22"/>
              </w:rPr>
            </w:pPr>
            <w:r w:rsidRPr="005B1ADC">
              <w:rPr>
                <w:szCs w:val="22"/>
              </w:rPr>
              <w:t>Transportation, E-commerce</w:t>
            </w:r>
          </w:p>
        </w:tc>
        <w:tc>
          <w:tcPr>
            <w:tcW w:w="2257" w:type="dxa"/>
            <w:vAlign w:val="bottom"/>
          </w:tcPr>
          <w:p w:rsidR="00D31A70" w:rsidRPr="005B1ADC" w:rsidRDefault="00D31A70" w:rsidP="00D31A70">
            <w:pPr>
              <w:tabs>
                <w:tab w:val="decimal" w:pos="1269"/>
              </w:tabs>
              <w:jc w:val="left"/>
              <w:rPr>
                <w:szCs w:val="22"/>
              </w:rPr>
            </w:pPr>
            <w:r>
              <w:rPr>
                <w:szCs w:val="22"/>
              </w:rPr>
              <w:t>4,500</w:t>
            </w:r>
          </w:p>
        </w:tc>
      </w:tr>
      <w:tr w:rsidR="00035611" w:rsidRPr="005B1ADC" w:rsidTr="00035611">
        <w:trPr>
          <w:jc w:val="center"/>
        </w:trPr>
        <w:tc>
          <w:tcPr>
            <w:tcW w:w="4249" w:type="dxa"/>
            <w:vAlign w:val="bottom"/>
          </w:tcPr>
          <w:p w:rsidR="00035611" w:rsidRPr="005B1ADC" w:rsidRDefault="00D31A70" w:rsidP="00035611">
            <w:pPr>
              <w:jc w:val="left"/>
              <w:rPr>
                <w:szCs w:val="22"/>
              </w:rPr>
            </w:pPr>
            <w:r>
              <w:rPr>
                <w:szCs w:val="22"/>
              </w:rPr>
              <w:t>Charles Schwab</w:t>
            </w:r>
          </w:p>
        </w:tc>
        <w:tc>
          <w:tcPr>
            <w:tcW w:w="3895" w:type="dxa"/>
            <w:vAlign w:val="bottom"/>
          </w:tcPr>
          <w:p w:rsidR="00035611" w:rsidRPr="005B1ADC" w:rsidRDefault="00035611" w:rsidP="00035611">
            <w:pPr>
              <w:jc w:val="left"/>
              <w:rPr>
                <w:szCs w:val="22"/>
              </w:rPr>
            </w:pPr>
          </w:p>
        </w:tc>
        <w:tc>
          <w:tcPr>
            <w:tcW w:w="2257" w:type="dxa"/>
            <w:vAlign w:val="bottom"/>
          </w:tcPr>
          <w:p w:rsidR="00035611" w:rsidRPr="005B1ADC" w:rsidRDefault="00D31A70" w:rsidP="00035611">
            <w:pPr>
              <w:tabs>
                <w:tab w:val="decimal" w:pos="1269"/>
              </w:tabs>
              <w:jc w:val="left"/>
              <w:rPr>
                <w:szCs w:val="22"/>
              </w:rPr>
            </w:pPr>
            <w:r>
              <w:rPr>
                <w:szCs w:val="22"/>
              </w:rPr>
              <w:t>4,400</w:t>
            </w:r>
          </w:p>
        </w:tc>
      </w:tr>
      <w:tr w:rsidR="00035611" w:rsidRPr="005B1ADC" w:rsidTr="00035611">
        <w:trPr>
          <w:jc w:val="center"/>
        </w:trPr>
        <w:tc>
          <w:tcPr>
            <w:tcW w:w="4249" w:type="dxa"/>
            <w:vAlign w:val="bottom"/>
          </w:tcPr>
          <w:p w:rsidR="00035611" w:rsidRPr="005B1ADC" w:rsidRDefault="00D31A70" w:rsidP="00035611">
            <w:pPr>
              <w:jc w:val="left"/>
              <w:rPr>
                <w:szCs w:val="22"/>
              </w:rPr>
            </w:pPr>
            <w:r>
              <w:rPr>
                <w:szCs w:val="22"/>
              </w:rPr>
              <w:t>Lowe’s Companies Inc.</w:t>
            </w:r>
          </w:p>
        </w:tc>
        <w:tc>
          <w:tcPr>
            <w:tcW w:w="3895" w:type="dxa"/>
            <w:vAlign w:val="bottom"/>
          </w:tcPr>
          <w:p w:rsidR="00035611" w:rsidRPr="005B1ADC" w:rsidRDefault="00D31A70" w:rsidP="00035611">
            <w:pPr>
              <w:jc w:val="left"/>
              <w:rPr>
                <w:szCs w:val="22"/>
              </w:rPr>
            </w:pPr>
            <w:r>
              <w:rPr>
                <w:szCs w:val="22"/>
              </w:rPr>
              <w:t>Building Materials Retailer</w:t>
            </w:r>
          </w:p>
        </w:tc>
        <w:tc>
          <w:tcPr>
            <w:tcW w:w="2257" w:type="dxa"/>
            <w:vAlign w:val="bottom"/>
          </w:tcPr>
          <w:p w:rsidR="00035611" w:rsidRPr="005B1ADC" w:rsidRDefault="00D31A70" w:rsidP="00035611">
            <w:pPr>
              <w:tabs>
                <w:tab w:val="decimal" w:pos="1269"/>
              </w:tabs>
              <w:jc w:val="left"/>
              <w:rPr>
                <w:szCs w:val="22"/>
              </w:rPr>
            </w:pPr>
            <w:r>
              <w:rPr>
                <w:szCs w:val="22"/>
              </w:rPr>
              <w:t>4,300</w:t>
            </w:r>
          </w:p>
        </w:tc>
      </w:tr>
      <w:tr w:rsidR="00035611" w:rsidRPr="005B1ADC" w:rsidTr="00035611">
        <w:trPr>
          <w:jc w:val="center"/>
        </w:trPr>
        <w:tc>
          <w:tcPr>
            <w:tcW w:w="10401" w:type="dxa"/>
            <w:gridSpan w:val="3"/>
            <w:vAlign w:val="bottom"/>
          </w:tcPr>
          <w:p w:rsidR="00035611" w:rsidRPr="005B1ADC" w:rsidRDefault="00035611" w:rsidP="00035611">
            <w:pPr>
              <w:rPr>
                <w:sz w:val="20"/>
              </w:rPr>
            </w:pPr>
            <w:r w:rsidRPr="005B1ADC">
              <w:rPr>
                <w:sz w:val="20"/>
              </w:rPr>
              <w:t>____________________</w:t>
            </w:r>
          </w:p>
          <w:p w:rsidR="00035611" w:rsidRPr="005B1ADC" w:rsidRDefault="00035611" w:rsidP="00035611">
            <w:pPr>
              <w:rPr>
                <w:sz w:val="20"/>
              </w:rPr>
            </w:pPr>
            <w:r w:rsidRPr="005B1ADC">
              <w:rPr>
                <w:sz w:val="20"/>
                <w:vertAlign w:val="superscript"/>
              </w:rPr>
              <w:t>1</w:t>
            </w:r>
            <w:r w:rsidRPr="005B1ADC">
              <w:rPr>
                <w:sz w:val="20"/>
              </w:rPr>
              <w:t xml:space="preserve"> Includes both full- and part-time employees.</w:t>
            </w:r>
          </w:p>
          <w:p w:rsidR="00035611" w:rsidRPr="005B1ADC" w:rsidRDefault="00035611" w:rsidP="00035611">
            <w:pPr>
              <w:rPr>
                <w:sz w:val="20"/>
              </w:rPr>
            </w:pPr>
            <w:r w:rsidRPr="005B1ADC">
              <w:rPr>
                <w:sz w:val="20"/>
                <w:vertAlign w:val="superscript"/>
              </w:rPr>
              <w:t>2</w:t>
            </w:r>
            <w:r w:rsidRPr="005B1ADC">
              <w:rPr>
                <w:sz w:val="20"/>
              </w:rPr>
              <w:t xml:space="preserve"> Some workers are also included in the employment count for the University of Colorado System (next table).</w:t>
            </w:r>
          </w:p>
          <w:p w:rsidR="00035611" w:rsidRPr="005B1ADC" w:rsidRDefault="00035611" w:rsidP="00D31A70">
            <w:pPr>
              <w:rPr>
                <w:sz w:val="20"/>
              </w:rPr>
            </w:pPr>
            <w:r w:rsidRPr="005B1ADC">
              <w:rPr>
                <w:sz w:val="20"/>
              </w:rPr>
              <w:t>Source: Compiled by Development Research Partners from various sources, May 201</w:t>
            </w:r>
            <w:r w:rsidR="00D31A70">
              <w:rPr>
                <w:sz w:val="20"/>
              </w:rPr>
              <w:t>9</w:t>
            </w:r>
          </w:p>
        </w:tc>
      </w:tr>
    </w:tbl>
    <w:p w:rsidR="00035611" w:rsidRPr="005B1ADC" w:rsidRDefault="00035611" w:rsidP="00035611">
      <w:pPr>
        <w:rPr>
          <w:szCs w:val="22"/>
        </w:rPr>
      </w:pPr>
    </w:p>
    <w:p w:rsidR="00035611" w:rsidRPr="005B1ADC" w:rsidRDefault="00035611" w:rsidP="00035611">
      <w:pPr>
        <w:rPr>
          <w:szCs w:val="22"/>
        </w:rPr>
      </w:pPr>
    </w:p>
    <w:p w:rsidR="0005143E" w:rsidRDefault="0005143E">
      <w:pPr>
        <w:spacing w:after="200" w:line="276" w:lineRule="auto"/>
        <w:jc w:val="left"/>
        <w:rPr>
          <w:szCs w:val="22"/>
        </w:rPr>
      </w:pPr>
      <w:r>
        <w:rPr>
          <w:szCs w:val="22"/>
        </w:rPr>
        <w:br w:type="page"/>
      </w:r>
    </w:p>
    <w:p w:rsidR="0005143E" w:rsidRPr="005B1ADC" w:rsidRDefault="0005143E" w:rsidP="0005143E">
      <w:pPr>
        <w:pStyle w:val="BodyText"/>
        <w:rPr>
          <w:szCs w:val="22"/>
        </w:rPr>
      </w:pPr>
      <w:r w:rsidRPr="005B1ADC">
        <w:rPr>
          <w:szCs w:val="22"/>
        </w:rPr>
        <w:t>The following table shows the largest public sector employers in Colorado based on the most current information available as of May 201</w:t>
      </w:r>
      <w:r>
        <w:rPr>
          <w:szCs w:val="22"/>
        </w:rPr>
        <w:t>9</w:t>
      </w:r>
      <w:r w:rsidRPr="005B1ADC">
        <w:rPr>
          <w:szCs w:val="22"/>
        </w:rPr>
        <w:t>:</w:t>
      </w:r>
    </w:p>
    <w:tbl>
      <w:tblPr>
        <w:tblStyle w:val="TableGrid"/>
        <w:tblW w:w="63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1785"/>
      </w:tblGrid>
      <w:tr w:rsidR="0005143E" w:rsidRPr="005B1ADC" w:rsidTr="00C76115">
        <w:trPr>
          <w:jc w:val="center"/>
        </w:trPr>
        <w:tc>
          <w:tcPr>
            <w:tcW w:w="6328" w:type="dxa"/>
            <w:gridSpan w:val="2"/>
            <w:vAlign w:val="bottom"/>
          </w:tcPr>
          <w:p w:rsidR="0005143E" w:rsidRPr="005B1ADC" w:rsidRDefault="0005143E" w:rsidP="00C76115">
            <w:pPr>
              <w:spacing w:after="240"/>
              <w:jc w:val="center"/>
              <w:rPr>
                <w:b/>
                <w:szCs w:val="22"/>
              </w:rPr>
            </w:pPr>
            <w:r w:rsidRPr="005B1ADC">
              <w:rPr>
                <w:b/>
                <w:szCs w:val="22"/>
              </w:rPr>
              <w:t>Estimated Largest Public Sector Employers in Colorado</w:t>
            </w:r>
          </w:p>
        </w:tc>
      </w:tr>
      <w:tr w:rsidR="0005143E" w:rsidRPr="005B1ADC" w:rsidTr="00C76115">
        <w:trPr>
          <w:jc w:val="center"/>
        </w:trPr>
        <w:tc>
          <w:tcPr>
            <w:tcW w:w="4543" w:type="dxa"/>
            <w:vAlign w:val="bottom"/>
          </w:tcPr>
          <w:p w:rsidR="0005143E" w:rsidRPr="005B1ADC" w:rsidRDefault="0005143E" w:rsidP="00C76115">
            <w:pPr>
              <w:pBdr>
                <w:bottom w:val="single" w:sz="4" w:space="1" w:color="auto"/>
              </w:pBdr>
              <w:spacing w:after="120"/>
              <w:jc w:val="center"/>
              <w:rPr>
                <w:b/>
                <w:szCs w:val="22"/>
              </w:rPr>
            </w:pPr>
            <w:r w:rsidRPr="005B1ADC">
              <w:rPr>
                <w:b/>
                <w:szCs w:val="22"/>
              </w:rPr>
              <w:t>Employer</w:t>
            </w:r>
          </w:p>
        </w:tc>
        <w:tc>
          <w:tcPr>
            <w:tcW w:w="1785" w:type="dxa"/>
            <w:vAlign w:val="bottom"/>
          </w:tcPr>
          <w:p w:rsidR="0005143E" w:rsidRPr="005B1ADC" w:rsidRDefault="0005143E" w:rsidP="00C76115">
            <w:pPr>
              <w:pBdr>
                <w:bottom w:val="single" w:sz="4" w:space="1" w:color="auto"/>
              </w:pBdr>
              <w:spacing w:after="120"/>
              <w:jc w:val="center"/>
              <w:rPr>
                <w:b/>
                <w:szCs w:val="22"/>
              </w:rPr>
            </w:pPr>
            <w:r w:rsidRPr="005B1ADC">
              <w:rPr>
                <w:b/>
                <w:szCs w:val="22"/>
              </w:rPr>
              <w:t>Estimated Employees</w:t>
            </w:r>
            <w:r w:rsidRPr="005B1ADC">
              <w:rPr>
                <w:b/>
                <w:szCs w:val="22"/>
                <w:vertAlign w:val="superscript"/>
              </w:rPr>
              <w:t>1</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State of Colorado</w:t>
            </w:r>
          </w:p>
        </w:tc>
        <w:tc>
          <w:tcPr>
            <w:tcW w:w="1785" w:type="dxa"/>
            <w:vAlign w:val="bottom"/>
          </w:tcPr>
          <w:p w:rsidR="0005143E" w:rsidRPr="005B1ADC" w:rsidRDefault="0005143E" w:rsidP="00C76115">
            <w:pPr>
              <w:tabs>
                <w:tab w:val="decimal" w:pos="1109"/>
              </w:tabs>
              <w:jc w:val="left"/>
              <w:rPr>
                <w:szCs w:val="22"/>
              </w:rPr>
            </w:pPr>
            <w:r>
              <w:rPr>
                <w:szCs w:val="22"/>
              </w:rPr>
              <w:t>55,500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Federal Government (except USPS)</w:t>
            </w:r>
          </w:p>
        </w:tc>
        <w:tc>
          <w:tcPr>
            <w:tcW w:w="1785" w:type="dxa"/>
            <w:vAlign w:val="bottom"/>
          </w:tcPr>
          <w:p w:rsidR="0005143E" w:rsidRPr="005B1ADC" w:rsidRDefault="0005143E" w:rsidP="00C76115">
            <w:pPr>
              <w:tabs>
                <w:tab w:val="decimal" w:pos="1109"/>
              </w:tabs>
              <w:jc w:val="left"/>
              <w:rPr>
                <w:szCs w:val="22"/>
              </w:rPr>
            </w:pPr>
            <w:r>
              <w:rPr>
                <w:szCs w:val="22"/>
              </w:rPr>
              <w:t>42,500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University of Colorado System</w:t>
            </w:r>
            <w:r w:rsidRPr="005B1ADC">
              <w:rPr>
                <w:szCs w:val="22"/>
                <w:vertAlign w:val="superscript"/>
              </w:rPr>
              <w:t>2</w:t>
            </w:r>
          </w:p>
        </w:tc>
        <w:tc>
          <w:tcPr>
            <w:tcW w:w="1785" w:type="dxa"/>
            <w:vAlign w:val="bottom"/>
          </w:tcPr>
          <w:p w:rsidR="0005143E" w:rsidRPr="005B1ADC" w:rsidRDefault="0005143E" w:rsidP="00C76115">
            <w:pPr>
              <w:tabs>
                <w:tab w:val="decimal" w:pos="1109"/>
              </w:tabs>
              <w:jc w:val="left"/>
              <w:rPr>
                <w:szCs w:val="22"/>
              </w:rPr>
            </w:pPr>
            <w:r>
              <w:rPr>
                <w:szCs w:val="22"/>
              </w:rPr>
              <w:t>23,000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Denver Public Schools</w:t>
            </w:r>
          </w:p>
        </w:tc>
        <w:tc>
          <w:tcPr>
            <w:tcW w:w="1785" w:type="dxa"/>
            <w:vAlign w:val="bottom"/>
          </w:tcPr>
          <w:p w:rsidR="0005143E" w:rsidRPr="005B1ADC" w:rsidRDefault="0005143E" w:rsidP="00C76115">
            <w:pPr>
              <w:tabs>
                <w:tab w:val="decimal" w:pos="1109"/>
              </w:tabs>
              <w:jc w:val="left"/>
              <w:rPr>
                <w:szCs w:val="22"/>
              </w:rPr>
            </w:pPr>
            <w:r>
              <w:rPr>
                <w:szCs w:val="22"/>
              </w:rPr>
              <w:t>15,600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City &amp; County of Denver</w:t>
            </w:r>
          </w:p>
        </w:tc>
        <w:tc>
          <w:tcPr>
            <w:tcW w:w="1785" w:type="dxa"/>
            <w:vAlign w:val="bottom"/>
          </w:tcPr>
          <w:p w:rsidR="0005143E" w:rsidRPr="005B1ADC" w:rsidRDefault="0005143E" w:rsidP="00C76115">
            <w:pPr>
              <w:tabs>
                <w:tab w:val="decimal" w:pos="1109"/>
              </w:tabs>
              <w:jc w:val="left"/>
              <w:rPr>
                <w:szCs w:val="22"/>
              </w:rPr>
            </w:pPr>
            <w:r>
              <w:rPr>
                <w:szCs w:val="22"/>
              </w:rPr>
              <w:t>12,400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Jefferson County Public Schools</w:t>
            </w:r>
          </w:p>
        </w:tc>
        <w:tc>
          <w:tcPr>
            <w:tcW w:w="1785" w:type="dxa"/>
            <w:vAlign w:val="bottom"/>
          </w:tcPr>
          <w:p w:rsidR="0005143E" w:rsidRPr="005B1ADC" w:rsidRDefault="0005143E" w:rsidP="00C76115">
            <w:pPr>
              <w:tabs>
                <w:tab w:val="decimal" w:pos="1109"/>
              </w:tabs>
              <w:jc w:val="left"/>
              <w:rPr>
                <w:szCs w:val="22"/>
              </w:rPr>
            </w:pPr>
            <w:r>
              <w:rPr>
                <w:szCs w:val="22"/>
              </w:rPr>
              <w:t>11,400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U.S. Postal Service</w:t>
            </w:r>
          </w:p>
        </w:tc>
        <w:tc>
          <w:tcPr>
            <w:tcW w:w="1785" w:type="dxa"/>
            <w:vAlign w:val="bottom"/>
          </w:tcPr>
          <w:p w:rsidR="0005143E" w:rsidRPr="005B1ADC" w:rsidRDefault="0005143E" w:rsidP="00C76115">
            <w:pPr>
              <w:tabs>
                <w:tab w:val="decimal" w:pos="1109"/>
              </w:tabs>
              <w:jc w:val="left"/>
              <w:rPr>
                <w:szCs w:val="22"/>
              </w:rPr>
            </w:pPr>
            <w:r>
              <w:rPr>
                <w:szCs w:val="22"/>
              </w:rPr>
              <w:t>10,300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Douglas County School District RE-1</w:t>
            </w:r>
          </w:p>
        </w:tc>
        <w:tc>
          <w:tcPr>
            <w:tcW w:w="1785" w:type="dxa"/>
            <w:vAlign w:val="bottom"/>
          </w:tcPr>
          <w:p w:rsidR="0005143E" w:rsidRPr="005B1ADC" w:rsidRDefault="0005143E" w:rsidP="00C76115">
            <w:pPr>
              <w:tabs>
                <w:tab w:val="decimal" w:pos="1109"/>
              </w:tabs>
              <w:jc w:val="left"/>
              <w:rPr>
                <w:szCs w:val="22"/>
              </w:rPr>
            </w:pPr>
            <w:r>
              <w:rPr>
                <w:szCs w:val="22"/>
              </w:rPr>
              <w:t>8,500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Cherry Creek School District No 5</w:t>
            </w:r>
          </w:p>
        </w:tc>
        <w:tc>
          <w:tcPr>
            <w:tcW w:w="1785" w:type="dxa"/>
            <w:vAlign w:val="bottom"/>
          </w:tcPr>
          <w:p w:rsidR="0005143E" w:rsidRPr="005B1ADC" w:rsidRDefault="0005143E" w:rsidP="00C76115">
            <w:pPr>
              <w:tabs>
                <w:tab w:val="decimal" w:pos="1109"/>
              </w:tabs>
              <w:jc w:val="left"/>
              <w:rPr>
                <w:szCs w:val="22"/>
              </w:rPr>
            </w:pPr>
            <w:r>
              <w:rPr>
                <w:szCs w:val="22"/>
              </w:rPr>
              <w:t>7,700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Colorado State University</w:t>
            </w:r>
          </w:p>
        </w:tc>
        <w:tc>
          <w:tcPr>
            <w:tcW w:w="1785" w:type="dxa"/>
            <w:vAlign w:val="bottom"/>
          </w:tcPr>
          <w:p w:rsidR="0005143E" w:rsidRPr="005B1ADC" w:rsidRDefault="0005143E" w:rsidP="00C76115">
            <w:pPr>
              <w:tabs>
                <w:tab w:val="decimal" w:pos="1109"/>
              </w:tabs>
              <w:jc w:val="left"/>
              <w:rPr>
                <w:szCs w:val="22"/>
              </w:rPr>
            </w:pPr>
            <w:r>
              <w:rPr>
                <w:szCs w:val="22"/>
              </w:rPr>
              <w:t>7,600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Denver Health</w:t>
            </w:r>
          </w:p>
        </w:tc>
        <w:tc>
          <w:tcPr>
            <w:tcW w:w="1785" w:type="dxa"/>
            <w:vAlign w:val="bottom"/>
          </w:tcPr>
          <w:p w:rsidR="0005143E" w:rsidRPr="005B1ADC" w:rsidRDefault="0005143E" w:rsidP="00C76115">
            <w:pPr>
              <w:tabs>
                <w:tab w:val="decimal" w:pos="1109"/>
              </w:tabs>
              <w:jc w:val="left"/>
              <w:rPr>
                <w:szCs w:val="22"/>
              </w:rPr>
            </w:pPr>
            <w:r>
              <w:rPr>
                <w:szCs w:val="22"/>
              </w:rPr>
              <w:t>7,200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Aurora Public Schools</w:t>
            </w:r>
          </w:p>
        </w:tc>
        <w:tc>
          <w:tcPr>
            <w:tcW w:w="1785" w:type="dxa"/>
            <w:vAlign w:val="bottom"/>
          </w:tcPr>
          <w:p w:rsidR="0005143E" w:rsidRPr="005B1ADC" w:rsidRDefault="0005143E" w:rsidP="00C76115">
            <w:pPr>
              <w:tabs>
                <w:tab w:val="decimal" w:pos="1109"/>
              </w:tabs>
              <w:jc w:val="left"/>
              <w:rPr>
                <w:szCs w:val="22"/>
              </w:rPr>
            </w:pPr>
            <w:r>
              <w:rPr>
                <w:szCs w:val="22"/>
              </w:rPr>
              <w:t>6,000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Adams 12 Five Star Schools</w:t>
            </w:r>
          </w:p>
        </w:tc>
        <w:tc>
          <w:tcPr>
            <w:tcW w:w="1785" w:type="dxa"/>
            <w:vAlign w:val="bottom"/>
          </w:tcPr>
          <w:p w:rsidR="0005143E" w:rsidRPr="005B1ADC" w:rsidRDefault="0005143E" w:rsidP="00C76115">
            <w:pPr>
              <w:tabs>
                <w:tab w:val="decimal" w:pos="1109"/>
              </w:tabs>
              <w:jc w:val="left"/>
              <w:rPr>
                <w:szCs w:val="22"/>
              </w:rPr>
            </w:pPr>
            <w:r>
              <w:rPr>
                <w:szCs w:val="22"/>
              </w:rPr>
              <w:t>4,800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Boulder Valley School District RE-2</w:t>
            </w:r>
          </w:p>
        </w:tc>
        <w:tc>
          <w:tcPr>
            <w:tcW w:w="1785" w:type="dxa"/>
            <w:vAlign w:val="bottom"/>
          </w:tcPr>
          <w:p w:rsidR="0005143E" w:rsidRPr="005B1ADC" w:rsidRDefault="0005143E" w:rsidP="00C76115">
            <w:pPr>
              <w:tabs>
                <w:tab w:val="decimal" w:pos="1109"/>
              </w:tabs>
              <w:jc w:val="left"/>
              <w:rPr>
                <w:szCs w:val="22"/>
              </w:rPr>
            </w:pPr>
            <w:r>
              <w:rPr>
                <w:szCs w:val="22"/>
              </w:rPr>
              <w:t>4,300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Poudre School District R-1</w:t>
            </w:r>
          </w:p>
        </w:tc>
        <w:tc>
          <w:tcPr>
            <w:tcW w:w="1785" w:type="dxa"/>
            <w:vAlign w:val="bottom"/>
          </w:tcPr>
          <w:p w:rsidR="0005143E" w:rsidRPr="005B1ADC" w:rsidRDefault="0005143E" w:rsidP="00C76115">
            <w:pPr>
              <w:tabs>
                <w:tab w:val="decimal" w:pos="1109"/>
              </w:tabs>
              <w:jc w:val="left"/>
              <w:rPr>
                <w:szCs w:val="22"/>
              </w:rPr>
            </w:pPr>
            <w:r>
              <w:rPr>
                <w:szCs w:val="22"/>
              </w:rPr>
              <w:t>4,100</w:t>
            </w:r>
          </w:p>
        </w:tc>
      </w:tr>
      <w:tr w:rsidR="0005143E" w:rsidRPr="005B1ADC" w:rsidTr="00C76115">
        <w:trPr>
          <w:jc w:val="center"/>
        </w:trPr>
        <w:tc>
          <w:tcPr>
            <w:tcW w:w="4543" w:type="dxa"/>
            <w:vAlign w:val="bottom"/>
          </w:tcPr>
          <w:p w:rsidR="0005143E" w:rsidRPr="005B1ADC" w:rsidRDefault="0005143E" w:rsidP="0005143E">
            <w:pPr>
              <w:jc w:val="left"/>
              <w:rPr>
                <w:szCs w:val="22"/>
              </w:rPr>
            </w:pPr>
            <w:r w:rsidRPr="005B1ADC">
              <w:rPr>
                <w:szCs w:val="22"/>
              </w:rPr>
              <w:t xml:space="preserve">St. </w:t>
            </w:r>
            <w:proofErr w:type="spellStart"/>
            <w:r w:rsidRPr="005B1ADC">
              <w:rPr>
                <w:szCs w:val="22"/>
              </w:rPr>
              <w:t>Vrain</w:t>
            </w:r>
            <w:proofErr w:type="spellEnd"/>
            <w:r w:rsidRPr="005B1ADC">
              <w:rPr>
                <w:szCs w:val="22"/>
              </w:rPr>
              <w:t xml:space="preserve"> Valley School District RE-1J</w:t>
            </w:r>
          </w:p>
        </w:tc>
        <w:tc>
          <w:tcPr>
            <w:tcW w:w="1785" w:type="dxa"/>
            <w:vAlign w:val="bottom"/>
          </w:tcPr>
          <w:p w:rsidR="0005143E" w:rsidRPr="005B1ADC" w:rsidRDefault="0005143E" w:rsidP="0005143E">
            <w:pPr>
              <w:tabs>
                <w:tab w:val="decimal" w:pos="1109"/>
              </w:tabs>
              <w:jc w:val="left"/>
              <w:rPr>
                <w:szCs w:val="22"/>
              </w:rPr>
            </w:pPr>
            <w:r>
              <w:rPr>
                <w:szCs w:val="22"/>
              </w:rPr>
              <w:t>4,000</w:t>
            </w:r>
          </w:p>
        </w:tc>
      </w:tr>
      <w:tr w:rsidR="0005143E" w:rsidRPr="005B1ADC" w:rsidTr="00C76115">
        <w:trPr>
          <w:jc w:val="center"/>
        </w:trPr>
        <w:tc>
          <w:tcPr>
            <w:tcW w:w="4543" w:type="dxa"/>
            <w:vAlign w:val="bottom"/>
          </w:tcPr>
          <w:p w:rsidR="0005143E" w:rsidRPr="005B1ADC" w:rsidRDefault="0005143E" w:rsidP="0005143E">
            <w:pPr>
              <w:jc w:val="left"/>
              <w:rPr>
                <w:szCs w:val="22"/>
              </w:rPr>
            </w:pPr>
            <w:r w:rsidRPr="005B1ADC">
              <w:rPr>
                <w:szCs w:val="22"/>
              </w:rPr>
              <w:t>City of Aurora</w:t>
            </w:r>
          </w:p>
        </w:tc>
        <w:tc>
          <w:tcPr>
            <w:tcW w:w="1785" w:type="dxa"/>
            <w:vAlign w:val="bottom"/>
          </w:tcPr>
          <w:p w:rsidR="0005143E" w:rsidRPr="005B1ADC" w:rsidRDefault="0005143E" w:rsidP="0005143E">
            <w:pPr>
              <w:tabs>
                <w:tab w:val="decimal" w:pos="1109"/>
              </w:tabs>
              <w:jc w:val="left"/>
              <w:rPr>
                <w:szCs w:val="22"/>
              </w:rPr>
            </w:pPr>
            <w:r>
              <w:rPr>
                <w:szCs w:val="22"/>
              </w:rPr>
              <w:t>4,000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Colorado Springs School District 11</w:t>
            </w:r>
          </w:p>
        </w:tc>
        <w:tc>
          <w:tcPr>
            <w:tcW w:w="1785" w:type="dxa"/>
            <w:vAlign w:val="bottom"/>
          </w:tcPr>
          <w:p w:rsidR="0005143E" w:rsidRPr="005B1ADC" w:rsidRDefault="0005143E" w:rsidP="00C76115">
            <w:pPr>
              <w:tabs>
                <w:tab w:val="decimal" w:pos="1109"/>
              </w:tabs>
              <w:jc w:val="left"/>
              <w:rPr>
                <w:szCs w:val="22"/>
              </w:rPr>
            </w:pPr>
            <w:r>
              <w:rPr>
                <w:szCs w:val="22"/>
              </w:rPr>
              <w:t>3,900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Academy Schools District No 20</w:t>
            </w:r>
          </w:p>
        </w:tc>
        <w:tc>
          <w:tcPr>
            <w:tcW w:w="1785" w:type="dxa"/>
            <w:vAlign w:val="bottom"/>
          </w:tcPr>
          <w:p w:rsidR="0005143E" w:rsidRPr="005B1ADC" w:rsidRDefault="0005143E" w:rsidP="00C76115">
            <w:pPr>
              <w:tabs>
                <w:tab w:val="decimal" w:pos="1109"/>
              </w:tabs>
              <w:jc w:val="left"/>
              <w:rPr>
                <w:szCs w:val="22"/>
              </w:rPr>
            </w:pPr>
            <w:r>
              <w:rPr>
                <w:szCs w:val="22"/>
              </w:rPr>
              <w:t>3,600</w:t>
            </w:r>
          </w:p>
        </w:tc>
      </w:tr>
      <w:tr w:rsidR="0005143E" w:rsidRPr="005B1ADC" w:rsidTr="00C76115">
        <w:trPr>
          <w:jc w:val="center"/>
        </w:trPr>
        <w:tc>
          <w:tcPr>
            <w:tcW w:w="4543" w:type="dxa"/>
            <w:vAlign w:val="bottom"/>
          </w:tcPr>
          <w:p w:rsidR="0005143E" w:rsidRPr="005B1ADC" w:rsidRDefault="0005143E" w:rsidP="0005143E">
            <w:pPr>
              <w:jc w:val="left"/>
              <w:rPr>
                <w:szCs w:val="22"/>
              </w:rPr>
            </w:pPr>
            <w:r w:rsidRPr="005B1ADC">
              <w:rPr>
                <w:szCs w:val="22"/>
              </w:rPr>
              <w:t>Jefferson County</w:t>
            </w:r>
          </w:p>
        </w:tc>
        <w:tc>
          <w:tcPr>
            <w:tcW w:w="1785" w:type="dxa"/>
            <w:vAlign w:val="bottom"/>
          </w:tcPr>
          <w:p w:rsidR="0005143E" w:rsidRPr="005B1ADC" w:rsidRDefault="0005143E" w:rsidP="0005143E">
            <w:pPr>
              <w:tabs>
                <w:tab w:val="decimal" w:pos="1109"/>
              </w:tabs>
              <w:jc w:val="left"/>
              <w:rPr>
                <w:szCs w:val="22"/>
              </w:rPr>
            </w:pPr>
            <w:r>
              <w:rPr>
                <w:szCs w:val="22"/>
              </w:rPr>
              <w:t>3,400</w:t>
            </w:r>
          </w:p>
        </w:tc>
      </w:tr>
      <w:tr w:rsidR="0005143E" w:rsidRPr="005B1ADC" w:rsidTr="00C76115">
        <w:trPr>
          <w:jc w:val="center"/>
        </w:trPr>
        <w:tc>
          <w:tcPr>
            <w:tcW w:w="4543" w:type="dxa"/>
            <w:vAlign w:val="bottom"/>
          </w:tcPr>
          <w:p w:rsidR="0005143E" w:rsidRPr="005B1ADC" w:rsidRDefault="0005143E" w:rsidP="0005143E">
            <w:pPr>
              <w:jc w:val="left"/>
              <w:rPr>
                <w:szCs w:val="22"/>
              </w:rPr>
            </w:pPr>
            <w:r w:rsidRPr="005B1ADC">
              <w:rPr>
                <w:szCs w:val="22"/>
              </w:rPr>
              <w:t>Mesa County Valley School District 51</w:t>
            </w:r>
          </w:p>
        </w:tc>
        <w:tc>
          <w:tcPr>
            <w:tcW w:w="1785" w:type="dxa"/>
            <w:vAlign w:val="bottom"/>
          </w:tcPr>
          <w:p w:rsidR="0005143E" w:rsidRPr="005B1ADC" w:rsidRDefault="0005143E" w:rsidP="0005143E">
            <w:pPr>
              <w:tabs>
                <w:tab w:val="decimal" w:pos="1109"/>
              </w:tabs>
              <w:jc w:val="left"/>
              <w:rPr>
                <w:szCs w:val="22"/>
              </w:rPr>
            </w:pPr>
            <w:r>
              <w:rPr>
                <w:szCs w:val="22"/>
              </w:rPr>
              <w:t>2,900</w:t>
            </w:r>
          </w:p>
        </w:tc>
      </w:tr>
      <w:tr w:rsidR="0005143E" w:rsidRPr="005B1ADC" w:rsidTr="00C76115">
        <w:trPr>
          <w:jc w:val="center"/>
        </w:trPr>
        <w:tc>
          <w:tcPr>
            <w:tcW w:w="4543" w:type="dxa"/>
            <w:vAlign w:val="bottom"/>
          </w:tcPr>
          <w:p w:rsidR="0005143E" w:rsidRPr="005B1ADC" w:rsidRDefault="0005143E" w:rsidP="0005143E">
            <w:pPr>
              <w:jc w:val="left"/>
              <w:rPr>
                <w:szCs w:val="22"/>
              </w:rPr>
            </w:pPr>
            <w:r w:rsidRPr="005B1ADC">
              <w:rPr>
                <w:szCs w:val="22"/>
              </w:rPr>
              <w:t>Regional Transportation District (RTD)</w:t>
            </w:r>
          </w:p>
        </w:tc>
        <w:tc>
          <w:tcPr>
            <w:tcW w:w="1785" w:type="dxa"/>
            <w:vAlign w:val="bottom"/>
          </w:tcPr>
          <w:p w:rsidR="0005143E" w:rsidRPr="005B1ADC" w:rsidRDefault="0005143E" w:rsidP="0005143E">
            <w:pPr>
              <w:tabs>
                <w:tab w:val="decimal" w:pos="1109"/>
              </w:tabs>
              <w:jc w:val="left"/>
              <w:rPr>
                <w:szCs w:val="22"/>
              </w:rPr>
            </w:pPr>
            <w:r>
              <w:rPr>
                <w:szCs w:val="22"/>
              </w:rPr>
              <w:t>2,900</w:t>
            </w:r>
          </w:p>
        </w:tc>
      </w:tr>
      <w:tr w:rsidR="0005143E" w:rsidRPr="005B1ADC" w:rsidTr="00C76115">
        <w:trPr>
          <w:jc w:val="center"/>
        </w:trPr>
        <w:tc>
          <w:tcPr>
            <w:tcW w:w="4543" w:type="dxa"/>
            <w:vAlign w:val="bottom"/>
          </w:tcPr>
          <w:p w:rsidR="0005143E" w:rsidRPr="005B1ADC" w:rsidRDefault="0005143E" w:rsidP="00C76115">
            <w:pPr>
              <w:jc w:val="left"/>
              <w:rPr>
                <w:szCs w:val="22"/>
              </w:rPr>
            </w:pPr>
            <w:r w:rsidRPr="005B1ADC">
              <w:rPr>
                <w:szCs w:val="22"/>
              </w:rPr>
              <w:t>El Paso County</w:t>
            </w:r>
          </w:p>
        </w:tc>
        <w:tc>
          <w:tcPr>
            <w:tcW w:w="1785" w:type="dxa"/>
            <w:vAlign w:val="bottom"/>
          </w:tcPr>
          <w:p w:rsidR="0005143E" w:rsidRPr="005B1ADC" w:rsidRDefault="0005143E" w:rsidP="00C76115">
            <w:pPr>
              <w:tabs>
                <w:tab w:val="decimal" w:pos="1109"/>
              </w:tabs>
              <w:jc w:val="left"/>
              <w:rPr>
                <w:szCs w:val="22"/>
              </w:rPr>
            </w:pPr>
            <w:r>
              <w:rPr>
                <w:szCs w:val="22"/>
              </w:rPr>
              <w:t>2,800</w:t>
            </w:r>
          </w:p>
        </w:tc>
      </w:tr>
      <w:tr w:rsidR="0005143E" w:rsidRPr="005B1ADC" w:rsidTr="00C76115">
        <w:trPr>
          <w:jc w:val="center"/>
        </w:trPr>
        <w:tc>
          <w:tcPr>
            <w:tcW w:w="4543" w:type="dxa"/>
            <w:vAlign w:val="bottom"/>
          </w:tcPr>
          <w:p w:rsidR="0005143E" w:rsidRPr="005B1ADC" w:rsidRDefault="0005143E" w:rsidP="0005143E">
            <w:pPr>
              <w:jc w:val="left"/>
              <w:rPr>
                <w:szCs w:val="22"/>
              </w:rPr>
            </w:pPr>
            <w:r w:rsidRPr="005B1ADC">
              <w:rPr>
                <w:szCs w:val="22"/>
              </w:rPr>
              <w:t>Greeley</w:t>
            </w:r>
            <w:r>
              <w:rPr>
                <w:szCs w:val="22"/>
              </w:rPr>
              <w:t xml:space="preserve">-Evans </w:t>
            </w:r>
            <w:r w:rsidRPr="005B1ADC">
              <w:rPr>
                <w:szCs w:val="22"/>
              </w:rPr>
              <w:t>School District</w:t>
            </w:r>
            <w:r>
              <w:rPr>
                <w:szCs w:val="22"/>
              </w:rPr>
              <w:t xml:space="preserve"> 6</w:t>
            </w:r>
          </w:p>
        </w:tc>
        <w:tc>
          <w:tcPr>
            <w:tcW w:w="1785" w:type="dxa"/>
            <w:vAlign w:val="bottom"/>
          </w:tcPr>
          <w:p w:rsidR="0005143E" w:rsidRPr="005B1ADC" w:rsidRDefault="0005143E" w:rsidP="00C76115">
            <w:pPr>
              <w:tabs>
                <w:tab w:val="decimal" w:pos="1109"/>
              </w:tabs>
              <w:jc w:val="left"/>
              <w:rPr>
                <w:szCs w:val="22"/>
              </w:rPr>
            </w:pPr>
            <w:r>
              <w:rPr>
                <w:szCs w:val="22"/>
              </w:rPr>
              <w:t>2,600</w:t>
            </w:r>
          </w:p>
        </w:tc>
      </w:tr>
      <w:tr w:rsidR="0005143E" w:rsidRPr="005B1ADC" w:rsidTr="00C76115">
        <w:trPr>
          <w:jc w:val="center"/>
        </w:trPr>
        <w:tc>
          <w:tcPr>
            <w:tcW w:w="4543" w:type="dxa"/>
            <w:vAlign w:val="bottom"/>
          </w:tcPr>
          <w:p w:rsidR="0005143E" w:rsidRPr="005B1ADC" w:rsidRDefault="0005143E" w:rsidP="00C76115">
            <w:pPr>
              <w:jc w:val="left"/>
              <w:rPr>
                <w:szCs w:val="22"/>
              </w:rPr>
            </w:pPr>
            <w:r>
              <w:rPr>
                <w:szCs w:val="22"/>
              </w:rPr>
              <w:t>Arapahoe County</w:t>
            </w:r>
          </w:p>
        </w:tc>
        <w:tc>
          <w:tcPr>
            <w:tcW w:w="1785" w:type="dxa"/>
            <w:vAlign w:val="bottom"/>
          </w:tcPr>
          <w:p w:rsidR="0005143E" w:rsidRPr="005B1ADC" w:rsidRDefault="0005143E" w:rsidP="00C76115">
            <w:pPr>
              <w:tabs>
                <w:tab w:val="decimal" w:pos="1109"/>
              </w:tabs>
              <w:jc w:val="left"/>
              <w:rPr>
                <w:szCs w:val="22"/>
              </w:rPr>
            </w:pPr>
            <w:r>
              <w:rPr>
                <w:szCs w:val="22"/>
              </w:rPr>
              <w:t>2,600</w:t>
            </w:r>
          </w:p>
        </w:tc>
      </w:tr>
      <w:tr w:rsidR="0005143E" w:rsidRPr="005B1ADC" w:rsidTr="00C76115">
        <w:trPr>
          <w:jc w:val="center"/>
        </w:trPr>
        <w:tc>
          <w:tcPr>
            <w:tcW w:w="6328" w:type="dxa"/>
            <w:gridSpan w:val="2"/>
            <w:vAlign w:val="bottom"/>
          </w:tcPr>
          <w:p w:rsidR="0005143E" w:rsidRPr="005B1ADC" w:rsidRDefault="0005143E" w:rsidP="00C76115">
            <w:pPr>
              <w:rPr>
                <w:sz w:val="20"/>
              </w:rPr>
            </w:pPr>
            <w:r w:rsidRPr="005B1ADC">
              <w:rPr>
                <w:sz w:val="20"/>
              </w:rPr>
              <w:t>____________________</w:t>
            </w:r>
          </w:p>
          <w:p w:rsidR="0005143E" w:rsidRPr="005B1ADC" w:rsidRDefault="0005143E" w:rsidP="00C76115">
            <w:pPr>
              <w:rPr>
                <w:sz w:val="20"/>
              </w:rPr>
            </w:pPr>
            <w:r w:rsidRPr="005B1ADC">
              <w:rPr>
                <w:sz w:val="20"/>
                <w:vertAlign w:val="superscript"/>
              </w:rPr>
              <w:t>1</w:t>
            </w:r>
            <w:r w:rsidRPr="005B1ADC">
              <w:rPr>
                <w:sz w:val="20"/>
              </w:rPr>
              <w:t xml:space="preserve"> Includes both full- and part-time employees.</w:t>
            </w:r>
          </w:p>
          <w:p w:rsidR="0005143E" w:rsidRPr="005B1ADC" w:rsidRDefault="0005143E" w:rsidP="00C76115">
            <w:pPr>
              <w:rPr>
                <w:sz w:val="20"/>
              </w:rPr>
            </w:pPr>
            <w:r w:rsidRPr="005B1ADC">
              <w:rPr>
                <w:sz w:val="20"/>
                <w:vertAlign w:val="superscript"/>
              </w:rPr>
              <w:t>2</w:t>
            </w:r>
            <w:r w:rsidRPr="005B1ADC">
              <w:rPr>
                <w:sz w:val="20"/>
              </w:rPr>
              <w:t xml:space="preserve"> Some workers are also included in the employment count for </w:t>
            </w:r>
            <w:proofErr w:type="spellStart"/>
            <w:r w:rsidRPr="005B1ADC">
              <w:rPr>
                <w:sz w:val="20"/>
              </w:rPr>
              <w:t>UCHealth</w:t>
            </w:r>
            <w:proofErr w:type="spellEnd"/>
            <w:r w:rsidRPr="005B1ADC">
              <w:rPr>
                <w:sz w:val="20"/>
              </w:rPr>
              <w:t xml:space="preserve"> (previous table).</w:t>
            </w:r>
          </w:p>
          <w:p w:rsidR="0005143E" w:rsidRPr="005B1ADC" w:rsidRDefault="0005143E" w:rsidP="0005143E">
            <w:pPr>
              <w:rPr>
                <w:sz w:val="20"/>
              </w:rPr>
            </w:pPr>
            <w:r w:rsidRPr="005B1ADC">
              <w:rPr>
                <w:sz w:val="20"/>
              </w:rPr>
              <w:t>Source: Compiled by Development Research Partners from various sources, May 201</w:t>
            </w:r>
            <w:r>
              <w:rPr>
                <w:sz w:val="20"/>
              </w:rPr>
              <w:t>9</w:t>
            </w:r>
          </w:p>
        </w:tc>
      </w:tr>
    </w:tbl>
    <w:p w:rsidR="0005143E" w:rsidRPr="005B1ADC" w:rsidRDefault="0005143E" w:rsidP="0005143E">
      <w:pPr>
        <w:rPr>
          <w:szCs w:val="22"/>
        </w:rPr>
      </w:pPr>
    </w:p>
    <w:p w:rsidR="0005143E" w:rsidRPr="005B1ADC" w:rsidRDefault="0005143E" w:rsidP="0005143E">
      <w:pPr>
        <w:rPr>
          <w:szCs w:val="22"/>
        </w:rPr>
      </w:pPr>
    </w:p>
    <w:p w:rsidR="0029462A" w:rsidRDefault="0029462A">
      <w:pPr>
        <w:spacing w:after="200" w:line="276" w:lineRule="auto"/>
        <w:jc w:val="left"/>
        <w:rPr>
          <w:b/>
          <w:szCs w:val="22"/>
        </w:rPr>
      </w:pPr>
      <w:r>
        <w:rPr>
          <w:szCs w:val="22"/>
        </w:rPr>
        <w:br w:type="page"/>
      </w:r>
    </w:p>
    <w:p w:rsidR="0029462A" w:rsidRPr="005B1ADC" w:rsidRDefault="0029462A" w:rsidP="0029462A">
      <w:pPr>
        <w:pStyle w:val="LeftHeading"/>
        <w:rPr>
          <w:szCs w:val="22"/>
        </w:rPr>
      </w:pPr>
      <w:r w:rsidRPr="005B1ADC">
        <w:rPr>
          <w:szCs w:val="22"/>
        </w:rPr>
        <w:t>Retail Sales</w:t>
      </w:r>
    </w:p>
    <w:p w:rsidR="0029462A" w:rsidRPr="005B1ADC" w:rsidRDefault="0029462A" w:rsidP="0029462A">
      <w:pPr>
        <w:pStyle w:val="BodyText"/>
        <w:rPr>
          <w:szCs w:val="22"/>
        </w:rPr>
      </w:pPr>
      <w:r w:rsidRPr="005B1ADC">
        <w:rPr>
          <w:szCs w:val="22"/>
        </w:rPr>
        <w:t>The following table provides recent annual sales figures as reported for state sales tax purposes: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1424"/>
        <w:gridCol w:w="1387"/>
        <w:gridCol w:w="1422"/>
        <w:gridCol w:w="1391"/>
        <w:gridCol w:w="1317"/>
        <w:gridCol w:w="1259"/>
      </w:tblGrid>
      <w:tr w:rsidR="007745D8" w:rsidRPr="005B1ADC" w:rsidTr="00C76115">
        <w:trPr>
          <w:jc w:val="center"/>
        </w:trPr>
        <w:tc>
          <w:tcPr>
            <w:tcW w:w="9360" w:type="dxa"/>
            <w:gridSpan w:val="7"/>
            <w:vAlign w:val="bottom"/>
          </w:tcPr>
          <w:p w:rsidR="007745D8" w:rsidRPr="005B1ADC" w:rsidRDefault="007745D8" w:rsidP="007745D8">
            <w:pPr>
              <w:spacing w:after="120"/>
              <w:jc w:val="center"/>
              <w:rPr>
                <w:b/>
                <w:szCs w:val="22"/>
              </w:rPr>
            </w:pPr>
            <w:r>
              <w:rPr>
                <w:b/>
                <w:szCs w:val="22"/>
              </w:rPr>
              <w:t>Colorado Sales and Use Tax Net Collections</w:t>
            </w:r>
            <w:r>
              <w:rPr>
                <w:b/>
                <w:szCs w:val="22"/>
              </w:rPr>
              <w:br/>
              <w:t>Fiscal Years 2014 to 2018</w:t>
            </w:r>
          </w:p>
        </w:tc>
      </w:tr>
      <w:tr w:rsidR="009512AE" w:rsidRPr="005B1ADC" w:rsidTr="00C76115">
        <w:trPr>
          <w:jc w:val="center"/>
        </w:trPr>
        <w:tc>
          <w:tcPr>
            <w:tcW w:w="1178" w:type="dxa"/>
            <w:vAlign w:val="bottom"/>
          </w:tcPr>
          <w:p w:rsidR="007745D8" w:rsidRPr="005B1ADC" w:rsidRDefault="007745D8" w:rsidP="007745D8">
            <w:pPr>
              <w:spacing w:after="120"/>
              <w:jc w:val="center"/>
              <w:rPr>
                <w:b/>
                <w:szCs w:val="22"/>
              </w:rPr>
            </w:pPr>
          </w:p>
        </w:tc>
        <w:tc>
          <w:tcPr>
            <w:tcW w:w="2824" w:type="dxa"/>
            <w:gridSpan w:val="2"/>
            <w:vAlign w:val="bottom"/>
          </w:tcPr>
          <w:p w:rsidR="007745D8" w:rsidRPr="005B1ADC" w:rsidRDefault="007745D8" w:rsidP="00C76115">
            <w:pPr>
              <w:pBdr>
                <w:bottom w:val="single" w:sz="4" w:space="1" w:color="auto"/>
              </w:pBdr>
              <w:spacing w:after="120"/>
              <w:jc w:val="center"/>
              <w:rPr>
                <w:b/>
                <w:szCs w:val="22"/>
              </w:rPr>
            </w:pPr>
            <w:r>
              <w:rPr>
                <w:b/>
                <w:szCs w:val="22"/>
              </w:rPr>
              <w:t>Sales Tax</w:t>
            </w:r>
          </w:p>
        </w:tc>
        <w:tc>
          <w:tcPr>
            <w:tcW w:w="2824" w:type="dxa"/>
            <w:gridSpan w:val="2"/>
            <w:vAlign w:val="bottom"/>
          </w:tcPr>
          <w:p w:rsidR="007745D8" w:rsidRPr="005B1ADC" w:rsidRDefault="007745D8" w:rsidP="00C76115">
            <w:pPr>
              <w:pBdr>
                <w:bottom w:val="single" w:sz="4" w:space="1" w:color="auto"/>
              </w:pBdr>
              <w:spacing w:after="120"/>
              <w:jc w:val="center"/>
              <w:rPr>
                <w:b/>
                <w:szCs w:val="22"/>
              </w:rPr>
            </w:pPr>
            <w:r>
              <w:rPr>
                <w:b/>
                <w:szCs w:val="22"/>
              </w:rPr>
              <w:t>Consumer Use Tax</w:t>
            </w:r>
          </w:p>
        </w:tc>
        <w:tc>
          <w:tcPr>
            <w:tcW w:w="2534" w:type="dxa"/>
            <w:gridSpan w:val="2"/>
          </w:tcPr>
          <w:p w:rsidR="007745D8" w:rsidRPr="005B1ADC" w:rsidRDefault="007745D8" w:rsidP="00C76115">
            <w:pPr>
              <w:pBdr>
                <w:bottom w:val="single" w:sz="4" w:space="1" w:color="auto"/>
              </w:pBdr>
              <w:spacing w:after="120"/>
              <w:jc w:val="center"/>
              <w:rPr>
                <w:b/>
                <w:szCs w:val="22"/>
              </w:rPr>
            </w:pPr>
            <w:r>
              <w:rPr>
                <w:b/>
                <w:szCs w:val="22"/>
              </w:rPr>
              <w:t>Retailer Use Tax</w:t>
            </w:r>
          </w:p>
        </w:tc>
      </w:tr>
      <w:tr w:rsidR="009512AE" w:rsidRPr="005B1ADC" w:rsidTr="00C76115">
        <w:trPr>
          <w:jc w:val="center"/>
        </w:trPr>
        <w:tc>
          <w:tcPr>
            <w:tcW w:w="1178" w:type="dxa"/>
            <w:vAlign w:val="bottom"/>
          </w:tcPr>
          <w:p w:rsidR="007745D8" w:rsidRPr="005B1ADC" w:rsidRDefault="007745D8" w:rsidP="007745D8">
            <w:pPr>
              <w:spacing w:after="120"/>
              <w:jc w:val="center"/>
              <w:rPr>
                <w:b/>
                <w:szCs w:val="22"/>
              </w:rPr>
            </w:pPr>
          </w:p>
        </w:tc>
        <w:tc>
          <w:tcPr>
            <w:tcW w:w="1428" w:type="dxa"/>
            <w:vAlign w:val="bottom"/>
          </w:tcPr>
          <w:p w:rsidR="007745D8" w:rsidRPr="005B1ADC" w:rsidRDefault="007745D8" w:rsidP="007745D8">
            <w:pPr>
              <w:pBdr>
                <w:bottom w:val="single" w:sz="4" w:space="1" w:color="auto"/>
              </w:pBdr>
              <w:spacing w:after="120"/>
              <w:jc w:val="center"/>
              <w:rPr>
                <w:b/>
                <w:szCs w:val="22"/>
              </w:rPr>
            </w:pPr>
            <w:r w:rsidRPr="005B1ADC">
              <w:rPr>
                <w:b/>
                <w:szCs w:val="22"/>
              </w:rPr>
              <w:t>Amount (</w:t>
            </w:r>
            <w:r>
              <w:rPr>
                <w:b/>
                <w:szCs w:val="22"/>
              </w:rPr>
              <w:t>thousand</w:t>
            </w:r>
            <w:r w:rsidRPr="005B1ADC">
              <w:rPr>
                <w:b/>
                <w:szCs w:val="22"/>
              </w:rPr>
              <w:t>s)</w:t>
            </w:r>
          </w:p>
        </w:tc>
        <w:tc>
          <w:tcPr>
            <w:tcW w:w="1396" w:type="dxa"/>
            <w:vAlign w:val="bottom"/>
          </w:tcPr>
          <w:p w:rsidR="007745D8" w:rsidRPr="005B1ADC" w:rsidRDefault="007745D8" w:rsidP="007745D8">
            <w:pPr>
              <w:pBdr>
                <w:bottom w:val="single" w:sz="4" w:space="1" w:color="auto"/>
              </w:pBdr>
              <w:spacing w:after="120"/>
              <w:jc w:val="center"/>
              <w:rPr>
                <w:b/>
                <w:szCs w:val="22"/>
              </w:rPr>
            </w:pPr>
            <w:r w:rsidRPr="005B1ADC">
              <w:rPr>
                <w:b/>
                <w:szCs w:val="22"/>
              </w:rPr>
              <w:t>%</w:t>
            </w:r>
            <w:r w:rsidRPr="005B1ADC">
              <w:rPr>
                <w:b/>
                <w:szCs w:val="22"/>
              </w:rPr>
              <w:br/>
              <w:t>Change</w:t>
            </w:r>
          </w:p>
        </w:tc>
        <w:tc>
          <w:tcPr>
            <w:tcW w:w="1426" w:type="dxa"/>
            <w:vAlign w:val="bottom"/>
          </w:tcPr>
          <w:p w:rsidR="007745D8" w:rsidRPr="005B1ADC" w:rsidRDefault="007745D8" w:rsidP="007745D8">
            <w:pPr>
              <w:pBdr>
                <w:bottom w:val="single" w:sz="4" w:space="1" w:color="auto"/>
              </w:pBdr>
              <w:spacing w:after="120"/>
              <w:jc w:val="center"/>
              <w:rPr>
                <w:b/>
                <w:szCs w:val="22"/>
              </w:rPr>
            </w:pPr>
            <w:r w:rsidRPr="005B1ADC">
              <w:rPr>
                <w:b/>
                <w:szCs w:val="22"/>
              </w:rPr>
              <w:t>Amount (</w:t>
            </w:r>
            <w:r>
              <w:rPr>
                <w:b/>
                <w:szCs w:val="22"/>
              </w:rPr>
              <w:t>thousand</w:t>
            </w:r>
            <w:r w:rsidRPr="005B1ADC">
              <w:rPr>
                <w:b/>
                <w:szCs w:val="22"/>
              </w:rPr>
              <w:t>s)</w:t>
            </w:r>
          </w:p>
        </w:tc>
        <w:tc>
          <w:tcPr>
            <w:tcW w:w="1398" w:type="dxa"/>
            <w:vAlign w:val="bottom"/>
          </w:tcPr>
          <w:p w:rsidR="007745D8" w:rsidRPr="005B1ADC" w:rsidRDefault="007745D8" w:rsidP="007745D8">
            <w:pPr>
              <w:pBdr>
                <w:bottom w:val="single" w:sz="4" w:space="1" w:color="auto"/>
              </w:pBdr>
              <w:spacing w:after="120"/>
              <w:jc w:val="center"/>
              <w:rPr>
                <w:b/>
                <w:szCs w:val="22"/>
              </w:rPr>
            </w:pPr>
            <w:r w:rsidRPr="005B1ADC">
              <w:rPr>
                <w:b/>
                <w:szCs w:val="22"/>
              </w:rPr>
              <w:t>%</w:t>
            </w:r>
            <w:r w:rsidRPr="005B1ADC">
              <w:rPr>
                <w:b/>
                <w:szCs w:val="22"/>
              </w:rPr>
              <w:br/>
              <w:t>Change</w:t>
            </w:r>
          </w:p>
        </w:tc>
        <w:tc>
          <w:tcPr>
            <w:tcW w:w="1267" w:type="dxa"/>
            <w:vAlign w:val="bottom"/>
          </w:tcPr>
          <w:p w:rsidR="007745D8" w:rsidRPr="005B1ADC" w:rsidRDefault="007745D8" w:rsidP="007745D8">
            <w:pPr>
              <w:pBdr>
                <w:bottom w:val="single" w:sz="4" w:space="1" w:color="auto"/>
              </w:pBdr>
              <w:spacing w:after="120"/>
              <w:jc w:val="center"/>
              <w:rPr>
                <w:b/>
                <w:szCs w:val="22"/>
              </w:rPr>
            </w:pPr>
            <w:r w:rsidRPr="005B1ADC">
              <w:rPr>
                <w:b/>
                <w:szCs w:val="22"/>
              </w:rPr>
              <w:t>Amount (</w:t>
            </w:r>
            <w:r>
              <w:rPr>
                <w:b/>
                <w:szCs w:val="22"/>
              </w:rPr>
              <w:t>thousand</w:t>
            </w:r>
            <w:r w:rsidRPr="005B1ADC">
              <w:rPr>
                <w:b/>
                <w:szCs w:val="22"/>
              </w:rPr>
              <w:t>s)</w:t>
            </w:r>
          </w:p>
        </w:tc>
        <w:tc>
          <w:tcPr>
            <w:tcW w:w="1267" w:type="dxa"/>
            <w:vAlign w:val="bottom"/>
          </w:tcPr>
          <w:p w:rsidR="007745D8" w:rsidRPr="005B1ADC" w:rsidRDefault="007745D8" w:rsidP="007745D8">
            <w:pPr>
              <w:pBdr>
                <w:bottom w:val="single" w:sz="4" w:space="1" w:color="auto"/>
              </w:pBdr>
              <w:spacing w:after="120"/>
              <w:jc w:val="center"/>
              <w:rPr>
                <w:b/>
                <w:szCs w:val="22"/>
              </w:rPr>
            </w:pPr>
            <w:r w:rsidRPr="005B1ADC">
              <w:rPr>
                <w:b/>
                <w:szCs w:val="22"/>
              </w:rPr>
              <w:t>%</w:t>
            </w:r>
            <w:r w:rsidRPr="005B1ADC">
              <w:rPr>
                <w:b/>
                <w:szCs w:val="22"/>
              </w:rPr>
              <w:br/>
              <w:t>Change</w:t>
            </w:r>
          </w:p>
        </w:tc>
      </w:tr>
      <w:tr w:rsidR="009512AE" w:rsidRPr="005B1ADC" w:rsidTr="0029462A">
        <w:trPr>
          <w:jc w:val="center"/>
        </w:trPr>
        <w:tc>
          <w:tcPr>
            <w:tcW w:w="1178" w:type="dxa"/>
            <w:vAlign w:val="bottom"/>
          </w:tcPr>
          <w:p w:rsidR="0029462A" w:rsidRPr="005B1ADC" w:rsidRDefault="009512AE" w:rsidP="00C76115">
            <w:pPr>
              <w:jc w:val="center"/>
              <w:rPr>
                <w:szCs w:val="22"/>
              </w:rPr>
            </w:pPr>
            <w:r>
              <w:rPr>
                <w:szCs w:val="22"/>
              </w:rPr>
              <w:t>2014</w:t>
            </w:r>
          </w:p>
        </w:tc>
        <w:tc>
          <w:tcPr>
            <w:tcW w:w="1428" w:type="dxa"/>
            <w:vAlign w:val="bottom"/>
          </w:tcPr>
          <w:p w:rsidR="0029462A" w:rsidRPr="005B1ADC" w:rsidRDefault="009512AE" w:rsidP="009512AE">
            <w:pPr>
              <w:tabs>
                <w:tab w:val="decimal" w:pos="1066"/>
              </w:tabs>
              <w:jc w:val="left"/>
              <w:rPr>
                <w:szCs w:val="22"/>
              </w:rPr>
            </w:pPr>
            <w:r>
              <w:rPr>
                <w:szCs w:val="22"/>
              </w:rPr>
              <w:t>$2,371,992</w:t>
            </w:r>
          </w:p>
        </w:tc>
        <w:tc>
          <w:tcPr>
            <w:tcW w:w="1396" w:type="dxa"/>
            <w:vAlign w:val="bottom"/>
          </w:tcPr>
          <w:p w:rsidR="0029462A" w:rsidRPr="005B1ADC" w:rsidRDefault="009512AE" w:rsidP="009512AE">
            <w:pPr>
              <w:tabs>
                <w:tab w:val="decimal" w:pos="563"/>
              </w:tabs>
              <w:jc w:val="left"/>
              <w:rPr>
                <w:szCs w:val="22"/>
              </w:rPr>
            </w:pPr>
            <w:r>
              <w:rPr>
                <w:szCs w:val="22"/>
              </w:rPr>
              <w:t>8.4%</w:t>
            </w:r>
          </w:p>
        </w:tc>
        <w:tc>
          <w:tcPr>
            <w:tcW w:w="1426" w:type="dxa"/>
            <w:vAlign w:val="bottom"/>
          </w:tcPr>
          <w:p w:rsidR="0029462A" w:rsidRPr="005B1ADC" w:rsidRDefault="009512AE" w:rsidP="009512AE">
            <w:pPr>
              <w:tabs>
                <w:tab w:val="decimal" w:pos="955"/>
              </w:tabs>
              <w:jc w:val="left"/>
              <w:rPr>
                <w:szCs w:val="22"/>
              </w:rPr>
            </w:pPr>
            <w:r>
              <w:rPr>
                <w:szCs w:val="22"/>
              </w:rPr>
              <w:t>$116,268</w:t>
            </w:r>
          </w:p>
        </w:tc>
        <w:tc>
          <w:tcPr>
            <w:tcW w:w="1398" w:type="dxa"/>
            <w:vAlign w:val="bottom"/>
          </w:tcPr>
          <w:p w:rsidR="0029462A" w:rsidRPr="005B1ADC" w:rsidRDefault="009512AE" w:rsidP="009512AE">
            <w:pPr>
              <w:tabs>
                <w:tab w:val="decimal" w:pos="618"/>
              </w:tabs>
              <w:jc w:val="left"/>
              <w:rPr>
                <w:szCs w:val="22"/>
              </w:rPr>
            </w:pPr>
            <w:r>
              <w:rPr>
                <w:szCs w:val="22"/>
              </w:rPr>
              <w:t>5.5%</w:t>
            </w:r>
          </w:p>
        </w:tc>
        <w:tc>
          <w:tcPr>
            <w:tcW w:w="1267" w:type="dxa"/>
          </w:tcPr>
          <w:p w:rsidR="0029462A" w:rsidRDefault="009512AE" w:rsidP="009512AE">
            <w:pPr>
              <w:tabs>
                <w:tab w:val="decimal" w:pos="888"/>
              </w:tabs>
              <w:jc w:val="left"/>
              <w:rPr>
                <w:szCs w:val="22"/>
              </w:rPr>
            </w:pPr>
            <w:r>
              <w:rPr>
                <w:szCs w:val="22"/>
              </w:rPr>
              <w:t>$125,209</w:t>
            </w:r>
          </w:p>
        </w:tc>
        <w:tc>
          <w:tcPr>
            <w:tcW w:w="1267" w:type="dxa"/>
          </w:tcPr>
          <w:p w:rsidR="0029462A" w:rsidRDefault="009512AE" w:rsidP="009512AE">
            <w:pPr>
              <w:tabs>
                <w:tab w:val="decimal" w:pos="453"/>
              </w:tabs>
              <w:jc w:val="left"/>
              <w:rPr>
                <w:szCs w:val="22"/>
              </w:rPr>
            </w:pPr>
            <w:r>
              <w:rPr>
                <w:szCs w:val="22"/>
              </w:rPr>
              <w:t>4.9%</w:t>
            </w:r>
          </w:p>
        </w:tc>
      </w:tr>
      <w:tr w:rsidR="009512AE" w:rsidRPr="005B1ADC" w:rsidTr="0029462A">
        <w:trPr>
          <w:jc w:val="center"/>
        </w:trPr>
        <w:tc>
          <w:tcPr>
            <w:tcW w:w="1178" w:type="dxa"/>
            <w:vAlign w:val="bottom"/>
          </w:tcPr>
          <w:p w:rsidR="0029462A" w:rsidRPr="005B1ADC" w:rsidRDefault="009512AE" w:rsidP="00C76115">
            <w:pPr>
              <w:jc w:val="center"/>
              <w:rPr>
                <w:szCs w:val="22"/>
              </w:rPr>
            </w:pPr>
            <w:r>
              <w:rPr>
                <w:szCs w:val="22"/>
              </w:rPr>
              <w:t>2015</w:t>
            </w:r>
          </w:p>
        </w:tc>
        <w:tc>
          <w:tcPr>
            <w:tcW w:w="1428" w:type="dxa"/>
            <w:vAlign w:val="bottom"/>
          </w:tcPr>
          <w:p w:rsidR="0029462A" w:rsidRPr="005B1ADC" w:rsidRDefault="009512AE" w:rsidP="009512AE">
            <w:pPr>
              <w:tabs>
                <w:tab w:val="decimal" w:pos="1066"/>
              </w:tabs>
              <w:jc w:val="left"/>
              <w:rPr>
                <w:szCs w:val="22"/>
              </w:rPr>
            </w:pPr>
            <w:r>
              <w:rPr>
                <w:szCs w:val="22"/>
              </w:rPr>
              <w:t>2,561,913</w:t>
            </w:r>
          </w:p>
        </w:tc>
        <w:tc>
          <w:tcPr>
            <w:tcW w:w="1396" w:type="dxa"/>
            <w:vAlign w:val="bottom"/>
          </w:tcPr>
          <w:p w:rsidR="0029462A" w:rsidRPr="005B1ADC" w:rsidRDefault="009512AE" w:rsidP="00C76115">
            <w:pPr>
              <w:tabs>
                <w:tab w:val="decimal" w:pos="590"/>
              </w:tabs>
              <w:jc w:val="left"/>
              <w:rPr>
                <w:szCs w:val="22"/>
              </w:rPr>
            </w:pPr>
            <w:r>
              <w:rPr>
                <w:szCs w:val="22"/>
              </w:rPr>
              <w:t>8.0</w:t>
            </w:r>
          </w:p>
        </w:tc>
        <w:tc>
          <w:tcPr>
            <w:tcW w:w="1426" w:type="dxa"/>
            <w:vAlign w:val="bottom"/>
          </w:tcPr>
          <w:p w:rsidR="0029462A" w:rsidRPr="005B1ADC" w:rsidRDefault="009512AE" w:rsidP="009512AE">
            <w:pPr>
              <w:tabs>
                <w:tab w:val="decimal" w:pos="955"/>
              </w:tabs>
              <w:jc w:val="left"/>
              <w:rPr>
                <w:szCs w:val="22"/>
              </w:rPr>
            </w:pPr>
            <w:r>
              <w:rPr>
                <w:szCs w:val="22"/>
              </w:rPr>
              <w:t>123,175</w:t>
            </w:r>
          </w:p>
        </w:tc>
        <w:tc>
          <w:tcPr>
            <w:tcW w:w="1398" w:type="dxa"/>
            <w:vAlign w:val="bottom"/>
          </w:tcPr>
          <w:p w:rsidR="0029462A" w:rsidRPr="005B1ADC" w:rsidRDefault="009512AE" w:rsidP="00C76115">
            <w:pPr>
              <w:tabs>
                <w:tab w:val="decimal" w:pos="599"/>
              </w:tabs>
              <w:jc w:val="left"/>
              <w:rPr>
                <w:szCs w:val="22"/>
              </w:rPr>
            </w:pPr>
            <w:r>
              <w:rPr>
                <w:szCs w:val="22"/>
              </w:rPr>
              <w:t>5.9</w:t>
            </w:r>
          </w:p>
        </w:tc>
        <w:tc>
          <w:tcPr>
            <w:tcW w:w="1267" w:type="dxa"/>
          </w:tcPr>
          <w:p w:rsidR="0029462A" w:rsidRPr="005B1ADC" w:rsidRDefault="009512AE" w:rsidP="009512AE">
            <w:pPr>
              <w:tabs>
                <w:tab w:val="decimal" w:pos="888"/>
              </w:tabs>
              <w:jc w:val="left"/>
              <w:rPr>
                <w:szCs w:val="22"/>
              </w:rPr>
            </w:pPr>
            <w:r>
              <w:rPr>
                <w:szCs w:val="22"/>
              </w:rPr>
              <w:t>132,685</w:t>
            </w:r>
          </w:p>
        </w:tc>
        <w:tc>
          <w:tcPr>
            <w:tcW w:w="1267" w:type="dxa"/>
          </w:tcPr>
          <w:p w:rsidR="0029462A" w:rsidRPr="005B1ADC" w:rsidRDefault="009512AE" w:rsidP="009512AE">
            <w:pPr>
              <w:tabs>
                <w:tab w:val="decimal" w:pos="453"/>
              </w:tabs>
              <w:jc w:val="left"/>
              <w:rPr>
                <w:szCs w:val="22"/>
              </w:rPr>
            </w:pPr>
            <w:r>
              <w:rPr>
                <w:szCs w:val="22"/>
              </w:rPr>
              <w:t>6.0</w:t>
            </w:r>
          </w:p>
        </w:tc>
      </w:tr>
      <w:tr w:rsidR="009512AE" w:rsidRPr="005B1ADC" w:rsidTr="0029462A">
        <w:trPr>
          <w:jc w:val="center"/>
        </w:trPr>
        <w:tc>
          <w:tcPr>
            <w:tcW w:w="1178" w:type="dxa"/>
            <w:vAlign w:val="bottom"/>
          </w:tcPr>
          <w:p w:rsidR="0029462A" w:rsidRPr="005B1ADC" w:rsidRDefault="009512AE" w:rsidP="00C76115">
            <w:pPr>
              <w:jc w:val="center"/>
              <w:rPr>
                <w:szCs w:val="22"/>
              </w:rPr>
            </w:pPr>
            <w:r>
              <w:rPr>
                <w:szCs w:val="22"/>
              </w:rPr>
              <w:t>2016</w:t>
            </w:r>
          </w:p>
        </w:tc>
        <w:tc>
          <w:tcPr>
            <w:tcW w:w="1428" w:type="dxa"/>
            <w:vAlign w:val="bottom"/>
          </w:tcPr>
          <w:p w:rsidR="0029462A" w:rsidRPr="005B1ADC" w:rsidRDefault="009512AE" w:rsidP="009512AE">
            <w:pPr>
              <w:tabs>
                <w:tab w:val="decimal" w:pos="1066"/>
              </w:tabs>
              <w:jc w:val="left"/>
              <w:rPr>
                <w:szCs w:val="22"/>
              </w:rPr>
            </w:pPr>
            <w:r>
              <w:rPr>
                <w:szCs w:val="22"/>
              </w:rPr>
              <w:t>2,596,355</w:t>
            </w:r>
          </w:p>
        </w:tc>
        <w:tc>
          <w:tcPr>
            <w:tcW w:w="1396" w:type="dxa"/>
            <w:vAlign w:val="bottom"/>
          </w:tcPr>
          <w:p w:rsidR="0029462A" w:rsidRPr="005B1ADC" w:rsidRDefault="009512AE" w:rsidP="00C76115">
            <w:pPr>
              <w:tabs>
                <w:tab w:val="decimal" w:pos="590"/>
              </w:tabs>
              <w:jc w:val="left"/>
              <w:rPr>
                <w:szCs w:val="22"/>
              </w:rPr>
            </w:pPr>
            <w:r>
              <w:rPr>
                <w:szCs w:val="22"/>
              </w:rPr>
              <w:t>1.3</w:t>
            </w:r>
          </w:p>
        </w:tc>
        <w:tc>
          <w:tcPr>
            <w:tcW w:w="1426" w:type="dxa"/>
            <w:vAlign w:val="bottom"/>
          </w:tcPr>
          <w:p w:rsidR="0029462A" w:rsidRPr="005B1ADC" w:rsidRDefault="009512AE" w:rsidP="009512AE">
            <w:pPr>
              <w:tabs>
                <w:tab w:val="decimal" w:pos="955"/>
              </w:tabs>
              <w:jc w:val="left"/>
              <w:rPr>
                <w:szCs w:val="22"/>
              </w:rPr>
            </w:pPr>
            <w:r>
              <w:rPr>
                <w:szCs w:val="22"/>
              </w:rPr>
              <w:t>111,227</w:t>
            </w:r>
          </w:p>
        </w:tc>
        <w:tc>
          <w:tcPr>
            <w:tcW w:w="1398" w:type="dxa"/>
            <w:vAlign w:val="bottom"/>
          </w:tcPr>
          <w:p w:rsidR="0029462A" w:rsidRPr="005B1ADC" w:rsidRDefault="009512AE" w:rsidP="00C76115">
            <w:pPr>
              <w:tabs>
                <w:tab w:val="decimal" w:pos="599"/>
              </w:tabs>
              <w:jc w:val="left"/>
              <w:rPr>
                <w:szCs w:val="22"/>
              </w:rPr>
            </w:pPr>
            <w:r>
              <w:rPr>
                <w:szCs w:val="22"/>
              </w:rPr>
              <w:t>(9.7)</w:t>
            </w:r>
          </w:p>
        </w:tc>
        <w:tc>
          <w:tcPr>
            <w:tcW w:w="1267" w:type="dxa"/>
          </w:tcPr>
          <w:p w:rsidR="0029462A" w:rsidRPr="005B1ADC" w:rsidRDefault="009512AE" w:rsidP="009512AE">
            <w:pPr>
              <w:tabs>
                <w:tab w:val="decimal" w:pos="888"/>
              </w:tabs>
              <w:jc w:val="left"/>
              <w:rPr>
                <w:szCs w:val="22"/>
              </w:rPr>
            </w:pPr>
            <w:r>
              <w:rPr>
                <w:szCs w:val="22"/>
              </w:rPr>
              <w:t>132,591</w:t>
            </w:r>
          </w:p>
        </w:tc>
        <w:tc>
          <w:tcPr>
            <w:tcW w:w="1267" w:type="dxa"/>
          </w:tcPr>
          <w:p w:rsidR="0029462A" w:rsidRPr="005B1ADC" w:rsidRDefault="009512AE" w:rsidP="009512AE">
            <w:pPr>
              <w:tabs>
                <w:tab w:val="decimal" w:pos="453"/>
              </w:tabs>
              <w:jc w:val="left"/>
              <w:rPr>
                <w:szCs w:val="22"/>
              </w:rPr>
            </w:pPr>
            <w:r>
              <w:rPr>
                <w:szCs w:val="22"/>
              </w:rPr>
              <w:t>(0.1)</w:t>
            </w:r>
          </w:p>
        </w:tc>
      </w:tr>
      <w:tr w:rsidR="009512AE" w:rsidRPr="005B1ADC" w:rsidTr="0029462A">
        <w:trPr>
          <w:jc w:val="center"/>
        </w:trPr>
        <w:tc>
          <w:tcPr>
            <w:tcW w:w="1178" w:type="dxa"/>
            <w:vAlign w:val="bottom"/>
          </w:tcPr>
          <w:p w:rsidR="0029462A" w:rsidRPr="005B1ADC" w:rsidRDefault="009512AE" w:rsidP="00C76115">
            <w:pPr>
              <w:jc w:val="center"/>
              <w:rPr>
                <w:szCs w:val="22"/>
              </w:rPr>
            </w:pPr>
            <w:r>
              <w:rPr>
                <w:szCs w:val="22"/>
              </w:rPr>
              <w:t>2017</w:t>
            </w:r>
          </w:p>
        </w:tc>
        <w:tc>
          <w:tcPr>
            <w:tcW w:w="1428" w:type="dxa"/>
            <w:vAlign w:val="bottom"/>
          </w:tcPr>
          <w:p w:rsidR="0029462A" w:rsidRPr="005B1ADC" w:rsidRDefault="009512AE" w:rsidP="009512AE">
            <w:pPr>
              <w:tabs>
                <w:tab w:val="decimal" w:pos="1066"/>
              </w:tabs>
              <w:jc w:val="left"/>
              <w:rPr>
                <w:szCs w:val="22"/>
              </w:rPr>
            </w:pPr>
            <w:r>
              <w:rPr>
                <w:szCs w:val="22"/>
              </w:rPr>
              <w:t>2,719,778</w:t>
            </w:r>
          </w:p>
        </w:tc>
        <w:tc>
          <w:tcPr>
            <w:tcW w:w="1396" w:type="dxa"/>
            <w:vAlign w:val="bottom"/>
          </w:tcPr>
          <w:p w:rsidR="0029462A" w:rsidRPr="005B1ADC" w:rsidRDefault="009512AE" w:rsidP="00C76115">
            <w:pPr>
              <w:tabs>
                <w:tab w:val="decimal" w:pos="590"/>
              </w:tabs>
              <w:jc w:val="left"/>
              <w:rPr>
                <w:szCs w:val="22"/>
              </w:rPr>
            </w:pPr>
            <w:r>
              <w:rPr>
                <w:szCs w:val="22"/>
              </w:rPr>
              <w:t>4.8</w:t>
            </w:r>
          </w:p>
        </w:tc>
        <w:tc>
          <w:tcPr>
            <w:tcW w:w="1426" w:type="dxa"/>
            <w:vAlign w:val="bottom"/>
          </w:tcPr>
          <w:p w:rsidR="0029462A" w:rsidRPr="005B1ADC" w:rsidRDefault="009512AE" w:rsidP="009512AE">
            <w:pPr>
              <w:tabs>
                <w:tab w:val="decimal" w:pos="955"/>
              </w:tabs>
              <w:jc w:val="left"/>
              <w:rPr>
                <w:szCs w:val="22"/>
              </w:rPr>
            </w:pPr>
            <w:r>
              <w:rPr>
                <w:szCs w:val="22"/>
              </w:rPr>
              <w:t>109,037</w:t>
            </w:r>
          </w:p>
        </w:tc>
        <w:tc>
          <w:tcPr>
            <w:tcW w:w="1398" w:type="dxa"/>
            <w:vAlign w:val="bottom"/>
          </w:tcPr>
          <w:p w:rsidR="0029462A" w:rsidRPr="005B1ADC" w:rsidRDefault="009512AE" w:rsidP="00C76115">
            <w:pPr>
              <w:tabs>
                <w:tab w:val="decimal" w:pos="599"/>
              </w:tabs>
              <w:jc w:val="left"/>
              <w:rPr>
                <w:szCs w:val="22"/>
              </w:rPr>
            </w:pPr>
            <w:r>
              <w:rPr>
                <w:szCs w:val="22"/>
              </w:rPr>
              <w:t>(2.0)</w:t>
            </w:r>
          </w:p>
        </w:tc>
        <w:tc>
          <w:tcPr>
            <w:tcW w:w="1267" w:type="dxa"/>
          </w:tcPr>
          <w:p w:rsidR="0029462A" w:rsidRPr="005B1ADC" w:rsidRDefault="009512AE" w:rsidP="009512AE">
            <w:pPr>
              <w:tabs>
                <w:tab w:val="decimal" w:pos="888"/>
              </w:tabs>
              <w:jc w:val="left"/>
              <w:rPr>
                <w:szCs w:val="22"/>
              </w:rPr>
            </w:pPr>
            <w:r>
              <w:rPr>
                <w:szCs w:val="22"/>
              </w:rPr>
              <w:t>149,567</w:t>
            </w:r>
          </w:p>
        </w:tc>
        <w:tc>
          <w:tcPr>
            <w:tcW w:w="1267" w:type="dxa"/>
          </w:tcPr>
          <w:p w:rsidR="0029462A" w:rsidRPr="005B1ADC" w:rsidRDefault="009512AE" w:rsidP="009512AE">
            <w:pPr>
              <w:tabs>
                <w:tab w:val="decimal" w:pos="453"/>
              </w:tabs>
              <w:jc w:val="left"/>
              <w:rPr>
                <w:szCs w:val="22"/>
              </w:rPr>
            </w:pPr>
            <w:r>
              <w:rPr>
                <w:szCs w:val="22"/>
              </w:rPr>
              <w:t>12.8</w:t>
            </w:r>
          </w:p>
        </w:tc>
      </w:tr>
      <w:tr w:rsidR="009512AE" w:rsidRPr="005B1ADC" w:rsidTr="0029462A">
        <w:trPr>
          <w:jc w:val="center"/>
        </w:trPr>
        <w:tc>
          <w:tcPr>
            <w:tcW w:w="1178" w:type="dxa"/>
            <w:vAlign w:val="bottom"/>
          </w:tcPr>
          <w:p w:rsidR="0029462A" w:rsidRPr="005B1ADC" w:rsidRDefault="009512AE" w:rsidP="00C76115">
            <w:pPr>
              <w:jc w:val="center"/>
              <w:rPr>
                <w:szCs w:val="22"/>
              </w:rPr>
            </w:pPr>
            <w:r>
              <w:rPr>
                <w:szCs w:val="22"/>
              </w:rPr>
              <w:t>2018</w:t>
            </w:r>
          </w:p>
        </w:tc>
        <w:tc>
          <w:tcPr>
            <w:tcW w:w="1428" w:type="dxa"/>
            <w:vAlign w:val="bottom"/>
          </w:tcPr>
          <w:p w:rsidR="0029462A" w:rsidRPr="005B1ADC" w:rsidRDefault="009512AE" w:rsidP="009512AE">
            <w:pPr>
              <w:tabs>
                <w:tab w:val="decimal" w:pos="1066"/>
              </w:tabs>
              <w:jc w:val="left"/>
              <w:rPr>
                <w:szCs w:val="22"/>
              </w:rPr>
            </w:pPr>
            <w:r>
              <w:rPr>
                <w:szCs w:val="22"/>
              </w:rPr>
              <w:t>2,906,717</w:t>
            </w:r>
          </w:p>
        </w:tc>
        <w:tc>
          <w:tcPr>
            <w:tcW w:w="1396" w:type="dxa"/>
            <w:vAlign w:val="bottom"/>
          </w:tcPr>
          <w:p w:rsidR="0029462A" w:rsidRPr="005B1ADC" w:rsidRDefault="009512AE" w:rsidP="00C76115">
            <w:pPr>
              <w:tabs>
                <w:tab w:val="decimal" w:pos="590"/>
              </w:tabs>
              <w:jc w:val="left"/>
              <w:rPr>
                <w:szCs w:val="22"/>
              </w:rPr>
            </w:pPr>
            <w:r>
              <w:rPr>
                <w:szCs w:val="22"/>
              </w:rPr>
              <w:t>6.9</w:t>
            </w:r>
          </w:p>
        </w:tc>
        <w:tc>
          <w:tcPr>
            <w:tcW w:w="1426" w:type="dxa"/>
            <w:vAlign w:val="bottom"/>
          </w:tcPr>
          <w:p w:rsidR="0029462A" w:rsidRPr="005B1ADC" w:rsidRDefault="009512AE" w:rsidP="009512AE">
            <w:pPr>
              <w:tabs>
                <w:tab w:val="decimal" w:pos="955"/>
              </w:tabs>
              <w:jc w:val="left"/>
              <w:rPr>
                <w:szCs w:val="22"/>
              </w:rPr>
            </w:pPr>
            <w:r>
              <w:rPr>
                <w:szCs w:val="22"/>
              </w:rPr>
              <w:t>121,158</w:t>
            </w:r>
          </w:p>
        </w:tc>
        <w:tc>
          <w:tcPr>
            <w:tcW w:w="1398" w:type="dxa"/>
            <w:vAlign w:val="bottom"/>
          </w:tcPr>
          <w:p w:rsidR="0029462A" w:rsidRPr="005B1ADC" w:rsidRDefault="009512AE" w:rsidP="00C76115">
            <w:pPr>
              <w:tabs>
                <w:tab w:val="decimal" w:pos="599"/>
              </w:tabs>
              <w:jc w:val="left"/>
              <w:rPr>
                <w:szCs w:val="22"/>
              </w:rPr>
            </w:pPr>
            <w:r>
              <w:rPr>
                <w:szCs w:val="22"/>
              </w:rPr>
              <w:t>11.1</w:t>
            </w:r>
          </w:p>
        </w:tc>
        <w:tc>
          <w:tcPr>
            <w:tcW w:w="1267" w:type="dxa"/>
          </w:tcPr>
          <w:p w:rsidR="0029462A" w:rsidRPr="005B1ADC" w:rsidRDefault="009512AE" w:rsidP="009512AE">
            <w:pPr>
              <w:tabs>
                <w:tab w:val="decimal" w:pos="888"/>
              </w:tabs>
              <w:jc w:val="left"/>
              <w:rPr>
                <w:szCs w:val="22"/>
              </w:rPr>
            </w:pPr>
            <w:r>
              <w:rPr>
                <w:szCs w:val="22"/>
              </w:rPr>
              <w:t>184,034</w:t>
            </w:r>
          </w:p>
        </w:tc>
        <w:tc>
          <w:tcPr>
            <w:tcW w:w="1267" w:type="dxa"/>
          </w:tcPr>
          <w:p w:rsidR="0029462A" w:rsidRPr="005B1ADC" w:rsidRDefault="009512AE" w:rsidP="009512AE">
            <w:pPr>
              <w:tabs>
                <w:tab w:val="decimal" w:pos="453"/>
              </w:tabs>
              <w:jc w:val="left"/>
              <w:rPr>
                <w:szCs w:val="22"/>
              </w:rPr>
            </w:pPr>
            <w:r>
              <w:rPr>
                <w:szCs w:val="22"/>
              </w:rPr>
              <w:t>23.0</w:t>
            </w:r>
          </w:p>
        </w:tc>
      </w:tr>
      <w:tr w:rsidR="0029462A" w:rsidRPr="005B1ADC" w:rsidTr="00C76115">
        <w:trPr>
          <w:jc w:val="center"/>
        </w:trPr>
        <w:tc>
          <w:tcPr>
            <w:tcW w:w="9360" w:type="dxa"/>
            <w:gridSpan w:val="7"/>
            <w:vAlign w:val="bottom"/>
          </w:tcPr>
          <w:p w:rsidR="0029462A" w:rsidRPr="005B1ADC" w:rsidRDefault="0029462A" w:rsidP="0029462A">
            <w:pPr>
              <w:rPr>
                <w:sz w:val="20"/>
              </w:rPr>
            </w:pPr>
            <w:r w:rsidRPr="005B1ADC">
              <w:rPr>
                <w:sz w:val="20"/>
              </w:rPr>
              <w:t>____________________</w:t>
            </w:r>
          </w:p>
          <w:p w:rsidR="0029462A" w:rsidRPr="005B1ADC" w:rsidRDefault="0029462A" w:rsidP="0029462A">
            <w:pPr>
              <w:jc w:val="left"/>
              <w:rPr>
                <w:szCs w:val="22"/>
              </w:rPr>
            </w:pPr>
            <w:r w:rsidRPr="005B1ADC">
              <w:rPr>
                <w:sz w:val="20"/>
              </w:rPr>
              <w:t>Source: Co</w:t>
            </w:r>
            <w:r>
              <w:rPr>
                <w:sz w:val="20"/>
              </w:rPr>
              <w:t>lorado Department of Revenue</w:t>
            </w:r>
          </w:p>
        </w:tc>
      </w:tr>
    </w:tbl>
    <w:p w:rsidR="0029462A" w:rsidRPr="005B1ADC" w:rsidRDefault="0029462A" w:rsidP="0029462A">
      <w:pPr>
        <w:rPr>
          <w:szCs w:val="22"/>
        </w:rPr>
      </w:pPr>
    </w:p>
    <w:p w:rsidR="0029462A" w:rsidRPr="005B1ADC" w:rsidRDefault="0029462A" w:rsidP="0029462A">
      <w:pPr>
        <w:rPr>
          <w:szCs w:val="22"/>
        </w:rPr>
      </w:pPr>
    </w:p>
    <w:p w:rsidR="00365EBF" w:rsidRPr="00CC4411" w:rsidRDefault="00365EBF" w:rsidP="00365EBF"/>
    <w:p w:rsidR="00365EBF" w:rsidRDefault="00365EBF" w:rsidP="00365EBF">
      <w:pPr>
        <w:pStyle w:val="BodyText"/>
        <w:keepNext/>
        <w:sectPr w:rsidR="00365EBF" w:rsidSect="00E222CA">
          <w:footerReference w:type="default" r:id="rId52"/>
          <w:pgSz w:w="12240" w:h="15840" w:code="1"/>
          <w:pgMar w:top="1440" w:right="1440" w:bottom="1440" w:left="1440" w:header="720" w:footer="720" w:gutter="0"/>
          <w:pgNumType w:start="1"/>
          <w:cols w:space="720"/>
          <w:titlePg/>
          <w:docGrid w:linePitch="360"/>
        </w:sectPr>
      </w:pPr>
    </w:p>
    <w:p w:rsidR="00365EBF" w:rsidRDefault="00365EBF" w:rsidP="00365EBF">
      <w:pPr>
        <w:pStyle w:val="BodyText"/>
        <w:keepNext/>
      </w:pPr>
      <w:r>
        <w:t>The following table provides retail sales totals by industry</w:t>
      </w:r>
      <w:r w:rsidR="00092431">
        <w:t xml:space="preserve"> for the State</w:t>
      </w:r>
      <w:r>
        <w:t xml:space="preserve"> for the </w:t>
      </w:r>
      <w:r w:rsidR="00092431">
        <w:t xml:space="preserve">most recent </w:t>
      </w:r>
      <w:r>
        <w:t>five years and year-to-date.</w:t>
      </w:r>
      <w:r w:rsidR="00092431">
        <w:t xml:space="preserve">  Retail sales data is only available through February 2016 as the Colorado Department of Revenue is currently experiencing a system problem that prevents the Retails Sales Reports from being produced.</w:t>
      </w:r>
    </w:p>
    <w:tbl>
      <w:tblPr>
        <w:tblStyle w:val="TableGrid"/>
        <w:tblW w:w="116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776"/>
        <w:gridCol w:w="678"/>
        <w:gridCol w:w="776"/>
        <w:gridCol w:w="676"/>
        <w:gridCol w:w="776"/>
        <w:gridCol w:w="675"/>
        <w:gridCol w:w="776"/>
        <w:gridCol w:w="675"/>
        <w:gridCol w:w="776"/>
        <w:gridCol w:w="675"/>
        <w:gridCol w:w="755"/>
        <w:gridCol w:w="761"/>
        <w:gridCol w:w="675"/>
      </w:tblGrid>
      <w:tr w:rsidR="00C76115" w:rsidRPr="005B1ADC" w:rsidTr="00C76115">
        <w:trPr>
          <w:jc w:val="center"/>
        </w:trPr>
        <w:tc>
          <w:tcPr>
            <w:tcW w:w="11681" w:type="dxa"/>
            <w:gridSpan w:val="14"/>
            <w:vAlign w:val="bottom"/>
          </w:tcPr>
          <w:p w:rsidR="00C76115" w:rsidRPr="005B1ADC" w:rsidRDefault="00C76115" w:rsidP="001E391C">
            <w:pPr>
              <w:jc w:val="center"/>
              <w:rPr>
                <w:b/>
                <w:sz w:val="14"/>
              </w:rPr>
            </w:pPr>
            <w:r w:rsidRPr="005B1ADC">
              <w:rPr>
                <w:b/>
                <w:sz w:val="14"/>
              </w:rPr>
              <w:t xml:space="preserve">Colorado Retail Sales by Industry </w:t>
            </w:r>
            <w:r w:rsidRPr="005B1ADC">
              <w:rPr>
                <w:b/>
                <w:sz w:val="14"/>
              </w:rPr>
              <w:br/>
              <w:t>(millions)</w:t>
            </w:r>
            <w:r w:rsidRPr="005B1ADC">
              <w:rPr>
                <w:b/>
                <w:sz w:val="14"/>
              </w:rPr>
              <w:br/>
              <w:t>and</w:t>
            </w:r>
            <w:r w:rsidRPr="005B1ADC">
              <w:rPr>
                <w:b/>
                <w:sz w:val="14"/>
              </w:rPr>
              <w:br/>
              <w:t>Percentage Change From Prior Year</w:t>
            </w:r>
          </w:p>
        </w:tc>
      </w:tr>
      <w:tr w:rsidR="00092431" w:rsidRPr="005B1ADC" w:rsidTr="009D59B8">
        <w:trPr>
          <w:jc w:val="center"/>
        </w:trPr>
        <w:tc>
          <w:tcPr>
            <w:tcW w:w="2231" w:type="dxa"/>
            <w:vAlign w:val="bottom"/>
          </w:tcPr>
          <w:p w:rsidR="00C76115" w:rsidRPr="005B1ADC" w:rsidRDefault="00C76115" w:rsidP="00C76115">
            <w:pPr>
              <w:spacing w:after="60"/>
              <w:jc w:val="left"/>
              <w:rPr>
                <w:sz w:val="14"/>
              </w:rPr>
            </w:pPr>
          </w:p>
        </w:tc>
        <w:tc>
          <w:tcPr>
            <w:tcW w:w="776" w:type="dxa"/>
            <w:vAlign w:val="bottom"/>
          </w:tcPr>
          <w:p w:rsidR="00C76115" w:rsidRPr="005B1ADC" w:rsidRDefault="00C76115" w:rsidP="00C76115">
            <w:pPr>
              <w:spacing w:after="60"/>
              <w:jc w:val="left"/>
              <w:rPr>
                <w:sz w:val="14"/>
              </w:rPr>
            </w:pPr>
          </w:p>
        </w:tc>
        <w:tc>
          <w:tcPr>
            <w:tcW w:w="678" w:type="dxa"/>
            <w:vAlign w:val="bottom"/>
          </w:tcPr>
          <w:p w:rsidR="00C76115" w:rsidRPr="005B1ADC" w:rsidRDefault="00C76115" w:rsidP="00C76115">
            <w:pPr>
              <w:spacing w:after="60"/>
              <w:jc w:val="left"/>
              <w:rPr>
                <w:sz w:val="14"/>
              </w:rPr>
            </w:pPr>
          </w:p>
        </w:tc>
        <w:tc>
          <w:tcPr>
            <w:tcW w:w="776" w:type="dxa"/>
            <w:vAlign w:val="bottom"/>
          </w:tcPr>
          <w:p w:rsidR="00C76115" w:rsidRPr="005B1ADC" w:rsidRDefault="00C76115" w:rsidP="00C76115">
            <w:pPr>
              <w:spacing w:after="60"/>
              <w:jc w:val="left"/>
              <w:rPr>
                <w:sz w:val="14"/>
              </w:rPr>
            </w:pPr>
          </w:p>
        </w:tc>
        <w:tc>
          <w:tcPr>
            <w:tcW w:w="676" w:type="dxa"/>
            <w:vAlign w:val="bottom"/>
          </w:tcPr>
          <w:p w:rsidR="00C76115" w:rsidRPr="005B1ADC" w:rsidRDefault="00C76115" w:rsidP="00C76115">
            <w:pPr>
              <w:spacing w:after="60"/>
              <w:jc w:val="left"/>
              <w:rPr>
                <w:sz w:val="14"/>
              </w:rPr>
            </w:pPr>
          </w:p>
        </w:tc>
        <w:tc>
          <w:tcPr>
            <w:tcW w:w="776" w:type="dxa"/>
            <w:vAlign w:val="bottom"/>
          </w:tcPr>
          <w:p w:rsidR="00C76115" w:rsidRPr="005B1ADC" w:rsidRDefault="00C76115" w:rsidP="00C76115">
            <w:pPr>
              <w:spacing w:after="60"/>
              <w:jc w:val="left"/>
              <w:rPr>
                <w:sz w:val="14"/>
              </w:rPr>
            </w:pPr>
          </w:p>
        </w:tc>
        <w:tc>
          <w:tcPr>
            <w:tcW w:w="675" w:type="dxa"/>
            <w:vAlign w:val="bottom"/>
          </w:tcPr>
          <w:p w:rsidR="00C76115" w:rsidRPr="005B1ADC" w:rsidRDefault="00C76115" w:rsidP="00C76115">
            <w:pPr>
              <w:spacing w:after="60"/>
              <w:jc w:val="left"/>
              <w:rPr>
                <w:sz w:val="14"/>
              </w:rPr>
            </w:pPr>
          </w:p>
        </w:tc>
        <w:tc>
          <w:tcPr>
            <w:tcW w:w="776" w:type="dxa"/>
            <w:vAlign w:val="bottom"/>
          </w:tcPr>
          <w:p w:rsidR="00C76115" w:rsidRPr="005B1ADC" w:rsidRDefault="00C76115" w:rsidP="00C76115">
            <w:pPr>
              <w:spacing w:after="60"/>
              <w:jc w:val="left"/>
              <w:rPr>
                <w:sz w:val="14"/>
              </w:rPr>
            </w:pPr>
          </w:p>
        </w:tc>
        <w:tc>
          <w:tcPr>
            <w:tcW w:w="675" w:type="dxa"/>
            <w:vAlign w:val="bottom"/>
          </w:tcPr>
          <w:p w:rsidR="00C76115" w:rsidRPr="005B1ADC" w:rsidRDefault="00C76115" w:rsidP="00C76115">
            <w:pPr>
              <w:spacing w:after="60"/>
              <w:jc w:val="left"/>
              <w:rPr>
                <w:sz w:val="14"/>
              </w:rPr>
            </w:pPr>
          </w:p>
        </w:tc>
        <w:tc>
          <w:tcPr>
            <w:tcW w:w="776" w:type="dxa"/>
            <w:vAlign w:val="bottom"/>
          </w:tcPr>
          <w:p w:rsidR="00C76115" w:rsidRPr="005B1ADC" w:rsidRDefault="00C76115" w:rsidP="00C76115">
            <w:pPr>
              <w:spacing w:after="60"/>
              <w:jc w:val="left"/>
              <w:rPr>
                <w:sz w:val="14"/>
              </w:rPr>
            </w:pPr>
          </w:p>
        </w:tc>
        <w:tc>
          <w:tcPr>
            <w:tcW w:w="675" w:type="dxa"/>
            <w:vAlign w:val="bottom"/>
          </w:tcPr>
          <w:p w:rsidR="00C76115" w:rsidRPr="005B1ADC" w:rsidRDefault="00C76115" w:rsidP="00C76115">
            <w:pPr>
              <w:spacing w:after="60"/>
              <w:jc w:val="left"/>
              <w:rPr>
                <w:sz w:val="14"/>
              </w:rPr>
            </w:pPr>
          </w:p>
        </w:tc>
        <w:tc>
          <w:tcPr>
            <w:tcW w:w="2191" w:type="dxa"/>
            <w:gridSpan w:val="3"/>
            <w:vAlign w:val="bottom"/>
          </w:tcPr>
          <w:p w:rsidR="00C76115" w:rsidRPr="005B1ADC" w:rsidRDefault="00C76115" w:rsidP="00C76115">
            <w:pPr>
              <w:pBdr>
                <w:bottom w:val="single" w:sz="4" w:space="1" w:color="auto"/>
              </w:pBdr>
              <w:spacing w:after="60"/>
              <w:jc w:val="center"/>
              <w:rPr>
                <w:b/>
                <w:sz w:val="14"/>
              </w:rPr>
            </w:pPr>
            <w:r w:rsidRPr="005B1ADC">
              <w:rPr>
                <w:b/>
                <w:sz w:val="14"/>
              </w:rPr>
              <w:t>Year-to-Date Totals Through November</w:t>
            </w:r>
          </w:p>
        </w:tc>
      </w:tr>
      <w:tr w:rsidR="00092431" w:rsidRPr="005B1ADC" w:rsidTr="009D59B8">
        <w:trPr>
          <w:jc w:val="center"/>
        </w:trPr>
        <w:tc>
          <w:tcPr>
            <w:tcW w:w="2231" w:type="dxa"/>
            <w:vAlign w:val="bottom"/>
          </w:tcPr>
          <w:p w:rsidR="00092431" w:rsidRPr="005B1ADC" w:rsidRDefault="00092431" w:rsidP="00092431">
            <w:pPr>
              <w:pBdr>
                <w:bottom w:val="single" w:sz="4" w:space="1" w:color="auto"/>
              </w:pBdr>
              <w:spacing w:after="120"/>
              <w:jc w:val="center"/>
              <w:rPr>
                <w:b/>
                <w:sz w:val="14"/>
              </w:rPr>
            </w:pPr>
            <w:r w:rsidRPr="005B1ADC">
              <w:rPr>
                <w:b/>
                <w:sz w:val="14"/>
              </w:rPr>
              <w:t>Industry</w:t>
            </w:r>
          </w:p>
        </w:tc>
        <w:tc>
          <w:tcPr>
            <w:tcW w:w="776" w:type="dxa"/>
            <w:vAlign w:val="bottom"/>
          </w:tcPr>
          <w:p w:rsidR="00092431" w:rsidRPr="005B1ADC" w:rsidRDefault="00092431" w:rsidP="00092431">
            <w:pPr>
              <w:pBdr>
                <w:bottom w:val="single" w:sz="4" w:space="1" w:color="auto"/>
              </w:pBdr>
              <w:spacing w:after="120"/>
              <w:jc w:val="center"/>
              <w:rPr>
                <w:b/>
                <w:sz w:val="14"/>
              </w:rPr>
            </w:pPr>
            <w:r w:rsidRPr="005B1ADC">
              <w:rPr>
                <w:b/>
                <w:sz w:val="14"/>
              </w:rPr>
              <w:t>2011</w:t>
            </w:r>
          </w:p>
        </w:tc>
        <w:tc>
          <w:tcPr>
            <w:tcW w:w="678" w:type="dxa"/>
            <w:vAlign w:val="bottom"/>
          </w:tcPr>
          <w:p w:rsidR="00092431" w:rsidRPr="005B1ADC" w:rsidRDefault="00092431" w:rsidP="00092431">
            <w:pPr>
              <w:pBdr>
                <w:bottom w:val="single" w:sz="4" w:space="1" w:color="auto"/>
              </w:pBdr>
              <w:spacing w:after="120"/>
              <w:jc w:val="center"/>
              <w:rPr>
                <w:b/>
                <w:sz w:val="14"/>
              </w:rPr>
            </w:pPr>
            <w:r w:rsidRPr="005B1ADC">
              <w:rPr>
                <w:b/>
                <w:sz w:val="14"/>
              </w:rPr>
              <w:t>% Change</w:t>
            </w:r>
          </w:p>
        </w:tc>
        <w:tc>
          <w:tcPr>
            <w:tcW w:w="776" w:type="dxa"/>
            <w:vAlign w:val="bottom"/>
          </w:tcPr>
          <w:p w:rsidR="00092431" w:rsidRPr="005B1ADC" w:rsidRDefault="00092431" w:rsidP="00092431">
            <w:pPr>
              <w:pBdr>
                <w:bottom w:val="single" w:sz="4" w:space="1" w:color="auto"/>
              </w:pBdr>
              <w:spacing w:after="120"/>
              <w:jc w:val="center"/>
              <w:rPr>
                <w:b/>
                <w:sz w:val="14"/>
              </w:rPr>
            </w:pPr>
            <w:r w:rsidRPr="005B1ADC">
              <w:rPr>
                <w:b/>
                <w:sz w:val="14"/>
              </w:rPr>
              <w:t>2012</w:t>
            </w:r>
          </w:p>
        </w:tc>
        <w:tc>
          <w:tcPr>
            <w:tcW w:w="676" w:type="dxa"/>
            <w:vAlign w:val="bottom"/>
          </w:tcPr>
          <w:p w:rsidR="00092431" w:rsidRPr="005B1ADC" w:rsidRDefault="00092431" w:rsidP="00092431">
            <w:pPr>
              <w:pBdr>
                <w:bottom w:val="single" w:sz="4" w:space="1" w:color="auto"/>
              </w:pBdr>
              <w:spacing w:after="120"/>
              <w:jc w:val="center"/>
              <w:rPr>
                <w:b/>
                <w:sz w:val="14"/>
              </w:rPr>
            </w:pPr>
            <w:r w:rsidRPr="005B1ADC">
              <w:rPr>
                <w:b/>
                <w:sz w:val="14"/>
              </w:rPr>
              <w:t>% Change</w:t>
            </w:r>
          </w:p>
        </w:tc>
        <w:tc>
          <w:tcPr>
            <w:tcW w:w="776" w:type="dxa"/>
            <w:vAlign w:val="bottom"/>
          </w:tcPr>
          <w:p w:rsidR="00092431" w:rsidRPr="005B1ADC" w:rsidRDefault="00092431" w:rsidP="00092431">
            <w:pPr>
              <w:pBdr>
                <w:bottom w:val="single" w:sz="4" w:space="1" w:color="auto"/>
              </w:pBdr>
              <w:spacing w:after="120"/>
              <w:jc w:val="center"/>
              <w:rPr>
                <w:b/>
                <w:sz w:val="14"/>
              </w:rPr>
            </w:pPr>
            <w:r w:rsidRPr="005B1ADC">
              <w:rPr>
                <w:b/>
                <w:sz w:val="14"/>
              </w:rPr>
              <w:t>2013</w:t>
            </w:r>
          </w:p>
        </w:tc>
        <w:tc>
          <w:tcPr>
            <w:tcW w:w="675" w:type="dxa"/>
            <w:vAlign w:val="bottom"/>
          </w:tcPr>
          <w:p w:rsidR="00092431" w:rsidRPr="005B1ADC" w:rsidRDefault="00092431" w:rsidP="00092431">
            <w:pPr>
              <w:pBdr>
                <w:bottom w:val="single" w:sz="4" w:space="1" w:color="auto"/>
              </w:pBdr>
              <w:spacing w:after="120"/>
              <w:jc w:val="center"/>
              <w:rPr>
                <w:b/>
                <w:sz w:val="14"/>
              </w:rPr>
            </w:pPr>
            <w:r w:rsidRPr="005B1ADC">
              <w:rPr>
                <w:b/>
                <w:sz w:val="14"/>
              </w:rPr>
              <w:t>% Change</w:t>
            </w:r>
          </w:p>
        </w:tc>
        <w:tc>
          <w:tcPr>
            <w:tcW w:w="776" w:type="dxa"/>
            <w:vAlign w:val="bottom"/>
          </w:tcPr>
          <w:p w:rsidR="00092431" w:rsidRPr="005B1ADC" w:rsidRDefault="00092431" w:rsidP="00092431">
            <w:pPr>
              <w:pBdr>
                <w:bottom w:val="single" w:sz="4" w:space="1" w:color="auto"/>
              </w:pBdr>
              <w:spacing w:after="120"/>
              <w:jc w:val="center"/>
              <w:rPr>
                <w:b/>
                <w:sz w:val="14"/>
              </w:rPr>
            </w:pPr>
            <w:r w:rsidRPr="005B1ADC">
              <w:rPr>
                <w:b/>
                <w:sz w:val="14"/>
              </w:rPr>
              <w:t>2014</w:t>
            </w:r>
          </w:p>
        </w:tc>
        <w:tc>
          <w:tcPr>
            <w:tcW w:w="675" w:type="dxa"/>
            <w:vAlign w:val="bottom"/>
          </w:tcPr>
          <w:p w:rsidR="00092431" w:rsidRPr="005B1ADC" w:rsidRDefault="00092431" w:rsidP="00092431">
            <w:pPr>
              <w:pBdr>
                <w:bottom w:val="single" w:sz="4" w:space="1" w:color="auto"/>
              </w:pBdr>
              <w:spacing w:after="120"/>
              <w:jc w:val="center"/>
              <w:rPr>
                <w:b/>
                <w:sz w:val="14"/>
              </w:rPr>
            </w:pPr>
            <w:r w:rsidRPr="005B1ADC">
              <w:rPr>
                <w:b/>
                <w:sz w:val="14"/>
              </w:rPr>
              <w:t>% Change</w:t>
            </w:r>
          </w:p>
        </w:tc>
        <w:tc>
          <w:tcPr>
            <w:tcW w:w="776" w:type="dxa"/>
            <w:vAlign w:val="bottom"/>
          </w:tcPr>
          <w:p w:rsidR="00092431" w:rsidRPr="005B1ADC" w:rsidRDefault="00092431" w:rsidP="00092431">
            <w:pPr>
              <w:pBdr>
                <w:bottom w:val="single" w:sz="4" w:space="1" w:color="auto"/>
              </w:pBdr>
              <w:spacing w:after="120"/>
              <w:jc w:val="center"/>
              <w:rPr>
                <w:b/>
                <w:sz w:val="14"/>
              </w:rPr>
            </w:pPr>
            <w:r w:rsidRPr="005B1ADC">
              <w:rPr>
                <w:b/>
                <w:sz w:val="14"/>
              </w:rPr>
              <w:t>201</w:t>
            </w:r>
            <w:r>
              <w:rPr>
                <w:b/>
                <w:sz w:val="14"/>
              </w:rPr>
              <w:t>5</w:t>
            </w:r>
          </w:p>
        </w:tc>
        <w:tc>
          <w:tcPr>
            <w:tcW w:w="675" w:type="dxa"/>
            <w:vAlign w:val="bottom"/>
          </w:tcPr>
          <w:p w:rsidR="00092431" w:rsidRPr="005B1ADC" w:rsidRDefault="00092431" w:rsidP="00092431">
            <w:pPr>
              <w:pBdr>
                <w:bottom w:val="single" w:sz="4" w:space="1" w:color="auto"/>
              </w:pBdr>
              <w:spacing w:after="120"/>
              <w:jc w:val="center"/>
              <w:rPr>
                <w:b/>
                <w:sz w:val="14"/>
              </w:rPr>
            </w:pPr>
            <w:r w:rsidRPr="005B1ADC">
              <w:rPr>
                <w:b/>
                <w:sz w:val="14"/>
              </w:rPr>
              <w:t>% Change</w:t>
            </w:r>
          </w:p>
        </w:tc>
        <w:tc>
          <w:tcPr>
            <w:tcW w:w="755" w:type="dxa"/>
            <w:vAlign w:val="bottom"/>
          </w:tcPr>
          <w:p w:rsidR="00092431" w:rsidRPr="005B1ADC" w:rsidRDefault="00092431" w:rsidP="00092431">
            <w:pPr>
              <w:pBdr>
                <w:bottom w:val="single" w:sz="4" w:space="1" w:color="auto"/>
              </w:pBdr>
              <w:spacing w:after="120"/>
              <w:jc w:val="center"/>
              <w:rPr>
                <w:b/>
                <w:sz w:val="14"/>
              </w:rPr>
            </w:pPr>
            <w:r>
              <w:rPr>
                <w:b/>
                <w:sz w:val="14"/>
              </w:rPr>
              <w:t>2015</w:t>
            </w:r>
          </w:p>
        </w:tc>
        <w:tc>
          <w:tcPr>
            <w:tcW w:w="761" w:type="dxa"/>
            <w:vAlign w:val="bottom"/>
          </w:tcPr>
          <w:p w:rsidR="00092431" w:rsidRPr="005B1ADC" w:rsidRDefault="00092431" w:rsidP="00092431">
            <w:pPr>
              <w:pBdr>
                <w:bottom w:val="single" w:sz="4" w:space="1" w:color="auto"/>
              </w:pBdr>
              <w:spacing w:after="120"/>
              <w:jc w:val="center"/>
              <w:rPr>
                <w:b/>
                <w:sz w:val="14"/>
              </w:rPr>
            </w:pPr>
            <w:r>
              <w:rPr>
                <w:b/>
                <w:sz w:val="14"/>
              </w:rPr>
              <w:t>2016</w:t>
            </w:r>
          </w:p>
        </w:tc>
        <w:tc>
          <w:tcPr>
            <w:tcW w:w="675" w:type="dxa"/>
            <w:vAlign w:val="bottom"/>
          </w:tcPr>
          <w:p w:rsidR="00092431" w:rsidRPr="005B1ADC" w:rsidRDefault="00092431" w:rsidP="00092431">
            <w:pPr>
              <w:pBdr>
                <w:bottom w:val="single" w:sz="4" w:space="1" w:color="auto"/>
              </w:pBdr>
              <w:spacing w:after="120"/>
              <w:jc w:val="center"/>
              <w:rPr>
                <w:b/>
                <w:sz w:val="14"/>
              </w:rPr>
            </w:pPr>
            <w:r w:rsidRPr="005B1ADC">
              <w:rPr>
                <w:b/>
                <w:sz w:val="14"/>
              </w:rPr>
              <w:t>% Change</w:t>
            </w:r>
          </w:p>
        </w:tc>
      </w:tr>
      <w:tr w:rsidR="001E391C" w:rsidRPr="005B1ADC" w:rsidTr="009D59B8">
        <w:trPr>
          <w:jc w:val="center"/>
        </w:trPr>
        <w:tc>
          <w:tcPr>
            <w:tcW w:w="2231" w:type="dxa"/>
            <w:vAlign w:val="bottom"/>
          </w:tcPr>
          <w:p w:rsidR="00092431" w:rsidRPr="005B1ADC" w:rsidRDefault="00092431" w:rsidP="00092431">
            <w:pPr>
              <w:jc w:val="left"/>
              <w:rPr>
                <w:sz w:val="14"/>
              </w:rPr>
            </w:pPr>
            <w:r w:rsidRPr="005B1ADC">
              <w:rPr>
                <w:sz w:val="14"/>
              </w:rPr>
              <w:t>Agriculture/Forestry/Fishing</w:t>
            </w:r>
          </w:p>
        </w:tc>
        <w:tc>
          <w:tcPr>
            <w:tcW w:w="776" w:type="dxa"/>
            <w:vAlign w:val="bottom"/>
          </w:tcPr>
          <w:p w:rsidR="00092431" w:rsidRPr="005B1ADC" w:rsidRDefault="00092431" w:rsidP="00092431">
            <w:pPr>
              <w:tabs>
                <w:tab w:val="decimal" w:pos="448"/>
              </w:tabs>
              <w:jc w:val="left"/>
              <w:rPr>
                <w:sz w:val="14"/>
              </w:rPr>
            </w:pPr>
            <w:r w:rsidRPr="005B1ADC">
              <w:rPr>
                <w:sz w:val="14"/>
              </w:rPr>
              <w:t>411.7</w:t>
            </w:r>
          </w:p>
        </w:tc>
        <w:tc>
          <w:tcPr>
            <w:tcW w:w="678" w:type="dxa"/>
            <w:vAlign w:val="bottom"/>
          </w:tcPr>
          <w:p w:rsidR="00092431" w:rsidRPr="005B1ADC" w:rsidRDefault="00092431" w:rsidP="00092431">
            <w:pPr>
              <w:tabs>
                <w:tab w:val="decimal" w:pos="240"/>
              </w:tabs>
              <w:jc w:val="left"/>
              <w:rPr>
                <w:sz w:val="14"/>
              </w:rPr>
            </w:pPr>
            <w:r w:rsidRPr="005B1ADC">
              <w:rPr>
                <w:sz w:val="14"/>
              </w:rPr>
              <w:t>22.4%</w:t>
            </w:r>
          </w:p>
        </w:tc>
        <w:tc>
          <w:tcPr>
            <w:tcW w:w="776" w:type="dxa"/>
            <w:vAlign w:val="bottom"/>
          </w:tcPr>
          <w:p w:rsidR="00092431" w:rsidRPr="005B1ADC" w:rsidRDefault="00092431" w:rsidP="00092431">
            <w:pPr>
              <w:tabs>
                <w:tab w:val="decimal" w:pos="433"/>
              </w:tabs>
              <w:jc w:val="left"/>
              <w:rPr>
                <w:sz w:val="14"/>
              </w:rPr>
            </w:pPr>
            <w:r w:rsidRPr="005B1ADC">
              <w:rPr>
                <w:sz w:val="14"/>
              </w:rPr>
              <w:t>406.2</w:t>
            </w:r>
          </w:p>
        </w:tc>
        <w:tc>
          <w:tcPr>
            <w:tcW w:w="676" w:type="dxa"/>
            <w:vAlign w:val="bottom"/>
          </w:tcPr>
          <w:p w:rsidR="00092431" w:rsidRPr="005B1ADC" w:rsidRDefault="00092431" w:rsidP="00092431">
            <w:pPr>
              <w:tabs>
                <w:tab w:val="decimal" w:pos="222"/>
              </w:tabs>
              <w:jc w:val="left"/>
              <w:rPr>
                <w:sz w:val="14"/>
              </w:rPr>
            </w:pPr>
            <w:r w:rsidRPr="005B1ADC">
              <w:rPr>
                <w:sz w:val="14"/>
              </w:rPr>
              <w:t>-1.3%</w:t>
            </w:r>
          </w:p>
        </w:tc>
        <w:tc>
          <w:tcPr>
            <w:tcW w:w="776" w:type="dxa"/>
            <w:vAlign w:val="bottom"/>
          </w:tcPr>
          <w:p w:rsidR="00092431" w:rsidRPr="005B1ADC" w:rsidRDefault="00092431" w:rsidP="00092431">
            <w:pPr>
              <w:tabs>
                <w:tab w:val="decimal" w:pos="422"/>
              </w:tabs>
              <w:jc w:val="left"/>
              <w:rPr>
                <w:sz w:val="14"/>
              </w:rPr>
            </w:pPr>
            <w:r w:rsidRPr="005B1ADC">
              <w:rPr>
                <w:sz w:val="14"/>
              </w:rPr>
              <w:t>387.0</w:t>
            </w:r>
          </w:p>
        </w:tc>
        <w:tc>
          <w:tcPr>
            <w:tcW w:w="675" w:type="dxa"/>
            <w:vAlign w:val="bottom"/>
          </w:tcPr>
          <w:p w:rsidR="00092431" w:rsidRPr="005B1ADC" w:rsidRDefault="00092431" w:rsidP="00092431">
            <w:pPr>
              <w:tabs>
                <w:tab w:val="decimal" w:pos="192"/>
              </w:tabs>
              <w:jc w:val="left"/>
              <w:rPr>
                <w:sz w:val="14"/>
              </w:rPr>
            </w:pPr>
            <w:r w:rsidRPr="005B1ADC">
              <w:rPr>
                <w:sz w:val="14"/>
              </w:rPr>
              <w:t>-4.7%</w:t>
            </w:r>
          </w:p>
        </w:tc>
        <w:tc>
          <w:tcPr>
            <w:tcW w:w="776" w:type="dxa"/>
            <w:vAlign w:val="bottom"/>
          </w:tcPr>
          <w:p w:rsidR="00092431" w:rsidRPr="005B1ADC" w:rsidRDefault="00092431" w:rsidP="00092431">
            <w:pPr>
              <w:tabs>
                <w:tab w:val="decimal" w:pos="411"/>
              </w:tabs>
              <w:jc w:val="left"/>
              <w:rPr>
                <w:sz w:val="14"/>
              </w:rPr>
            </w:pPr>
            <w:r>
              <w:rPr>
                <w:sz w:val="14"/>
              </w:rPr>
              <w:t>440.5</w:t>
            </w:r>
          </w:p>
        </w:tc>
        <w:tc>
          <w:tcPr>
            <w:tcW w:w="675" w:type="dxa"/>
            <w:vAlign w:val="bottom"/>
          </w:tcPr>
          <w:p w:rsidR="00092431" w:rsidRPr="005B1ADC" w:rsidRDefault="006F0A69" w:rsidP="00092431">
            <w:pPr>
              <w:tabs>
                <w:tab w:val="decimal" w:pos="189"/>
              </w:tabs>
              <w:jc w:val="left"/>
              <w:rPr>
                <w:sz w:val="14"/>
              </w:rPr>
            </w:pPr>
            <w:r>
              <w:rPr>
                <w:sz w:val="14"/>
              </w:rPr>
              <w:t>13.8%</w:t>
            </w:r>
          </w:p>
        </w:tc>
        <w:tc>
          <w:tcPr>
            <w:tcW w:w="776" w:type="dxa"/>
            <w:vAlign w:val="bottom"/>
          </w:tcPr>
          <w:p w:rsidR="00092431" w:rsidRPr="005B1ADC" w:rsidRDefault="006F0A69" w:rsidP="00092431">
            <w:pPr>
              <w:tabs>
                <w:tab w:val="decimal" w:pos="411"/>
              </w:tabs>
              <w:jc w:val="left"/>
              <w:rPr>
                <w:sz w:val="14"/>
              </w:rPr>
            </w:pPr>
            <w:r>
              <w:rPr>
                <w:sz w:val="14"/>
              </w:rPr>
              <w:t>500.6</w:t>
            </w:r>
          </w:p>
        </w:tc>
        <w:tc>
          <w:tcPr>
            <w:tcW w:w="675" w:type="dxa"/>
            <w:vAlign w:val="bottom"/>
          </w:tcPr>
          <w:p w:rsidR="00092431" w:rsidRPr="005B1ADC" w:rsidRDefault="00BC40B9" w:rsidP="00092431">
            <w:pPr>
              <w:tabs>
                <w:tab w:val="decimal" w:pos="189"/>
              </w:tabs>
              <w:jc w:val="left"/>
              <w:rPr>
                <w:sz w:val="14"/>
              </w:rPr>
            </w:pPr>
            <w:r>
              <w:rPr>
                <w:sz w:val="14"/>
              </w:rPr>
              <w:t>13.6%</w:t>
            </w:r>
          </w:p>
        </w:tc>
        <w:tc>
          <w:tcPr>
            <w:tcW w:w="755" w:type="dxa"/>
            <w:vAlign w:val="bottom"/>
          </w:tcPr>
          <w:p w:rsidR="00092431" w:rsidRPr="005B1ADC" w:rsidRDefault="001E391C" w:rsidP="00092431">
            <w:pPr>
              <w:tabs>
                <w:tab w:val="decimal" w:pos="418"/>
              </w:tabs>
              <w:jc w:val="left"/>
              <w:rPr>
                <w:sz w:val="14"/>
              </w:rPr>
            </w:pPr>
            <w:r>
              <w:rPr>
                <w:sz w:val="14"/>
              </w:rPr>
              <w:t>27.7</w:t>
            </w:r>
          </w:p>
        </w:tc>
        <w:tc>
          <w:tcPr>
            <w:tcW w:w="761" w:type="dxa"/>
            <w:vAlign w:val="bottom"/>
          </w:tcPr>
          <w:p w:rsidR="00092431" w:rsidRPr="005B1ADC" w:rsidRDefault="001E391C" w:rsidP="00092431">
            <w:pPr>
              <w:tabs>
                <w:tab w:val="decimal" w:pos="414"/>
              </w:tabs>
              <w:jc w:val="left"/>
              <w:rPr>
                <w:sz w:val="14"/>
              </w:rPr>
            </w:pPr>
            <w:r>
              <w:rPr>
                <w:sz w:val="14"/>
              </w:rPr>
              <w:t>25.5</w:t>
            </w:r>
          </w:p>
        </w:tc>
        <w:tc>
          <w:tcPr>
            <w:tcW w:w="675" w:type="dxa"/>
            <w:vAlign w:val="bottom"/>
          </w:tcPr>
          <w:p w:rsidR="00092431" w:rsidRPr="005B1ADC" w:rsidRDefault="00BC40B9" w:rsidP="00092431">
            <w:pPr>
              <w:tabs>
                <w:tab w:val="decimal" w:pos="187"/>
              </w:tabs>
              <w:ind w:right="-2"/>
              <w:jc w:val="left"/>
              <w:rPr>
                <w:sz w:val="14"/>
              </w:rPr>
            </w:pPr>
            <w:r>
              <w:rPr>
                <w:sz w:val="14"/>
              </w:rPr>
              <w:t>-8.0%</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Mining</w:t>
            </w:r>
          </w:p>
        </w:tc>
        <w:tc>
          <w:tcPr>
            <w:tcW w:w="776" w:type="dxa"/>
            <w:vAlign w:val="bottom"/>
          </w:tcPr>
          <w:p w:rsidR="00092431" w:rsidRPr="005B1ADC" w:rsidRDefault="00092431" w:rsidP="00092431">
            <w:pPr>
              <w:tabs>
                <w:tab w:val="decimal" w:pos="448"/>
              </w:tabs>
              <w:jc w:val="left"/>
              <w:rPr>
                <w:sz w:val="14"/>
              </w:rPr>
            </w:pPr>
            <w:r w:rsidRPr="005B1ADC">
              <w:rPr>
                <w:sz w:val="14"/>
              </w:rPr>
              <w:t>3,111.7</w:t>
            </w:r>
          </w:p>
        </w:tc>
        <w:tc>
          <w:tcPr>
            <w:tcW w:w="678" w:type="dxa"/>
            <w:vAlign w:val="bottom"/>
          </w:tcPr>
          <w:p w:rsidR="00092431" w:rsidRPr="005B1ADC" w:rsidRDefault="00092431" w:rsidP="00092431">
            <w:pPr>
              <w:tabs>
                <w:tab w:val="decimal" w:pos="240"/>
              </w:tabs>
              <w:jc w:val="left"/>
              <w:rPr>
                <w:sz w:val="14"/>
              </w:rPr>
            </w:pPr>
            <w:r w:rsidRPr="005B1ADC">
              <w:rPr>
                <w:sz w:val="14"/>
              </w:rPr>
              <w:t>22.9</w:t>
            </w:r>
          </w:p>
        </w:tc>
        <w:tc>
          <w:tcPr>
            <w:tcW w:w="776" w:type="dxa"/>
            <w:vAlign w:val="bottom"/>
          </w:tcPr>
          <w:p w:rsidR="00092431" w:rsidRPr="005B1ADC" w:rsidRDefault="00092431" w:rsidP="00092431">
            <w:pPr>
              <w:tabs>
                <w:tab w:val="decimal" w:pos="433"/>
              </w:tabs>
              <w:jc w:val="left"/>
              <w:rPr>
                <w:sz w:val="14"/>
              </w:rPr>
            </w:pPr>
            <w:r w:rsidRPr="005B1ADC">
              <w:rPr>
                <w:sz w:val="14"/>
              </w:rPr>
              <w:t>3,815.6</w:t>
            </w:r>
          </w:p>
        </w:tc>
        <w:tc>
          <w:tcPr>
            <w:tcW w:w="676" w:type="dxa"/>
            <w:vAlign w:val="bottom"/>
          </w:tcPr>
          <w:p w:rsidR="00092431" w:rsidRPr="005B1ADC" w:rsidRDefault="00092431" w:rsidP="00092431">
            <w:pPr>
              <w:tabs>
                <w:tab w:val="decimal" w:pos="222"/>
              </w:tabs>
              <w:jc w:val="left"/>
              <w:rPr>
                <w:sz w:val="14"/>
              </w:rPr>
            </w:pPr>
            <w:r w:rsidRPr="005B1ADC">
              <w:rPr>
                <w:sz w:val="14"/>
              </w:rPr>
              <w:t>22.6</w:t>
            </w:r>
          </w:p>
        </w:tc>
        <w:tc>
          <w:tcPr>
            <w:tcW w:w="776" w:type="dxa"/>
            <w:vAlign w:val="bottom"/>
          </w:tcPr>
          <w:p w:rsidR="00092431" w:rsidRPr="005B1ADC" w:rsidRDefault="00092431" w:rsidP="00092431">
            <w:pPr>
              <w:tabs>
                <w:tab w:val="decimal" w:pos="422"/>
              </w:tabs>
              <w:jc w:val="left"/>
              <w:rPr>
                <w:sz w:val="14"/>
              </w:rPr>
            </w:pPr>
            <w:r w:rsidRPr="005B1ADC">
              <w:rPr>
                <w:sz w:val="14"/>
              </w:rPr>
              <w:t>4,611.8</w:t>
            </w:r>
          </w:p>
        </w:tc>
        <w:tc>
          <w:tcPr>
            <w:tcW w:w="675" w:type="dxa"/>
            <w:vAlign w:val="bottom"/>
          </w:tcPr>
          <w:p w:rsidR="00092431" w:rsidRPr="005B1ADC" w:rsidRDefault="00092431" w:rsidP="00092431">
            <w:pPr>
              <w:tabs>
                <w:tab w:val="decimal" w:pos="192"/>
              </w:tabs>
              <w:jc w:val="left"/>
              <w:rPr>
                <w:sz w:val="14"/>
              </w:rPr>
            </w:pPr>
            <w:r w:rsidRPr="005B1ADC">
              <w:rPr>
                <w:sz w:val="14"/>
              </w:rPr>
              <w:t>20.9</w:t>
            </w:r>
          </w:p>
        </w:tc>
        <w:tc>
          <w:tcPr>
            <w:tcW w:w="776" w:type="dxa"/>
            <w:vAlign w:val="bottom"/>
          </w:tcPr>
          <w:p w:rsidR="00092431" w:rsidRPr="005B1ADC" w:rsidRDefault="00092431" w:rsidP="00092431">
            <w:pPr>
              <w:tabs>
                <w:tab w:val="decimal" w:pos="411"/>
              </w:tabs>
              <w:jc w:val="left"/>
              <w:rPr>
                <w:sz w:val="14"/>
              </w:rPr>
            </w:pPr>
            <w:r>
              <w:rPr>
                <w:sz w:val="14"/>
              </w:rPr>
              <w:t>5,573.0</w:t>
            </w:r>
          </w:p>
        </w:tc>
        <w:tc>
          <w:tcPr>
            <w:tcW w:w="675" w:type="dxa"/>
            <w:vAlign w:val="bottom"/>
          </w:tcPr>
          <w:p w:rsidR="00092431" w:rsidRPr="005B1ADC" w:rsidRDefault="006F0A69" w:rsidP="00092431">
            <w:pPr>
              <w:tabs>
                <w:tab w:val="decimal" w:pos="189"/>
              </w:tabs>
              <w:jc w:val="left"/>
              <w:rPr>
                <w:sz w:val="14"/>
              </w:rPr>
            </w:pPr>
            <w:r>
              <w:rPr>
                <w:sz w:val="14"/>
              </w:rPr>
              <w:t>20.8</w:t>
            </w:r>
          </w:p>
        </w:tc>
        <w:tc>
          <w:tcPr>
            <w:tcW w:w="776" w:type="dxa"/>
            <w:vAlign w:val="bottom"/>
          </w:tcPr>
          <w:p w:rsidR="00092431" w:rsidRPr="005B1ADC" w:rsidRDefault="006F0A69" w:rsidP="00092431">
            <w:pPr>
              <w:tabs>
                <w:tab w:val="decimal" w:pos="411"/>
              </w:tabs>
              <w:jc w:val="left"/>
              <w:rPr>
                <w:sz w:val="14"/>
              </w:rPr>
            </w:pPr>
            <w:r>
              <w:rPr>
                <w:sz w:val="14"/>
              </w:rPr>
              <w:t>3,743.4</w:t>
            </w:r>
          </w:p>
        </w:tc>
        <w:tc>
          <w:tcPr>
            <w:tcW w:w="675" w:type="dxa"/>
            <w:vAlign w:val="bottom"/>
          </w:tcPr>
          <w:p w:rsidR="00092431" w:rsidRPr="005B1ADC" w:rsidRDefault="00BC40B9" w:rsidP="00092431">
            <w:pPr>
              <w:tabs>
                <w:tab w:val="decimal" w:pos="189"/>
              </w:tabs>
              <w:jc w:val="left"/>
              <w:rPr>
                <w:sz w:val="14"/>
              </w:rPr>
            </w:pPr>
            <w:r>
              <w:rPr>
                <w:sz w:val="14"/>
              </w:rPr>
              <w:t>-32.8</w:t>
            </w:r>
          </w:p>
        </w:tc>
        <w:tc>
          <w:tcPr>
            <w:tcW w:w="755" w:type="dxa"/>
            <w:vAlign w:val="bottom"/>
          </w:tcPr>
          <w:p w:rsidR="00092431" w:rsidRPr="005B1ADC" w:rsidRDefault="001E391C" w:rsidP="00092431">
            <w:pPr>
              <w:tabs>
                <w:tab w:val="decimal" w:pos="418"/>
              </w:tabs>
              <w:jc w:val="left"/>
              <w:rPr>
                <w:sz w:val="14"/>
              </w:rPr>
            </w:pPr>
            <w:r>
              <w:rPr>
                <w:sz w:val="14"/>
              </w:rPr>
              <w:t>709.9</w:t>
            </w:r>
          </w:p>
        </w:tc>
        <w:tc>
          <w:tcPr>
            <w:tcW w:w="761" w:type="dxa"/>
            <w:vAlign w:val="bottom"/>
          </w:tcPr>
          <w:p w:rsidR="00092431" w:rsidRPr="005B1ADC" w:rsidRDefault="001E391C" w:rsidP="00092431">
            <w:pPr>
              <w:tabs>
                <w:tab w:val="decimal" w:pos="414"/>
              </w:tabs>
              <w:jc w:val="left"/>
              <w:rPr>
                <w:sz w:val="14"/>
              </w:rPr>
            </w:pPr>
            <w:r>
              <w:rPr>
                <w:sz w:val="14"/>
              </w:rPr>
              <w:t>348.8</w:t>
            </w:r>
          </w:p>
        </w:tc>
        <w:tc>
          <w:tcPr>
            <w:tcW w:w="675" w:type="dxa"/>
            <w:vAlign w:val="bottom"/>
          </w:tcPr>
          <w:p w:rsidR="00092431" w:rsidRPr="005B1ADC" w:rsidRDefault="00BC40B9" w:rsidP="00092431">
            <w:pPr>
              <w:tabs>
                <w:tab w:val="decimal" w:pos="187"/>
              </w:tabs>
              <w:ind w:right="-2"/>
              <w:jc w:val="left"/>
              <w:rPr>
                <w:sz w:val="14"/>
              </w:rPr>
            </w:pPr>
            <w:r>
              <w:rPr>
                <w:sz w:val="14"/>
              </w:rPr>
              <w:t>-50.9</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Utilities</w:t>
            </w:r>
          </w:p>
        </w:tc>
        <w:tc>
          <w:tcPr>
            <w:tcW w:w="776" w:type="dxa"/>
            <w:vAlign w:val="bottom"/>
          </w:tcPr>
          <w:p w:rsidR="00092431" w:rsidRPr="005B1ADC" w:rsidRDefault="00092431" w:rsidP="00092431">
            <w:pPr>
              <w:tabs>
                <w:tab w:val="decimal" w:pos="448"/>
              </w:tabs>
              <w:jc w:val="left"/>
              <w:rPr>
                <w:sz w:val="14"/>
              </w:rPr>
            </w:pPr>
            <w:r w:rsidRPr="005B1ADC">
              <w:rPr>
                <w:sz w:val="14"/>
              </w:rPr>
              <w:t>7,353.2</w:t>
            </w:r>
          </w:p>
        </w:tc>
        <w:tc>
          <w:tcPr>
            <w:tcW w:w="678" w:type="dxa"/>
            <w:vAlign w:val="bottom"/>
          </w:tcPr>
          <w:p w:rsidR="00092431" w:rsidRPr="005B1ADC" w:rsidRDefault="00092431" w:rsidP="00092431">
            <w:pPr>
              <w:tabs>
                <w:tab w:val="decimal" w:pos="240"/>
              </w:tabs>
              <w:jc w:val="left"/>
              <w:rPr>
                <w:sz w:val="14"/>
              </w:rPr>
            </w:pPr>
            <w:r w:rsidRPr="005B1ADC">
              <w:rPr>
                <w:sz w:val="14"/>
              </w:rPr>
              <w:t>-29.1</w:t>
            </w:r>
          </w:p>
        </w:tc>
        <w:tc>
          <w:tcPr>
            <w:tcW w:w="776" w:type="dxa"/>
            <w:vAlign w:val="bottom"/>
          </w:tcPr>
          <w:p w:rsidR="00092431" w:rsidRPr="005B1ADC" w:rsidRDefault="00092431" w:rsidP="00092431">
            <w:pPr>
              <w:tabs>
                <w:tab w:val="decimal" w:pos="433"/>
              </w:tabs>
              <w:jc w:val="left"/>
              <w:rPr>
                <w:sz w:val="14"/>
              </w:rPr>
            </w:pPr>
            <w:r w:rsidRPr="005B1ADC">
              <w:rPr>
                <w:sz w:val="14"/>
              </w:rPr>
              <w:t>7,332.9</w:t>
            </w:r>
          </w:p>
        </w:tc>
        <w:tc>
          <w:tcPr>
            <w:tcW w:w="676" w:type="dxa"/>
            <w:vAlign w:val="bottom"/>
          </w:tcPr>
          <w:p w:rsidR="00092431" w:rsidRPr="005B1ADC" w:rsidRDefault="00092431" w:rsidP="00092431">
            <w:pPr>
              <w:tabs>
                <w:tab w:val="decimal" w:pos="222"/>
              </w:tabs>
              <w:jc w:val="left"/>
              <w:rPr>
                <w:sz w:val="14"/>
              </w:rPr>
            </w:pPr>
            <w:r w:rsidRPr="005B1ADC">
              <w:rPr>
                <w:sz w:val="14"/>
              </w:rPr>
              <w:t>-0.3</w:t>
            </w:r>
          </w:p>
        </w:tc>
        <w:tc>
          <w:tcPr>
            <w:tcW w:w="776" w:type="dxa"/>
            <w:vAlign w:val="bottom"/>
          </w:tcPr>
          <w:p w:rsidR="00092431" w:rsidRPr="005B1ADC" w:rsidRDefault="00092431" w:rsidP="00092431">
            <w:pPr>
              <w:tabs>
                <w:tab w:val="decimal" w:pos="422"/>
              </w:tabs>
              <w:jc w:val="left"/>
              <w:rPr>
                <w:sz w:val="14"/>
              </w:rPr>
            </w:pPr>
            <w:r w:rsidRPr="005B1ADC">
              <w:rPr>
                <w:sz w:val="14"/>
              </w:rPr>
              <w:t>7,635.7</w:t>
            </w:r>
          </w:p>
        </w:tc>
        <w:tc>
          <w:tcPr>
            <w:tcW w:w="675" w:type="dxa"/>
            <w:vAlign w:val="bottom"/>
          </w:tcPr>
          <w:p w:rsidR="00092431" w:rsidRPr="005B1ADC" w:rsidRDefault="00092431" w:rsidP="00092431">
            <w:pPr>
              <w:tabs>
                <w:tab w:val="decimal" w:pos="192"/>
              </w:tabs>
              <w:jc w:val="left"/>
              <w:rPr>
                <w:sz w:val="14"/>
              </w:rPr>
            </w:pPr>
            <w:r w:rsidRPr="005B1ADC">
              <w:rPr>
                <w:sz w:val="14"/>
              </w:rPr>
              <w:t>4.1</w:t>
            </w:r>
          </w:p>
        </w:tc>
        <w:tc>
          <w:tcPr>
            <w:tcW w:w="776" w:type="dxa"/>
            <w:vAlign w:val="bottom"/>
          </w:tcPr>
          <w:p w:rsidR="00092431" w:rsidRPr="005B1ADC" w:rsidRDefault="00092431" w:rsidP="00092431">
            <w:pPr>
              <w:tabs>
                <w:tab w:val="decimal" w:pos="411"/>
              </w:tabs>
              <w:jc w:val="left"/>
              <w:rPr>
                <w:sz w:val="14"/>
              </w:rPr>
            </w:pPr>
            <w:r>
              <w:rPr>
                <w:sz w:val="14"/>
              </w:rPr>
              <w:t>7,929.0</w:t>
            </w:r>
          </w:p>
        </w:tc>
        <w:tc>
          <w:tcPr>
            <w:tcW w:w="675" w:type="dxa"/>
            <w:vAlign w:val="bottom"/>
          </w:tcPr>
          <w:p w:rsidR="00092431" w:rsidRPr="005B1ADC" w:rsidRDefault="006F0A69" w:rsidP="00092431">
            <w:pPr>
              <w:tabs>
                <w:tab w:val="decimal" w:pos="189"/>
              </w:tabs>
              <w:jc w:val="left"/>
              <w:rPr>
                <w:sz w:val="14"/>
              </w:rPr>
            </w:pPr>
            <w:r>
              <w:rPr>
                <w:sz w:val="14"/>
              </w:rPr>
              <w:t>3.8</w:t>
            </w:r>
          </w:p>
        </w:tc>
        <w:tc>
          <w:tcPr>
            <w:tcW w:w="776" w:type="dxa"/>
            <w:vAlign w:val="bottom"/>
          </w:tcPr>
          <w:p w:rsidR="00092431" w:rsidRPr="005B1ADC" w:rsidRDefault="006F0A69" w:rsidP="00092431">
            <w:pPr>
              <w:tabs>
                <w:tab w:val="decimal" w:pos="411"/>
              </w:tabs>
              <w:jc w:val="left"/>
              <w:rPr>
                <w:sz w:val="14"/>
              </w:rPr>
            </w:pPr>
            <w:r>
              <w:rPr>
                <w:sz w:val="14"/>
              </w:rPr>
              <w:t>7,612.1</w:t>
            </w:r>
          </w:p>
        </w:tc>
        <w:tc>
          <w:tcPr>
            <w:tcW w:w="675" w:type="dxa"/>
            <w:vAlign w:val="bottom"/>
          </w:tcPr>
          <w:p w:rsidR="00092431" w:rsidRPr="005B1ADC" w:rsidRDefault="00BC40B9" w:rsidP="00092431">
            <w:pPr>
              <w:tabs>
                <w:tab w:val="decimal" w:pos="189"/>
              </w:tabs>
              <w:jc w:val="left"/>
              <w:rPr>
                <w:sz w:val="14"/>
              </w:rPr>
            </w:pPr>
            <w:r>
              <w:rPr>
                <w:sz w:val="14"/>
              </w:rPr>
              <w:t>-4.0</w:t>
            </w:r>
          </w:p>
        </w:tc>
        <w:tc>
          <w:tcPr>
            <w:tcW w:w="755" w:type="dxa"/>
            <w:vAlign w:val="bottom"/>
          </w:tcPr>
          <w:p w:rsidR="00092431" w:rsidRPr="005B1ADC" w:rsidRDefault="001E391C" w:rsidP="00092431">
            <w:pPr>
              <w:tabs>
                <w:tab w:val="decimal" w:pos="418"/>
              </w:tabs>
              <w:jc w:val="left"/>
              <w:rPr>
                <w:sz w:val="14"/>
              </w:rPr>
            </w:pPr>
            <w:r>
              <w:rPr>
                <w:sz w:val="14"/>
              </w:rPr>
              <w:t>1,453.1</w:t>
            </w:r>
          </w:p>
        </w:tc>
        <w:tc>
          <w:tcPr>
            <w:tcW w:w="761" w:type="dxa"/>
            <w:vAlign w:val="bottom"/>
          </w:tcPr>
          <w:p w:rsidR="00092431" w:rsidRPr="005B1ADC" w:rsidRDefault="001E391C" w:rsidP="00092431">
            <w:pPr>
              <w:tabs>
                <w:tab w:val="decimal" w:pos="414"/>
              </w:tabs>
              <w:jc w:val="left"/>
              <w:rPr>
                <w:sz w:val="14"/>
              </w:rPr>
            </w:pPr>
            <w:r>
              <w:rPr>
                <w:sz w:val="14"/>
              </w:rPr>
              <w:t>1,340.5</w:t>
            </w:r>
          </w:p>
        </w:tc>
        <w:tc>
          <w:tcPr>
            <w:tcW w:w="675" w:type="dxa"/>
            <w:vAlign w:val="bottom"/>
          </w:tcPr>
          <w:p w:rsidR="00092431" w:rsidRPr="005B1ADC" w:rsidRDefault="00BC40B9" w:rsidP="00092431">
            <w:pPr>
              <w:tabs>
                <w:tab w:val="decimal" w:pos="187"/>
              </w:tabs>
              <w:ind w:right="-2"/>
              <w:jc w:val="left"/>
              <w:rPr>
                <w:sz w:val="14"/>
              </w:rPr>
            </w:pPr>
            <w:r>
              <w:rPr>
                <w:sz w:val="14"/>
              </w:rPr>
              <w:t>-7.8</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Construction</w:t>
            </w:r>
          </w:p>
        </w:tc>
        <w:tc>
          <w:tcPr>
            <w:tcW w:w="776" w:type="dxa"/>
            <w:vAlign w:val="bottom"/>
          </w:tcPr>
          <w:p w:rsidR="00092431" w:rsidRPr="005B1ADC" w:rsidRDefault="00092431" w:rsidP="00092431">
            <w:pPr>
              <w:tabs>
                <w:tab w:val="decimal" w:pos="448"/>
              </w:tabs>
              <w:jc w:val="left"/>
              <w:rPr>
                <w:sz w:val="14"/>
              </w:rPr>
            </w:pPr>
            <w:r w:rsidRPr="005B1ADC">
              <w:rPr>
                <w:sz w:val="14"/>
              </w:rPr>
              <w:t>2,829.3</w:t>
            </w:r>
          </w:p>
        </w:tc>
        <w:tc>
          <w:tcPr>
            <w:tcW w:w="678" w:type="dxa"/>
            <w:vAlign w:val="bottom"/>
          </w:tcPr>
          <w:p w:rsidR="00092431" w:rsidRPr="005B1ADC" w:rsidRDefault="00092431" w:rsidP="00092431">
            <w:pPr>
              <w:tabs>
                <w:tab w:val="decimal" w:pos="240"/>
              </w:tabs>
              <w:jc w:val="left"/>
              <w:rPr>
                <w:sz w:val="14"/>
              </w:rPr>
            </w:pPr>
            <w:r w:rsidRPr="005B1ADC">
              <w:rPr>
                <w:sz w:val="14"/>
              </w:rPr>
              <w:t>2.6</w:t>
            </w:r>
          </w:p>
        </w:tc>
        <w:tc>
          <w:tcPr>
            <w:tcW w:w="776" w:type="dxa"/>
            <w:vAlign w:val="bottom"/>
          </w:tcPr>
          <w:p w:rsidR="00092431" w:rsidRPr="005B1ADC" w:rsidRDefault="00092431" w:rsidP="00092431">
            <w:pPr>
              <w:tabs>
                <w:tab w:val="decimal" w:pos="433"/>
              </w:tabs>
              <w:jc w:val="left"/>
              <w:rPr>
                <w:sz w:val="14"/>
              </w:rPr>
            </w:pPr>
            <w:r w:rsidRPr="005B1ADC">
              <w:rPr>
                <w:sz w:val="14"/>
              </w:rPr>
              <w:t>3,396.0</w:t>
            </w:r>
          </w:p>
        </w:tc>
        <w:tc>
          <w:tcPr>
            <w:tcW w:w="676" w:type="dxa"/>
            <w:vAlign w:val="bottom"/>
          </w:tcPr>
          <w:p w:rsidR="00092431" w:rsidRPr="005B1ADC" w:rsidRDefault="00092431" w:rsidP="00092431">
            <w:pPr>
              <w:tabs>
                <w:tab w:val="decimal" w:pos="222"/>
              </w:tabs>
              <w:jc w:val="left"/>
              <w:rPr>
                <w:sz w:val="14"/>
              </w:rPr>
            </w:pPr>
            <w:r w:rsidRPr="005B1ADC">
              <w:rPr>
                <w:sz w:val="14"/>
              </w:rPr>
              <w:t>20.0</w:t>
            </w:r>
          </w:p>
        </w:tc>
        <w:tc>
          <w:tcPr>
            <w:tcW w:w="776" w:type="dxa"/>
            <w:vAlign w:val="bottom"/>
          </w:tcPr>
          <w:p w:rsidR="00092431" w:rsidRPr="005B1ADC" w:rsidRDefault="00092431" w:rsidP="00092431">
            <w:pPr>
              <w:tabs>
                <w:tab w:val="decimal" w:pos="422"/>
              </w:tabs>
              <w:jc w:val="left"/>
              <w:rPr>
                <w:sz w:val="14"/>
              </w:rPr>
            </w:pPr>
            <w:r w:rsidRPr="005B1ADC">
              <w:rPr>
                <w:sz w:val="14"/>
              </w:rPr>
              <w:t>3,531.5</w:t>
            </w:r>
          </w:p>
        </w:tc>
        <w:tc>
          <w:tcPr>
            <w:tcW w:w="675" w:type="dxa"/>
            <w:vAlign w:val="bottom"/>
          </w:tcPr>
          <w:p w:rsidR="00092431" w:rsidRPr="005B1ADC" w:rsidRDefault="00092431" w:rsidP="00092431">
            <w:pPr>
              <w:tabs>
                <w:tab w:val="decimal" w:pos="192"/>
              </w:tabs>
              <w:jc w:val="left"/>
              <w:rPr>
                <w:sz w:val="14"/>
              </w:rPr>
            </w:pPr>
            <w:r w:rsidRPr="005B1ADC">
              <w:rPr>
                <w:sz w:val="14"/>
              </w:rPr>
              <w:t>4.0</w:t>
            </w:r>
          </w:p>
        </w:tc>
        <w:tc>
          <w:tcPr>
            <w:tcW w:w="776" w:type="dxa"/>
            <w:vAlign w:val="bottom"/>
          </w:tcPr>
          <w:p w:rsidR="00092431" w:rsidRPr="005B1ADC" w:rsidRDefault="00092431" w:rsidP="00092431">
            <w:pPr>
              <w:tabs>
                <w:tab w:val="decimal" w:pos="411"/>
              </w:tabs>
              <w:jc w:val="left"/>
              <w:rPr>
                <w:sz w:val="14"/>
              </w:rPr>
            </w:pPr>
            <w:r>
              <w:rPr>
                <w:sz w:val="14"/>
              </w:rPr>
              <w:t>4,170.5</w:t>
            </w:r>
          </w:p>
        </w:tc>
        <w:tc>
          <w:tcPr>
            <w:tcW w:w="675" w:type="dxa"/>
            <w:vAlign w:val="bottom"/>
          </w:tcPr>
          <w:p w:rsidR="00092431" w:rsidRPr="005B1ADC" w:rsidRDefault="006F0A69" w:rsidP="00092431">
            <w:pPr>
              <w:tabs>
                <w:tab w:val="decimal" w:pos="189"/>
              </w:tabs>
              <w:jc w:val="left"/>
              <w:rPr>
                <w:sz w:val="14"/>
              </w:rPr>
            </w:pPr>
            <w:r>
              <w:rPr>
                <w:sz w:val="14"/>
              </w:rPr>
              <w:t>18.1</w:t>
            </w:r>
          </w:p>
        </w:tc>
        <w:tc>
          <w:tcPr>
            <w:tcW w:w="776" w:type="dxa"/>
            <w:vAlign w:val="bottom"/>
          </w:tcPr>
          <w:p w:rsidR="00092431" w:rsidRPr="005B1ADC" w:rsidRDefault="006F0A69" w:rsidP="00092431">
            <w:pPr>
              <w:tabs>
                <w:tab w:val="decimal" w:pos="411"/>
              </w:tabs>
              <w:jc w:val="left"/>
              <w:rPr>
                <w:sz w:val="14"/>
              </w:rPr>
            </w:pPr>
            <w:r>
              <w:rPr>
                <w:sz w:val="14"/>
              </w:rPr>
              <w:t>4,685.8</w:t>
            </w:r>
          </w:p>
        </w:tc>
        <w:tc>
          <w:tcPr>
            <w:tcW w:w="675" w:type="dxa"/>
            <w:vAlign w:val="bottom"/>
          </w:tcPr>
          <w:p w:rsidR="00092431" w:rsidRPr="005B1ADC" w:rsidRDefault="00BC40B9" w:rsidP="00092431">
            <w:pPr>
              <w:tabs>
                <w:tab w:val="decimal" w:pos="189"/>
              </w:tabs>
              <w:jc w:val="left"/>
              <w:rPr>
                <w:sz w:val="14"/>
              </w:rPr>
            </w:pPr>
            <w:r>
              <w:rPr>
                <w:sz w:val="14"/>
              </w:rPr>
              <w:t>12.4</w:t>
            </w:r>
          </w:p>
        </w:tc>
        <w:tc>
          <w:tcPr>
            <w:tcW w:w="755" w:type="dxa"/>
            <w:vAlign w:val="bottom"/>
          </w:tcPr>
          <w:p w:rsidR="00092431" w:rsidRPr="005B1ADC" w:rsidRDefault="001E391C" w:rsidP="00092431">
            <w:pPr>
              <w:tabs>
                <w:tab w:val="decimal" w:pos="418"/>
              </w:tabs>
              <w:jc w:val="left"/>
              <w:rPr>
                <w:sz w:val="14"/>
              </w:rPr>
            </w:pPr>
            <w:r>
              <w:rPr>
                <w:sz w:val="14"/>
              </w:rPr>
              <w:t>530.4</w:t>
            </w:r>
          </w:p>
        </w:tc>
        <w:tc>
          <w:tcPr>
            <w:tcW w:w="761" w:type="dxa"/>
            <w:vAlign w:val="bottom"/>
          </w:tcPr>
          <w:p w:rsidR="00092431" w:rsidRPr="005B1ADC" w:rsidRDefault="001E391C" w:rsidP="00092431">
            <w:pPr>
              <w:tabs>
                <w:tab w:val="decimal" w:pos="414"/>
              </w:tabs>
              <w:jc w:val="left"/>
              <w:rPr>
                <w:sz w:val="14"/>
              </w:rPr>
            </w:pPr>
            <w:r>
              <w:rPr>
                <w:sz w:val="14"/>
              </w:rPr>
              <w:t>525.2</w:t>
            </w:r>
          </w:p>
        </w:tc>
        <w:tc>
          <w:tcPr>
            <w:tcW w:w="675" w:type="dxa"/>
            <w:vAlign w:val="bottom"/>
          </w:tcPr>
          <w:p w:rsidR="00092431" w:rsidRPr="005B1ADC" w:rsidRDefault="00BC40B9" w:rsidP="00092431">
            <w:pPr>
              <w:tabs>
                <w:tab w:val="decimal" w:pos="187"/>
              </w:tabs>
              <w:ind w:right="-2"/>
              <w:jc w:val="left"/>
              <w:rPr>
                <w:sz w:val="14"/>
              </w:rPr>
            </w:pPr>
            <w:r>
              <w:rPr>
                <w:sz w:val="14"/>
              </w:rPr>
              <w:t>-1.0</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Manufacturing</w:t>
            </w:r>
          </w:p>
        </w:tc>
        <w:tc>
          <w:tcPr>
            <w:tcW w:w="776" w:type="dxa"/>
            <w:vAlign w:val="bottom"/>
          </w:tcPr>
          <w:p w:rsidR="00092431" w:rsidRPr="005B1ADC" w:rsidRDefault="00092431" w:rsidP="00092431">
            <w:pPr>
              <w:tabs>
                <w:tab w:val="decimal" w:pos="448"/>
              </w:tabs>
              <w:jc w:val="left"/>
              <w:rPr>
                <w:sz w:val="14"/>
              </w:rPr>
            </w:pPr>
            <w:r w:rsidRPr="005B1ADC">
              <w:rPr>
                <w:sz w:val="14"/>
              </w:rPr>
              <w:t>15,909.3</w:t>
            </w:r>
          </w:p>
        </w:tc>
        <w:tc>
          <w:tcPr>
            <w:tcW w:w="678" w:type="dxa"/>
            <w:vAlign w:val="bottom"/>
          </w:tcPr>
          <w:p w:rsidR="00092431" w:rsidRPr="005B1ADC" w:rsidRDefault="00092431" w:rsidP="00092431">
            <w:pPr>
              <w:tabs>
                <w:tab w:val="decimal" w:pos="240"/>
              </w:tabs>
              <w:jc w:val="left"/>
              <w:rPr>
                <w:sz w:val="14"/>
              </w:rPr>
            </w:pPr>
            <w:r w:rsidRPr="005B1ADC">
              <w:rPr>
                <w:sz w:val="14"/>
              </w:rPr>
              <w:t>52.6</w:t>
            </w:r>
          </w:p>
        </w:tc>
        <w:tc>
          <w:tcPr>
            <w:tcW w:w="776" w:type="dxa"/>
            <w:vAlign w:val="bottom"/>
          </w:tcPr>
          <w:p w:rsidR="00092431" w:rsidRPr="005B1ADC" w:rsidRDefault="00092431" w:rsidP="00092431">
            <w:pPr>
              <w:tabs>
                <w:tab w:val="decimal" w:pos="433"/>
              </w:tabs>
              <w:jc w:val="left"/>
              <w:rPr>
                <w:sz w:val="14"/>
              </w:rPr>
            </w:pPr>
            <w:r w:rsidRPr="005B1ADC">
              <w:rPr>
                <w:sz w:val="14"/>
              </w:rPr>
              <w:t>18,192.1</w:t>
            </w:r>
          </w:p>
        </w:tc>
        <w:tc>
          <w:tcPr>
            <w:tcW w:w="676" w:type="dxa"/>
            <w:vAlign w:val="bottom"/>
          </w:tcPr>
          <w:p w:rsidR="00092431" w:rsidRPr="005B1ADC" w:rsidRDefault="00092431" w:rsidP="00092431">
            <w:pPr>
              <w:tabs>
                <w:tab w:val="decimal" w:pos="222"/>
              </w:tabs>
              <w:jc w:val="left"/>
              <w:rPr>
                <w:sz w:val="14"/>
              </w:rPr>
            </w:pPr>
            <w:r w:rsidRPr="005B1ADC">
              <w:rPr>
                <w:sz w:val="14"/>
              </w:rPr>
              <w:t>14.3</w:t>
            </w:r>
          </w:p>
        </w:tc>
        <w:tc>
          <w:tcPr>
            <w:tcW w:w="776" w:type="dxa"/>
            <w:vAlign w:val="bottom"/>
          </w:tcPr>
          <w:p w:rsidR="00092431" w:rsidRPr="005B1ADC" w:rsidRDefault="00092431" w:rsidP="00092431">
            <w:pPr>
              <w:tabs>
                <w:tab w:val="decimal" w:pos="422"/>
              </w:tabs>
              <w:jc w:val="left"/>
              <w:rPr>
                <w:sz w:val="14"/>
              </w:rPr>
            </w:pPr>
            <w:r w:rsidRPr="005B1ADC">
              <w:rPr>
                <w:sz w:val="14"/>
              </w:rPr>
              <w:t>18,747.5</w:t>
            </w:r>
          </w:p>
        </w:tc>
        <w:tc>
          <w:tcPr>
            <w:tcW w:w="675" w:type="dxa"/>
            <w:vAlign w:val="bottom"/>
          </w:tcPr>
          <w:p w:rsidR="00092431" w:rsidRPr="005B1ADC" w:rsidRDefault="00092431" w:rsidP="00092431">
            <w:pPr>
              <w:tabs>
                <w:tab w:val="decimal" w:pos="192"/>
              </w:tabs>
              <w:jc w:val="left"/>
              <w:rPr>
                <w:sz w:val="14"/>
              </w:rPr>
            </w:pPr>
            <w:r w:rsidRPr="005B1ADC">
              <w:rPr>
                <w:sz w:val="14"/>
              </w:rPr>
              <w:t>3.1</w:t>
            </w:r>
          </w:p>
        </w:tc>
        <w:tc>
          <w:tcPr>
            <w:tcW w:w="776" w:type="dxa"/>
            <w:vAlign w:val="bottom"/>
          </w:tcPr>
          <w:p w:rsidR="00092431" w:rsidRPr="005B1ADC" w:rsidRDefault="00092431" w:rsidP="00092431">
            <w:pPr>
              <w:tabs>
                <w:tab w:val="decimal" w:pos="411"/>
              </w:tabs>
              <w:jc w:val="left"/>
              <w:rPr>
                <w:sz w:val="14"/>
              </w:rPr>
            </w:pPr>
            <w:r>
              <w:rPr>
                <w:sz w:val="14"/>
              </w:rPr>
              <w:t>19,782.9</w:t>
            </w:r>
          </w:p>
        </w:tc>
        <w:tc>
          <w:tcPr>
            <w:tcW w:w="675" w:type="dxa"/>
            <w:vAlign w:val="bottom"/>
          </w:tcPr>
          <w:p w:rsidR="00092431" w:rsidRPr="005B1ADC" w:rsidRDefault="006F0A69" w:rsidP="00092431">
            <w:pPr>
              <w:tabs>
                <w:tab w:val="decimal" w:pos="189"/>
              </w:tabs>
              <w:jc w:val="left"/>
              <w:rPr>
                <w:sz w:val="14"/>
              </w:rPr>
            </w:pPr>
            <w:r>
              <w:rPr>
                <w:sz w:val="14"/>
              </w:rPr>
              <w:t>5.5</w:t>
            </w:r>
          </w:p>
        </w:tc>
        <w:tc>
          <w:tcPr>
            <w:tcW w:w="776" w:type="dxa"/>
            <w:vAlign w:val="bottom"/>
          </w:tcPr>
          <w:p w:rsidR="00092431" w:rsidRPr="005B1ADC" w:rsidRDefault="006F0A69" w:rsidP="00092431">
            <w:pPr>
              <w:tabs>
                <w:tab w:val="decimal" w:pos="411"/>
              </w:tabs>
              <w:jc w:val="left"/>
              <w:rPr>
                <w:sz w:val="14"/>
              </w:rPr>
            </w:pPr>
            <w:r>
              <w:rPr>
                <w:sz w:val="14"/>
              </w:rPr>
              <w:t>15,864.8</w:t>
            </w:r>
          </w:p>
        </w:tc>
        <w:tc>
          <w:tcPr>
            <w:tcW w:w="675" w:type="dxa"/>
            <w:vAlign w:val="bottom"/>
          </w:tcPr>
          <w:p w:rsidR="00092431" w:rsidRPr="005B1ADC" w:rsidRDefault="00BC40B9" w:rsidP="00092431">
            <w:pPr>
              <w:tabs>
                <w:tab w:val="decimal" w:pos="189"/>
              </w:tabs>
              <w:jc w:val="left"/>
              <w:rPr>
                <w:sz w:val="14"/>
              </w:rPr>
            </w:pPr>
            <w:r>
              <w:rPr>
                <w:sz w:val="14"/>
              </w:rPr>
              <w:t>-19.8</w:t>
            </w:r>
          </w:p>
        </w:tc>
        <w:tc>
          <w:tcPr>
            <w:tcW w:w="755" w:type="dxa"/>
            <w:vAlign w:val="bottom"/>
          </w:tcPr>
          <w:p w:rsidR="00092431" w:rsidRPr="005B1ADC" w:rsidRDefault="001E391C" w:rsidP="00092431">
            <w:pPr>
              <w:tabs>
                <w:tab w:val="decimal" w:pos="418"/>
              </w:tabs>
              <w:jc w:val="left"/>
              <w:rPr>
                <w:sz w:val="14"/>
              </w:rPr>
            </w:pPr>
            <w:r>
              <w:rPr>
                <w:sz w:val="14"/>
              </w:rPr>
              <w:t>2,204.8</w:t>
            </w:r>
          </w:p>
        </w:tc>
        <w:tc>
          <w:tcPr>
            <w:tcW w:w="761" w:type="dxa"/>
            <w:vAlign w:val="bottom"/>
          </w:tcPr>
          <w:p w:rsidR="00092431" w:rsidRPr="005B1ADC" w:rsidRDefault="001E391C" w:rsidP="00092431">
            <w:pPr>
              <w:tabs>
                <w:tab w:val="decimal" w:pos="414"/>
              </w:tabs>
              <w:jc w:val="left"/>
              <w:rPr>
                <w:sz w:val="14"/>
              </w:rPr>
            </w:pPr>
            <w:r>
              <w:rPr>
                <w:sz w:val="14"/>
              </w:rPr>
              <w:t>1,817.1</w:t>
            </w:r>
          </w:p>
        </w:tc>
        <w:tc>
          <w:tcPr>
            <w:tcW w:w="675" w:type="dxa"/>
            <w:vAlign w:val="bottom"/>
          </w:tcPr>
          <w:p w:rsidR="00092431" w:rsidRPr="005B1ADC" w:rsidRDefault="00BC40B9" w:rsidP="00092431">
            <w:pPr>
              <w:tabs>
                <w:tab w:val="decimal" w:pos="187"/>
              </w:tabs>
              <w:ind w:right="-2"/>
              <w:jc w:val="left"/>
              <w:rPr>
                <w:sz w:val="14"/>
              </w:rPr>
            </w:pPr>
            <w:r>
              <w:rPr>
                <w:sz w:val="14"/>
              </w:rPr>
              <w:t>-18.0</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Wholesale Trade</w:t>
            </w:r>
          </w:p>
        </w:tc>
        <w:tc>
          <w:tcPr>
            <w:tcW w:w="776" w:type="dxa"/>
            <w:vAlign w:val="bottom"/>
          </w:tcPr>
          <w:p w:rsidR="00092431" w:rsidRPr="005B1ADC" w:rsidRDefault="00092431" w:rsidP="00092431">
            <w:pPr>
              <w:tabs>
                <w:tab w:val="decimal" w:pos="448"/>
              </w:tabs>
              <w:jc w:val="left"/>
              <w:rPr>
                <w:sz w:val="14"/>
              </w:rPr>
            </w:pPr>
            <w:r w:rsidRPr="005B1ADC">
              <w:rPr>
                <w:sz w:val="14"/>
              </w:rPr>
              <w:t>13,084.9</w:t>
            </w:r>
          </w:p>
        </w:tc>
        <w:tc>
          <w:tcPr>
            <w:tcW w:w="678" w:type="dxa"/>
            <w:vAlign w:val="bottom"/>
          </w:tcPr>
          <w:p w:rsidR="00092431" w:rsidRPr="005B1ADC" w:rsidRDefault="00092431" w:rsidP="00092431">
            <w:pPr>
              <w:tabs>
                <w:tab w:val="decimal" w:pos="240"/>
              </w:tabs>
              <w:jc w:val="left"/>
              <w:rPr>
                <w:sz w:val="14"/>
              </w:rPr>
            </w:pPr>
            <w:r w:rsidRPr="005B1ADC">
              <w:rPr>
                <w:sz w:val="14"/>
              </w:rPr>
              <w:t>5.3</w:t>
            </w:r>
          </w:p>
        </w:tc>
        <w:tc>
          <w:tcPr>
            <w:tcW w:w="776" w:type="dxa"/>
            <w:vAlign w:val="bottom"/>
          </w:tcPr>
          <w:p w:rsidR="00092431" w:rsidRPr="005B1ADC" w:rsidRDefault="00092431" w:rsidP="00092431">
            <w:pPr>
              <w:tabs>
                <w:tab w:val="decimal" w:pos="433"/>
              </w:tabs>
              <w:jc w:val="left"/>
              <w:rPr>
                <w:sz w:val="14"/>
              </w:rPr>
            </w:pPr>
            <w:r w:rsidRPr="005B1ADC">
              <w:rPr>
                <w:sz w:val="14"/>
              </w:rPr>
              <w:t>14,012.4</w:t>
            </w:r>
          </w:p>
        </w:tc>
        <w:tc>
          <w:tcPr>
            <w:tcW w:w="676" w:type="dxa"/>
            <w:vAlign w:val="bottom"/>
          </w:tcPr>
          <w:p w:rsidR="00092431" w:rsidRPr="005B1ADC" w:rsidRDefault="00092431" w:rsidP="00092431">
            <w:pPr>
              <w:tabs>
                <w:tab w:val="decimal" w:pos="222"/>
              </w:tabs>
              <w:jc w:val="left"/>
              <w:rPr>
                <w:sz w:val="14"/>
              </w:rPr>
            </w:pPr>
            <w:r w:rsidRPr="005B1ADC">
              <w:rPr>
                <w:sz w:val="14"/>
              </w:rPr>
              <w:t>7.1</w:t>
            </w:r>
          </w:p>
        </w:tc>
        <w:tc>
          <w:tcPr>
            <w:tcW w:w="776" w:type="dxa"/>
            <w:vAlign w:val="bottom"/>
          </w:tcPr>
          <w:p w:rsidR="00092431" w:rsidRPr="005B1ADC" w:rsidRDefault="00092431" w:rsidP="00092431">
            <w:pPr>
              <w:tabs>
                <w:tab w:val="decimal" w:pos="422"/>
              </w:tabs>
              <w:jc w:val="left"/>
              <w:rPr>
                <w:sz w:val="14"/>
              </w:rPr>
            </w:pPr>
            <w:r w:rsidRPr="005B1ADC">
              <w:rPr>
                <w:sz w:val="14"/>
              </w:rPr>
              <w:t>15,041.3</w:t>
            </w:r>
          </w:p>
        </w:tc>
        <w:tc>
          <w:tcPr>
            <w:tcW w:w="675" w:type="dxa"/>
            <w:vAlign w:val="bottom"/>
          </w:tcPr>
          <w:p w:rsidR="00092431" w:rsidRPr="005B1ADC" w:rsidRDefault="00092431" w:rsidP="00092431">
            <w:pPr>
              <w:tabs>
                <w:tab w:val="decimal" w:pos="192"/>
              </w:tabs>
              <w:jc w:val="left"/>
              <w:rPr>
                <w:sz w:val="14"/>
              </w:rPr>
            </w:pPr>
            <w:r w:rsidRPr="005B1ADC">
              <w:rPr>
                <w:sz w:val="14"/>
              </w:rPr>
              <w:t>7.3</w:t>
            </w:r>
          </w:p>
        </w:tc>
        <w:tc>
          <w:tcPr>
            <w:tcW w:w="776" w:type="dxa"/>
            <w:vAlign w:val="bottom"/>
          </w:tcPr>
          <w:p w:rsidR="00092431" w:rsidRPr="005B1ADC" w:rsidRDefault="00092431" w:rsidP="00092431">
            <w:pPr>
              <w:tabs>
                <w:tab w:val="decimal" w:pos="411"/>
              </w:tabs>
              <w:jc w:val="left"/>
              <w:rPr>
                <w:sz w:val="14"/>
              </w:rPr>
            </w:pPr>
            <w:r>
              <w:rPr>
                <w:sz w:val="14"/>
              </w:rPr>
              <w:t>15,158.8</w:t>
            </w:r>
          </w:p>
        </w:tc>
        <w:tc>
          <w:tcPr>
            <w:tcW w:w="675" w:type="dxa"/>
            <w:vAlign w:val="bottom"/>
          </w:tcPr>
          <w:p w:rsidR="00092431" w:rsidRPr="005B1ADC" w:rsidRDefault="006F0A69" w:rsidP="00092431">
            <w:pPr>
              <w:tabs>
                <w:tab w:val="decimal" w:pos="189"/>
              </w:tabs>
              <w:jc w:val="left"/>
              <w:rPr>
                <w:sz w:val="14"/>
              </w:rPr>
            </w:pPr>
            <w:r>
              <w:rPr>
                <w:sz w:val="14"/>
              </w:rPr>
              <w:t>0.8</w:t>
            </w:r>
          </w:p>
        </w:tc>
        <w:tc>
          <w:tcPr>
            <w:tcW w:w="776" w:type="dxa"/>
            <w:vAlign w:val="bottom"/>
          </w:tcPr>
          <w:p w:rsidR="00092431" w:rsidRPr="005B1ADC" w:rsidRDefault="006F0A69" w:rsidP="00092431">
            <w:pPr>
              <w:tabs>
                <w:tab w:val="decimal" w:pos="411"/>
              </w:tabs>
              <w:jc w:val="left"/>
              <w:rPr>
                <w:sz w:val="14"/>
              </w:rPr>
            </w:pPr>
            <w:r>
              <w:rPr>
                <w:sz w:val="14"/>
              </w:rPr>
              <w:t>14,427.2</w:t>
            </w:r>
          </w:p>
        </w:tc>
        <w:tc>
          <w:tcPr>
            <w:tcW w:w="675" w:type="dxa"/>
            <w:vAlign w:val="bottom"/>
          </w:tcPr>
          <w:p w:rsidR="00092431" w:rsidRPr="005B1ADC" w:rsidRDefault="00BC40B9" w:rsidP="00092431">
            <w:pPr>
              <w:tabs>
                <w:tab w:val="decimal" w:pos="189"/>
              </w:tabs>
              <w:jc w:val="left"/>
              <w:rPr>
                <w:sz w:val="14"/>
              </w:rPr>
            </w:pPr>
            <w:r>
              <w:rPr>
                <w:sz w:val="14"/>
              </w:rPr>
              <w:t>-4.8</w:t>
            </w:r>
          </w:p>
        </w:tc>
        <w:tc>
          <w:tcPr>
            <w:tcW w:w="755" w:type="dxa"/>
            <w:vAlign w:val="bottom"/>
          </w:tcPr>
          <w:p w:rsidR="00092431" w:rsidRPr="005B1ADC" w:rsidRDefault="001E391C" w:rsidP="00092431">
            <w:pPr>
              <w:tabs>
                <w:tab w:val="decimal" w:pos="418"/>
              </w:tabs>
              <w:jc w:val="left"/>
              <w:rPr>
                <w:sz w:val="14"/>
              </w:rPr>
            </w:pPr>
            <w:r>
              <w:rPr>
                <w:sz w:val="14"/>
              </w:rPr>
              <w:t>1,725.4</w:t>
            </w:r>
          </w:p>
        </w:tc>
        <w:tc>
          <w:tcPr>
            <w:tcW w:w="761" w:type="dxa"/>
            <w:vAlign w:val="bottom"/>
          </w:tcPr>
          <w:p w:rsidR="00092431" w:rsidRPr="005B1ADC" w:rsidRDefault="001E391C" w:rsidP="00092431">
            <w:pPr>
              <w:tabs>
                <w:tab w:val="decimal" w:pos="414"/>
              </w:tabs>
              <w:jc w:val="left"/>
              <w:rPr>
                <w:sz w:val="14"/>
              </w:rPr>
            </w:pPr>
            <w:r>
              <w:rPr>
                <w:sz w:val="14"/>
              </w:rPr>
              <w:t>1,769.3</w:t>
            </w:r>
          </w:p>
        </w:tc>
        <w:tc>
          <w:tcPr>
            <w:tcW w:w="675" w:type="dxa"/>
            <w:vAlign w:val="bottom"/>
          </w:tcPr>
          <w:p w:rsidR="00092431" w:rsidRPr="005B1ADC" w:rsidRDefault="00BC40B9" w:rsidP="00092431">
            <w:pPr>
              <w:tabs>
                <w:tab w:val="decimal" w:pos="187"/>
              </w:tabs>
              <w:ind w:right="-2"/>
              <w:jc w:val="left"/>
              <w:rPr>
                <w:sz w:val="14"/>
              </w:rPr>
            </w:pPr>
            <w:r>
              <w:rPr>
                <w:sz w:val="14"/>
              </w:rPr>
              <w:t>2.5</w:t>
            </w:r>
          </w:p>
        </w:tc>
      </w:tr>
      <w:tr w:rsidR="00BC40B9" w:rsidRPr="005B1ADC" w:rsidTr="009D59B8">
        <w:trPr>
          <w:jc w:val="center"/>
        </w:trPr>
        <w:tc>
          <w:tcPr>
            <w:tcW w:w="2231" w:type="dxa"/>
            <w:vAlign w:val="bottom"/>
          </w:tcPr>
          <w:p w:rsidR="00BC40B9" w:rsidRPr="005B1ADC" w:rsidRDefault="00BC40B9" w:rsidP="00092431">
            <w:pPr>
              <w:jc w:val="left"/>
              <w:rPr>
                <w:sz w:val="14"/>
              </w:rPr>
            </w:pPr>
          </w:p>
        </w:tc>
        <w:tc>
          <w:tcPr>
            <w:tcW w:w="776" w:type="dxa"/>
            <w:vAlign w:val="bottom"/>
          </w:tcPr>
          <w:p w:rsidR="00BC40B9" w:rsidRPr="005B1ADC" w:rsidRDefault="00BC40B9" w:rsidP="00092431">
            <w:pPr>
              <w:tabs>
                <w:tab w:val="decimal" w:pos="448"/>
              </w:tabs>
              <w:jc w:val="left"/>
              <w:rPr>
                <w:sz w:val="14"/>
              </w:rPr>
            </w:pPr>
          </w:p>
        </w:tc>
        <w:tc>
          <w:tcPr>
            <w:tcW w:w="678" w:type="dxa"/>
            <w:vAlign w:val="bottom"/>
          </w:tcPr>
          <w:p w:rsidR="00BC40B9" w:rsidRPr="005B1ADC" w:rsidRDefault="00BC40B9" w:rsidP="00092431">
            <w:pPr>
              <w:tabs>
                <w:tab w:val="decimal" w:pos="240"/>
              </w:tabs>
              <w:jc w:val="left"/>
              <w:rPr>
                <w:sz w:val="14"/>
              </w:rPr>
            </w:pPr>
          </w:p>
        </w:tc>
        <w:tc>
          <w:tcPr>
            <w:tcW w:w="776" w:type="dxa"/>
            <w:vAlign w:val="bottom"/>
          </w:tcPr>
          <w:p w:rsidR="00BC40B9" w:rsidRPr="005B1ADC" w:rsidRDefault="00BC40B9" w:rsidP="00092431">
            <w:pPr>
              <w:tabs>
                <w:tab w:val="decimal" w:pos="433"/>
              </w:tabs>
              <w:jc w:val="left"/>
              <w:rPr>
                <w:sz w:val="14"/>
              </w:rPr>
            </w:pPr>
          </w:p>
        </w:tc>
        <w:tc>
          <w:tcPr>
            <w:tcW w:w="676" w:type="dxa"/>
            <w:vAlign w:val="bottom"/>
          </w:tcPr>
          <w:p w:rsidR="00BC40B9" w:rsidRPr="005B1ADC" w:rsidRDefault="00BC40B9" w:rsidP="00092431">
            <w:pPr>
              <w:tabs>
                <w:tab w:val="decimal" w:pos="222"/>
              </w:tabs>
              <w:jc w:val="left"/>
              <w:rPr>
                <w:sz w:val="14"/>
              </w:rPr>
            </w:pPr>
          </w:p>
        </w:tc>
        <w:tc>
          <w:tcPr>
            <w:tcW w:w="776" w:type="dxa"/>
            <w:vAlign w:val="bottom"/>
          </w:tcPr>
          <w:p w:rsidR="00BC40B9" w:rsidRPr="005B1ADC" w:rsidRDefault="00BC40B9" w:rsidP="00092431">
            <w:pPr>
              <w:tabs>
                <w:tab w:val="decimal" w:pos="422"/>
              </w:tabs>
              <w:jc w:val="left"/>
              <w:rPr>
                <w:sz w:val="14"/>
              </w:rPr>
            </w:pPr>
          </w:p>
        </w:tc>
        <w:tc>
          <w:tcPr>
            <w:tcW w:w="675" w:type="dxa"/>
            <w:vAlign w:val="bottom"/>
          </w:tcPr>
          <w:p w:rsidR="00BC40B9" w:rsidRPr="005B1ADC" w:rsidRDefault="00BC40B9" w:rsidP="00092431">
            <w:pPr>
              <w:tabs>
                <w:tab w:val="decimal" w:pos="192"/>
              </w:tabs>
              <w:jc w:val="left"/>
              <w:rPr>
                <w:sz w:val="14"/>
              </w:rPr>
            </w:pPr>
          </w:p>
        </w:tc>
        <w:tc>
          <w:tcPr>
            <w:tcW w:w="776" w:type="dxa"/>
            <w:vAlign w:val="bottom"/>
          </w:tcPr>
          <w:p w:rsidR="00BC40B9" w:rsidRPr="005B1ADC" w:rsidRDefault="00BC40B9" w:rsidP="00092431">
            <w:pPr>
              <w:tabs>
                <w:tab w:val="decimal" w:pos="411"/>
              </w:tabs>
              <w:jc w:val="left"/>
              <w:rPr>
                <w:sz w:val="14"/>
              </w:rPr>
            </w:pPr>
          </w:p>
        </w:tc>
        <w:tc>
          <w:tcPr>
            <w:tcW w:w="675" w:type="dxa"/>
            <w:vAlign w:val="bottom"/>
          </w:tcPr>
          <w:p w:rsidR="00BC40B9" w:rsidRPr="005B1ADC" w:rsidRDefault="00BC40B9" w:rsidP="00092431">
            <w:pPr>
              <w:tabs>
                <w:tab w:val="decimal" w:pos="189"/>
              </w:tabs>
              <w:jc w:val="left"/>
              <w:rPr>
                <w:sz w:val="14"/>
              </w:rPr>
            </w:pPr>
          </w:p>
        </w:tc>
        <w:tc>
          <w:tcPr>
            <w:tcW w:w="776" w:type="dxa"/>
            <w:vAlign w:val="bottom"/>
          </w:tcPr>
          <w:p w:rsidR="00BC40B9" w:rsidRPr="005B1ADC" w:rsidRDefault="00BC40B9" w:rsidP="00092431">
            <w:pPr>
              <w:tabs>
                <w:tab w:val="decimal" w:pos="411"/>
              </w:tabs>
              <w:jc w:val="left"/>
              <w:rPr>
                <w:sz w:val="14"/>
              </w:rPr>
            </w:pPr>
          </w:p>
        </w:tc>
        <w:tc>
          <w:tcPr>
            <w:tcW w:w="675" w:type="dxa"/>
            <w:vAlign w:val="bottom"/>
          </w:tcPr>
          <w:p w:rsidR="00BC40B9" w:rsidRPr="005B1ADC" w:rsidRDefault="00BC40B9" w:rsidP="00092431">
            <w:pPr>
              <w:tabs>
                <w:tab w:val="decimal" w:pos="189"/>
              </w:tabs>
              <w:jc w:val="left"/>
              <w:rPr>
                <w:sz w:val="14"/>
              </w:rPr>
            </w:pPr>
          </w:p>
        </w:tc>
        <w:tc>
          <w:tcPr>
            <w:tcW w:w="755" w:type="dxa"/>
            <w:vAlign w:val="bottom"/>
          </w:tcPr>
          <w:p w:rsidR="00BC40B9" w:rsidRPr="005B1ADC" w:rsidRDefault="00BC40B9" w:rsidP="00092431">
            <w:pPr>
              <w:tabs>
                <w:tab w:val="decimal" w:pos="418"/>
              </w:tabs>
              <w:jc w:val="left"/>
              <w:rPr>
                <w:sz w:val="14"/>
              </w:rPr>
            </w:pPr>
          </w:p>
        </w:tc>
        <w:tc>
          <w:tcPr>
            <w:tcW w:w="761" w:type="dxa"/>
            <w:vAlign w:val="bottom"/>
          </w:tcPr>
          <w:p w:rsidR="00BC40B9" w:rsidRPr="005B1ADC" w:rsidRDefault="00BC40B9" w:rsidP="00092431">
            <w:pPr>
              <w:tabs>
                <w:tab w:val="decimal" w:pos="414"/>
              </w:tabs>
              <w:jc w:val="left"/>
              <w:rPr>
                <w:sz w:val="14"/>
              </w:rPr>
            </w:pPr>
          </w:p>
        </w:tc>
        <w:tc>
          <w:tcPr>
            <w:tcW w:w="675" w:type="dxa"/>
            <w:vAlign w:val="bottom"/>
          </w:tcPr>
          <w:p w:rsidR="00BC40B9" w:rsidRPr="005B1ADC" w:rsidRDefault="00BC40B9" w:rsidP="00092431">
            <w:pPr>
              <w:tabs>
                <w:tab w:val="decimal" w:pos="187"/>
              </w:tabs>
              <w:ind w:right="-2"/>
              <w:jc w:val="left"/>
              <w:rPr>
                <w:sz w:val="14"/>
              </w:rPr>
            </w:pP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Retail Trade:</w:t>
            </w:r>
          </w:p>
        </w:tc>
        <w:tc>
          <w:tcPr>
            <w:tcW w:w="776" w:type="dxa"/>
            <w:vAlign w:val="bottom"/>
          </w:tcPr>
          <w:p w:rsidR="00092431" w:rsidRPr="005B1ADC" w:rsidRDefault="00092431" w:rsidP="00092431">
            <w:pPr>
              <w:tabs>
                <w:tab w:val="decimal" w:pos="448"/>
              </w:tabs>
              <w:jc w:val="left"/>
              <w:rPr>
                <w:sz w:val="14"/>
              </w:rPr>
            </w:pPr>
          </w:p>
        </w:tc>
        <w:tc>
          <w:tcPr>
            <w:tcW w:w="678" w:type="dxa"/>
            <w:vAlign w:val="bottom"/>
          </w:tcPr>
          <w:p w:rsidR="00092431" w:rsidRPr="005B1ADC" w:rsidRDefault="00092431" w:rsidP="00092431">
            <w:pPr>
              <w:tabs>
                <w:tab w:val="decimal" w:pos="240"/>
              </w:tabs>
              <w:jc w:val="left"/>
              <w:rPr>
                <w:sz w:val="14"/>
              </w:rPr>
            </w:pPr>
          </w:p>
        </w:tc>
        <w:tc>
          <w:tcPr>
            <w:tcW w:w="776" w:type="dxa"/>
            <w:vAlign w:val="bottom"/>
          </w:tcPr>
          <w:p w:rsidR="00092431" w:rsidRPr="005B1ADC" w:rsidRDefault="00092431" w:rsidP="00092431">
            <w:pPr>
              <w:tabs>
                <w:tab w:val="decimal" w:pos="433"/>
              </w:tabs>
              <w:jc w:val="left"/>
              <w:rPr>
                <w:sz w:val="14"/>
              </w:rPr>
            </w:pPr>
          </w:p>
        </w:tc>
        <w:tc>
          <w:tcPr>
            <w:tcW w:w="676" w:type="dxa"/>
            <w:vAlign w:val="bottom"/>
          </w:tcPr>
          <w:p w:rsidR="00092431" w:rsidRPr="005B1ADC" w:rsidRDefault="00092431" w:rsidP="00092431">
            <w:pPr>
              <w:tabs>
                <w:tab w:val="decimal" w:pos="222"/>
              </w:tabs>
              <w:jc w:val="left"/>
              <w:rPr>
                <w:sz w:val="14"/>
              </w:rPr>
            </w:pPr>
          </w:p>
        </w:tc>
        <w:tc>
          <w:tcPr>
            <w:tcW w:w="776" w:type="dxa"/>
            <w:vAlign w:val="bottom"/>
          </w:tcPr>
          <w:p w:rsidR="00092431" w:rsidRPr="005B1ADC" w:rsidRDefault="00092431" w:rsidP="00092431">
            <w:pPr>
              <w:tabs>
                <w:tab w:val="decimal" w:pos="422"/>
              </w:tabs>
              <w:jc w:val="left"/>
              <w:rPr>
                <w:sz w:val="14"/>
              </w:rPr>
            </w:pPr>
          </w:p>
        </w:tc>
        <w:tc>
          <w:tcPr>
            <w:tcW w:w="675" w:type="dxa"/>
            <w:vAlign w:val="bottom"/>
          </w:tcPr>
          <w:p w:rsidR="00092431" w:rsidRPr="005B1ADC" w:rsidRDefault="00092431" w:rsidP="00092431">
            <w:pPr>
              <w:tabs>
                <w:tab w:val="decimal" w:pos="192"/>
              </w:tabs>
              <w:jc w:val="left"/>
              <w:rPr>
                <w:sz w:val="14"/>
              </w:rPr>
            </w:pPr>
          </w:p>
        </w:tc>
        <w:tc>
          <w:tcPr>
            <w:tcW w:w="776" w:type="dxa"/>
            <w:vAlign w:val="bottom"/>
          </w:tcPr>
          <w:p w:rsidR="00092431" w:rsidRPr="005B1ADC" w:rsidRDefault="00092431" w:rsidP="00092431">
            <w:pPr>
              <w:tabs>
                <w:tab w:val="decimal" w:pos="411"/>
              </w:tabs>
              <w:jc w:val="left"/>
              <w:rPr>
                <w:sz w:val="14"/>
              </w:rPr>
            </w:pPr>
          </w:p>
        </w:tc>
        <w:tc>
          <w:tcPr>
            <w:tcW w:w="675" w:type="dxa"/>
            <w:vAlign w:val="bottom"/>
          </w:tcPr>
          <w:p w:rsidR="00092431" w:rsidRPr="005B1ADC" w:rsidRDefault="00092431" w:rsidP="00092431">
            <w:pPr>
              <w:tabs>
                <w:tab w:val="decimal" w:pos="189"/>
              </w:tabs>
              <w:jc w:val="left"/>
              <w:rPr>
                <w:sz w:val="14"/>
              </w:rPr>
            </w:pPr>
          </w:p>
        </w:tc>
        <w:tc>
          <w:tcPr>
            <w:tcW w:w="776" w:type="dxa"/>
            <w:vAlign w:val="bottom"/>
          </w:tcPr>
          <w:p w:rsidR="00092431" w:rsidRPr="005B1ADC" w:rsidRDefault="00092431" w:rsidP="00092431">
            <w:pPr>
              <w:tabs>
                <w:tab w:val="decimal" w:pos="411"/>
              </w:tabs>
              <w:jc w:val="left"/>
              <w:rPr>
                <w:sz w:val="14"/>
              </w:rPr>
            </w:pPr>
          </w:p>
        </w:tc>
        <w:tc>
          <w:tcPr>
            <w:tcW w:w="675" w:type="dxa"/>
            <w:vAlign w:val="bottom"/>
          </w:tcPr>
          <w:p w:rsidR="00092431" w:rsidRPr="005B1ADC" w:rsidRDefault="00092431" w:rsidP="00092431">
            <w:pPr>
              <w:tabs>
                <w:tab w:val="decimal" w:pos="189"/>
              </w:tabs>
              <w:jc w:val="left"/>
              <w:rPr>
                <w:sz w:val="14"/>
              </w:rPr>
            </w:pPr>
          </w:p>
        </w:tc>
        <w:tc>
          <w:tcPr>
            <w:tcW w:w="755" w:type="dxa"/>
            <w:vAlign w:val="bottom"/>
          </w:tcPr>
          <w:p w:rsidR="00092431" w:rsidRPr="005B1ADC" w:rsidRDefault="00092431" w:rsidP="00092431">
            <w:pPr>
              <w:tabs>
                <w:tab w:val="decimal" w:pos="418"/>
              </w:tabs>
              <w:jc w:val="left"/>
              <w:rPr>
                <w:sz w:val="14"/>
              </w:rPr>
            </w:pPr>
          </w:p>
        </w:tc>
        <w:tc>
          <w:tcPr>
            <w:tcW w:w="761" w:type="dxa"/>
            <w:vAlign w:val="bottom"/>
          </w:tcPr>
          <w:p w:rsidR="00092431" w:rsidRPr="005B1ADC" w:rsidRDefault="00092431" w:rsidP="00092431">
            <w:pPr>
              <w:tabs>
                <w:tab w:val="decimal" w:pos="414"/>
              </w:tabs>
              <w:jc w:val="left"/>
              <w:rPr>
                <w:sz w:val="14"/>
              </w:rPr>
            </w:pPr>
          </w:p>
        </w:tc>
        <w:tc>
          <w:tcPr>
            <w:tcW w:w="675" w:type="dxa"/>
            <w:vAlign w:val="bottom"/>
          </w:tcPr>
          <w:p w:rsidR="00092431" w:rsidRPr="005B1ADC" w:rsidRDefault="00092431" w:rsidP="00092431">
            <w:pPr>
              <w:tabs>
                <w:tab w:val="decimal" w:pos="187"/>
              </w:tabs>
              <w:ind w:right="-2"/>
              <w:jc w:val="left"/>
              <w:rPr>
                <w:sz w:val="14"/>
              </w:rPr>
            </w:pP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Motor Vehicle and Auto Parts</w:t>
            </w:r>
          </w:p>
        </w:tc>
        <w:tc>
          <w:tcPr>
            <w:tcW w:w="776" w:type="dxa"/>
            <w:vAlign w:val="bottom"/>
          </w:tcPr>
          <w:p w:rsidR="00092431" w:rsidRPr="005B1ADC" w:rsidRDefault="00092431" w:rsidP="00092431">
            <w:pPr>
              <w:tabs>
                <w:tab w:val="decimal" w:pos="448"/>
              </w:tabs>
              <w:jc w:val="left"/>
              <w:rPr>
                <w:sz w:val="14"/>
              </w:rPr>
            </w:pPr>
            <w:r w:rsidRPr="005B1ADC">
              <w:rPr>
                <w:sz w:val="14"/>
              </w:rPr>
              <w:t>12,986.8</w:t>
            </w:r>
          </w:p>
        </w:tc>
        <w:tc>
          <w:tcPr>
            <w:tcW w:w="678" w:type="dxa"/>
            <w:vAlign w:val="bottom"/>
          </w:tcPr>
          <w:p w:rsidR="00092431" w:rsidRPr="005B1ADC" w:rsidRDefault="00092431" w:rsidP="00092431">
            <w:pPr>
              <w:tabs>
                <w:tab w:val="decimal" w:pos="240"/>
              </w:tabs>
              <w:jc w:val="left"/>
              <w:rPr>
                <w:sz w:val="14"/>
              </w:rPr>
            </w:pPr>
            <w:r w:rsidRPr="005B1ADC">
              <w:rPr>
                <w:sz w:val="14"/>
              </w:rPr>
              <w:t>15.0</w:t>
            </w:r>
          </w:p>
        </w:tc>
        <w:tc>
          <w:tcPr>
            <w:tcW w:w="776" w:type="dxa"/>
            <w:vAlign w:val="bottom"/>
          </w:tcPr>
          <w:p w:rsidR="00092431" w:rsidRPr="005B1ADC" w:rsidRDefault="00092431" w:rsidP="00092431">
            <w:pPr>
              <w:tabs>
                <w:tab w:val="decimal" w:pos="433"/>
              </w:tabs>
              <w:jc w:val="left"/>
              <w:rPr>
                <w:sz w:val="14"/>
              </w:rPr>
            </w:pPr>
            <w:r w:rsidRPr="005B1ADC">
              <w:rPr>
                <w:sz w:val="14"/>
              </w:rPr>
              <w:t>14,435.4</w:t>
            </w:r>
          </w:p>
        </w:tc>
        <w:tc>
          <w:tcPr>
            <w:tcW w:w="676" w:type="dxa"/>
            <w:vAlign w:val="bottom"/>
          </w:tcPr>
          <w:p w:rsidR="00092431" w:rsidRPr="005B1ADC" w:rsidRDefault="00092431" w:rsidP="00092431">
            <w:pPr>
              <w:tabs>
                <w:tab w:val="decimal" w:pos="222"/>
              </w:tabs>
              <w:jc w:val="left"/>
              <w:rPr>
                <w:sz w:val="14"/>
              </w:rPr>
            </w:pPr>
            <w:r w:rsidRPr="005B1ADC">
              <w:rPr>
                <w:sz w:val="14"/>
              </w:rPr>
              <w:t>11.2</w:t>
            </w:r>
          </w:p>
        </w:tc>
        <w:tc>
          <w:tcPr>
            <w:tcW w:w="776" w:type="dxa"/>
            <w:vAlign w:val="bottom"/>
          </w:tcPr>
          <w:p w:rsidR="00092431" w:rsidRPr="005B1ADC" w:rsidRDefault="00092431" w:rsidP="00092431">
            <w:pPr>
              <w:tabs>
                <w:tab w:val="decimal" w:pos="422"/>
              </w:tabs>
              <w:jc w:val="left"/>
              <w:rPr>
                <w:sz w:val="14"/>
              </w:rPr>
            </w:pPr>
            <w:r w:rsidRPr="005B1ADC">
              <w:rPr>
                <w:sz w:val="14"/>
              </w:rPr>
              <w:t>15,667.7</w:t>
            </w:r>
          </w:p>
        </w:tc>
        <w:tc>
          <w:tcPr>
            <w:tcW w:w="675" w:type="dxa"/>
            <w:vAlign w:val="bottom"/>
          </w:tcPr>
          <w:p w:rsidR="00092431" w:rsidRPr="005B1ADC" w:rsidRDefault="00092431" w:rsidP="00092431">
            <w:pPr>
              <w:tabs>
                <w:tab w:val="decimal" w:pos="192"/>
              </w:tabs>
              <w:jc w:val="left"/>
              <w:rPr>
                <w:sz w:val="14"/>
              </w:rPr>
            </w:pPr>
            <w:r w:rsidRPr="005B1ADC">
              <w:rPr>
                <w:sz w:val="14"/>
              </w:rPr>
              <w:t>8.5</w:t>
            </w:r>
          </w:p>
        </w:tc>
        <w:tc>
          <w:tcPr>
            <w:tcW w:w="776" w:type="dxa"/>
            <w:vAlign w:val="bottom"/>
          </w:tcPr>
          <w:p w:rsidR="00092431" w:rsidRPr="005B1ADC" w:rsidRDefault="006F0A69" w:rsidP="00092431">
            <w:pPr>
              <w:tabs>
                <w:tab w:val="decimal" w:pos="411"/>
              </w:tabs>
              <w:jc w:val="left"/>
              <w:rPr>
                <w:sz w:val="14"/>
              </w:rPr>
            </w:pPr>
            <w:r>
              <w:rPr>
                <w:sz w:val="14"/>
              </w:rPr>
              <w:t>17,449.0</w:t>
            </w:r>
          </w:p>
        </w:tc>
        <w:tc>
          <w:tcPr>
            <w:tcW w:w="675" w:type="dxa"/>
            <w:vAlign w:val="bottom"/>
          </w:tcPr>
          <w:p w:rsidR="00092431" w:rsidRPr="005B1ADC" w:rsidRDefault="006F0A69" w:rsidP="00092431">
            <w:pPr>
              <w:tabs>
                <w:tab w:val="decimal" w:pos="189"/>
              </w:tabs>
              <w:jc w:val="left"/>
              <w:rPr>
                <w:sz w:val="14"/>
              </w:rPr>
            </w:pPr>
            <w:r>
              <w:rPr>
                <w:sz w:val="14"/>
              </w:rPr>
              <w:t>11.4</w:t>
            </w:r>
          </w:p>
        </w:tc>
        <w:tc>
          <w:tcPr>
            <w:tcW w:w="776" w:type="dxa"/>
            <w:vAlign w:val="bottom"/>
          </w:tcPr>
          <w:p w:rsidR="00092431" w:rsidRPr="005B1ADC" w:rsidRDefault="006F0A69" w:rsidP="00092431">
            <w:pPr>
              <w:tabs>
                <w:tab w:val="decimal" w:pos="411"/>
              </w:tabs>
              <w:jc w:val="left"/>
              <w:rPr>
                <w:sz w:val="14"/>
              </w:rPr>
            </w:pPr>
            <w:r>
              <w:rPr>
                <w:sz w:val="14"/>
              </w:rPr>
              <w:t>18,995.4</w:t>
            </w:r>
          </w:p>
        </w:tc>
        <w:tc>
          <w:tcPr>
            <w:tcW w:w="675" w:type="dxa"/>
            <w:vAlign w:val="bottom"/>
          </w:tcPr>
          <w:p w:rsidR="00092431" w:rsidRPr="005B1ADC" w:rsidRDefault="00BC40B9" w:rsidP="00092431">
            <w:pPr>
              <w:tabs>
                <w:tab w:val="decimal" w:pos="189"/>
              </w:tabs>
              <w:jc w:val="left"/>
              <w:rPr>
                <w:sz w:val="14"/>
              </w:rPr>
            </w:pPr>
            <w:r>
              <w:rPr>
                <w:sz w:val="14"/>
              </w:rPr>
              <w:t>8.9</w:t>
            </w:r>
          </w:p>
        </w:tc>
        <w:tc>
          <w:tcPr>
            <w:tcW w:w="755" w:type="dxa"/>
            <w:vAlign w:val="bottom"/>
          </w:tcPr>
          <w:p w:rsidR="00092431" w:rsidRPr="005B1ADC" w:rsidRDefault="001E391C" w:rsidP="00092431">
            <w:pPr>
              <w:tabs>
                <w:tab w:val="decimal" w:pos="418"/>
              </w:tabs>
              <w:jc w:val="left"/>
              <w:rPr>
                <w:sz w:val="14"/>
              </w:rPr>
            </w:pPr>
            <w:r>
              <w:rPr>
                <w:sz w:val="14"/>
              </w:rPr>
              <w:t>2,696.1</w:t>
            </w:r>
          </w:p>
        </w:tc>
        <w:tc>
          <w:tcPr>
            <w:tcW w:w="761" w:type="dxa"/>
            <w:vAlign w:val="bottom"/>
          </w:tcPr>
          <w:p w:rsidR="00092431" w:rsidRPr="005B1ADC" w:rsidRDefault="001E391C" w:rsidP="00092431">
            <w:pPr>
              <w:tabs>
                <w:tab w:val="decimal" w:pos="414"/>
              </w:tabs>
              <w:jc w:val="left"/>
              <w:rPr>
                <w:sz w:val="14"/>
              </w:rPr>
            </w:pPr>
            <w:r>
              <w:rPr>
                <w:sz w:val="14"/>
              </w:rPr>
              <w:t>2,739.5</w:t>
            </w:r>
          </w:p>
        </w:tc>
        <w:tc>
          <w:tcPr>
            <w:tcW w:w="675" w:type="dxa"/>
            <w:vAlign w:val="bottom"/>
          </w:tcPr>
          <w:p w:rsidR="00092431" w:rsidRPr="005B1ADC" w:rsidRDefault="00BC40B9" w:rsidP="00092431">
            <w:pPr>
              <w:tabs>
                <w:tab w:val="decimal" w:pos="187"/>
              </w:tabs>
              <w:ind w:right="-2"/>
              <w:jc w:val="left"/>
              <w:rPr>
                <w:sz w:val="14"/>
              </w:rPr>
            </w:pPr>
            <w:r>
              <w:rPr>
                <w:sz w:val="14"/>
              </w:rPr>
              <w:t>1.6</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Furniture and Furnishings</w:t>
            </w:r>
          </w:p>
        </w:tc>
        <w:tc>
          <w:tcPr>
            <w:tcW w:w="776" w:type="dxa"/>
            <w:vAlign w:val="bottom"/>
          </w:tcPr>
          <w:p w:rsidR="00092431" w:rsidRPr="005B1ADC" w:rsidRDefault="00092431" w:rsidP="00092431">
            <w:pPr>
              <w:tabs>
                <w:tab w:val="decimal" w:pos="448"/>
              </w:tabs>
              <w:jc w:val="left"/>
              <w:rPr>
                <w:sz w:val="14"/>
              </w:rPr>
            </w:pPr>
            <w:r w:rsidRPr="005B1ADC">
              <w:rPr>
                <w:sz w:val="14"/>
              </w:rPr>
              <w:t>2,049.0</w:t>
            </w:r>
          </w:p>
        </w:tc>
        <w:tc>
          <w:tcPr>
            <w:tcW w:w="678" w:type="dxa"/>
            <w:vAlign w:val="bottom"/>
          </w:tcPr>
          <w:p w:rsidR="00092431" w:rsidRPr="005B1ADC" w:rsidRDefault="00092431" w:rsidP="00092431">
            <w:pPr>
              <w:tabs>
                <w:tab w:val="decimal" w:pos="240"/>
              </w:tabs>
              <w:jc w:val="left"/>
              <w:rPr>
                <w:sz w:val="14"/>
              </w:rPr>
            </w:pPr>
            <w:r w:rsidRPr="005B1ADC">
              <w:rPr>
                <w:sz w:val="14"/>
              </w:rPr>
              <w:t>7.8</w:t>
            </w:r>
          </w:p>
        </w:tc>
        <w:tc>
          <w:tcPr>
            <w:tcW w:w="776" w:type="dxa"/>
            <w:vAlign w:val="bottom"/>
          </w:tcPr>
          <w:p w:rsidR="00092431" w:rsidRPr="005B1ADC" w:rsidRDefault="00092431" w:rsidP="00092431">
            <w:pPr>
              <w:tabs>
                <w:tab w:val="decimal" w:pos="433"/>
              </w:tabs>
              <w:jc w:val="left"/>
              <w:rPr>
                <w:sz w:val="14"/>
              </w:rPr>
            </w:pPr>
            <w:r w:rsidRPr="005B1ADC">
              <w:rPr>
                <w:sz w:val="14"/>
              </w:rPr>
              <w:t>2,265.5</w:t>
            </w:r>
          </w:p>
        </w:tc>
        <w:tc>
          <w:tcPr>
            <w:tcW w:w="676" w:type="dxa"/>
            <w:vAlign w:val="bottom"/>
          </w:tcPr>
          <w:p w:rsidR="00092431" w:rsidRPr="005B1ADC" w:rsidRDefault="00092431" w:rsidP="00092431">
            <w:pPr>
              <w:tabs>
                <w:tab w:val="decimal" w:pos="222"/>
              </w:tabs>
              <w:jc w:val="left"/>
              <w:rPr>
                <w:sz w:val="14"/>
              </w:rPr>
            </w:pPr>
            <w:r w:rsidRPr="005B1ADC">
              <w:rPr>
                <w:sz w:val="14"/>
              </w:rPr>
              <w:t>10.6</w:t>
            </w:r>
          </w:p>
        </w:tc>
        <w:tc>
          <w:tcPr>
            <w:tcW w:w="776" w:type="dxa"/>
            <w:vAlign w:val="bottom"/>
          </w:tcPr>
          <w:p w:rsidR="00092431" w:rsidRPr="005B1ADC" w:rsidRDefault="00092431" w:rsidP="00092431">
            <w:pPr>
              <w:tabs>
                <w:tab w:val="decimal" w:pos="422"/>
              </w:tabs>
              <w:jc w:val="left"/>
              <w:rPr>
                <w:sz w:val="14"/>
              </w:rPr>
            </w:pPr>
            <w:r w:rsidRPr="005B1ADC">
              <w:rPr>
                <w:sz w:val="14"/>
              </w:rPr>
              <w:t>2,461.8</w:t>
            </w:r>
          </w:p>
        </w:tc>
        <w:tc>
          <w:tcPr>
            <w:tcW w:w="675" w:type="dxa"/>
            <w:vAlign w:val="bottom"/>
          </w:tcPr>
          <w:p w:rsidR="00092431" w:rsidRPr="005B1ADC" w:rsidRDefault="00092431" w:rsidP="00092431">
            <w:pPr>
              <w:tabs>
                <w:tab w:val="decimal" w:pos="192"/>
              </w:tabs>
              <w:jc w:val="left"/>
              <w:rPr>
                <w:sz w:val="14"/>
              </w:rPr>
            </w:pPr>
            <w:r w:rsidRPr="005B1ADC">
              <w:rPr>
                <w:sz w:val="14"/>
              </w:rPr>
              <w:t>8.7</w:t>
            </w:r>
          </w:p>
        </w:tc>
        <w:tc>
          <w:tcPr>
            <w:tcW w:w="776" w:type="dxa"/>
            <w:vAlign w:val="bottom"/>
          </w:tcPr>
          <w:p w:rsidR="00092431" w:rsidRPr="005B1ADC" w:rsidRDefault="006F0A69" w:rsidP="00092431">
            <w:pPr>
              <w:tabs>
                <w:tab w:val="decimal" w:pos="411"/>
              </w:tabs>
              <w:jc w:val="left"/>
              <w:rPr>
                <w:sz w:val="14"/>
              </w:rPr>
            </w:pPr>
            <w:r>
              <w:rPr>
                <w:sz w:val="14"/>
              </w:rPr>
              <w:t>2,653.3</w:t>
            </w:r>
          </w:p>
        </w:tc>
        <w:tc>
          <w:tcPr>
            <w:tcW w:w="675" w:type="dxa"/>
            <w:vAlign w:val="bottom"/>
          </w:tcPr>
          <w:p w:rsidR="00092431" w:rsidRPr="005B1ADC" w:rsidRDefault="006F0A69" w:rsidP="00092431">
            <w:pPr>
              <w:tabs>
                <w:tab w:val="decimal" w:pos="189"/>
              </w:tabs>
              <w:jc w:val="left"/>
              <w:rPr>
                <w:sz w:val="14"/>
              </w:rPr>
            </w:pPr>
            <w:r>
              <w:rPr>
                <w:sz w:val="14"/>
              </w:rPr>
              <w:t>7.8</w:t>
            </w:r>
          </w:p>
        </w:tc>
        <w:tc>
          <w:tcPr>
            <w:tcW w:w="776" w:type="dxa"/>
            <w:vAlign w:val="bottom"/>
          </w:tcPr>
          <w:p w:rsidR="00092431" w:rsidRPr="005B1ADC" w:rsidRDefault="006F0A69" w:rsidP="00092431">
            <w:pPr>
              <w:tabs>
                <w:tab w:val="decimal" w:pos="411"/>
              </w:tabs>
              <w:jc w:val="left"/>
              <w:rPr>
                <w:sz w:val="14"/>
              </w:rPr>
            </w:pPr>
            <w:r>
              <w:rPr>
                <w:sz w:val="14"/>
              </w:rPr>
              <w:t>2,868.8</w:t>
            </w:r>
          </w:p>
        </w:tc>
        <w:tc>
          <w:tcPr>
            <w:tcW w:w="675" w:type="dxa"/>
            <w:vAlign w:val="bottom"/>
          </w:tcPr>
          <w:p w:rsidR="00092431" w:rsidRPr="005B1ADC" w:rsidRDefault="00BC40B9" w:rsidP="00092431">
            <w:pPr>
              <w:tabs>
                <w:tab w:val="decimal" w:pos="189"/>
              </w:tabs>
              <w:jc w:val="left"/>
              <w:rPr>
                <w:sz w:val="14"/>
              </w:rPr>
            </w:pPr>
            <w:r>
              <w:rPr>
                <w:sz w:val="14"/>
              </w:rPr>
              <w:t>8.1</w:t>
            </w:r>
          </w:p>
        </w:tc>
        <w:tc>
          <w:tcPr>
            <w:tcW w:w="755" w:type="dxa"/>
            <w:vAlign w:val="bottom"/>
          </w:tcPr>
          <w:p w:rsidR="00092431" w:rsidRPr="005B1ADC" w:rsidRDefault="001E391C" w:rsidP="00092431">
            <w:pPr>
              <w:tabs>
                <w:tab w:val="decimal" w:pos="418"/>
              </w:tabs>
              <w:jc w:val="left"/>
              <w:rPr>
                <w:sz w:val="14"/>
              </w:rPr>
            </w:pPr>
            <w:r>
              <w:rPr>
                <w:sz w:val="14"/>
              </w:rPr>
              <w:t>396.6</w:t>
            </w:r>
          </w:p>
        </w:tc>
        <w:tc>
          <w:tcPr>
            <w:tcW w:w="761" w:type="dxa"/>
            <w:vAlign w:val="bottom"/>
          </w:tcPr>
          <w:p w:rsidR="00092431" w:rsidRPr="005B1ADC" w:rsidRDefault="001E391C" w:rsidP="00092431">
            <w:pPr>
              <w:tabs>
                <w:tab w:val="decimal" w:pos="414"/>
              </w:tabs>
              <w:jc w:val="left"/>
              <w:rPr>
                <w:sz w:val="14"/>
              </w:rPr>
            </w:pPr>
            <w:r>
              <w:rPr>
                <w:sz w:val="14"/>
              </w:rPr>
              <w:t>436.5</w:t>
            </w:r>
          </w:p>
        </w:tc>
        <w:tc>
          <w:tcPr>
            <w:tcW w:w="675" w:type="dxa"/>
            <w:vAlign w:val="bottom"/>
          </w:tcPr>
          <w:p w:rsidR="00092431" w:rsidRPr="005B1ADC" w:rsidRDefault="00BC40B9" w:rsidP="00092431">
            <w:pPr>
              <w:tabs>
                <w:tab w:val="decimal" w:pos="187"/>
              </w:tabs>
              <w:ind w:right="-2"/>
              <w:jc w:val="left"/>
              <w:rPr>
                <w:sz w:val="14"/>
              </w:rPr>
            </w:pPr>
            <w:r>
              <w:rPr>
                <w:sz w:val="14"/>
              </w:rPr>
              <w:t>10.1</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Electronics and Appliances</w:t>
            </w:r>
          </w:p>
        </w:tc>
        <w:tc>
          <w:tcPr>
            <w:tcW w:w="776" w:type="dxa"/>
            <w:vAlign w:val="bottom"/>
          </w:tcPr>
          <w:p w:rsidR="00092431" w:rsidRPr="005B1ADC" w:rsidRDefault="00092431" w:rsidP="00092431">
            <w:pPr>
              <w:tabs>
                <w:tab w:val="decimal" w:pos="448"/>
              </w:tabs>
              <w:jc w:val="left"/>
              <w:rPr>
                <w:sz w:val="14"/>
              </w:rPr>
            </w:pPr>
            <w:r w:rsidRPr="005B1ADC">
              <w:rPr>
                <w:sz w:val="14"/>
              </w:rPr>
              <w:t>2,224.2</w:t>
            </w:r>
          </w:p>
        </w:tc>
        <w:tc>
          <w:tcPr>
            <w:tcW w:w="678" w:type="dxa"/>
            <w:vAlign w:val="bottom"/>
          </w:tcPr>
          <w:p w:rsidR="00092431" w:rsidRPr="005B1ADC" w:rsidRDefault="00092431" w:rsidP="00092431">
            <w:pPr>
              <w:tabs>
                <w:tab w:val="decimal" w:pos="240"/>
              </w:tabs>
              <w:jc w:val="left"/>
              <w:rPr>
                <w:sz w:val="14"/>
              </w:rPr>
            </w:pPr>
            <w:r w:rsidRPr="005B1ADC">
              <w:rPr>
                <w:sz w:val="14"/>
              </w:rPr>
              <w:t>5.0</w:t>
            </w:r>
          </w:p>
        </w:tc>
        <w:tc>
          <w:tcPr>
            <w:tcW w:w="776" w:type="dxa"/>
            <w:vAlign w:val="bottom"/>
          </w:tcPr>
          <w:p w:rsidR="00092431" w:rsidRPr="005B1ADC" w:rsidRDefault="00092431" w:rsidP="00092431">
            <w:pPr>
              <w:tabs>
                <w:tab w:val="decimal" w:pos="433"/>
              </w:tabs>
              <w:jc w:val="left"/>
              <w:rPr>
                <w:sz w:val="14"/>
              </w:rPr>
            </w:pPr>
            <w:r w:rsidRPr="005B1ADC">
              <w:rPr>
                <w:sz w:val="14"/>
              </w:rPr>
              <w:t>2,077.8</w:t>
            </w:r>
          </w:p>
        </w:tc>
        <w:tc>
          <w:tcPr>
            <w:tcW w:w="676" w:type="dxa"/>
            <w:vAlign w:val="bottom"/>
          </w:tcPr>
          <w:p w:rsidR="00092431" w:rsidRPr="005B1ADC" w:rsidRDefault="00092431" w:rsidP="00092431">
            <w:pPr>
              <w:tabs>
                <w:tab w:val="decimal" w:pos="222"/>
              </w:tabs>
              <w:jc w:val="left"/>
              <w:rPr>
                <w:sz w:val="14"/>
              </w:rPr>
            </w:pPr>
            <w:r w:rsidRPr="005B1ADC">
              <w:rPr>
                <w:sz w:val="14"/>
              </w:rPr>
              <w:t>-6.6</w:t>
            </w:r>
          </w:p>
        </w:tc>
        <w:tc>
          <w:tcPr>
            <w:tcW w:w="776" w:type="dxa"/>
            <w:vAlign w:val="bottom"/>
          </w:tcPr>
          <w:p w:rsidR="00092431" w:rsidRPr="005B1ADC" w:rsidRDefault="00092431" w:rsidP="00092431">
            <w:pPr>
              <w:tabs>
                <w:tab w:val="decimal" w:pos="422"/>
              </w:tabs>
              <w:jc w:val="left"/>
              <w:rPr>
                <w:sz w:val="14"/>
              </w:rPr>
            </w:pPr>
            <w:r w:rsidRPr="005B1ADC">
              <w:rPr>
                <w:sz w:val="14"/>
              </w:rPr>
              <w:t>1,998.6</w:t>
            </w:r>
          </w:p>
        </w:tc>
        <w:tc>
          <w:tcPr>
            <w:tcW w:w="675" w:type="dxa"/>
            <w:vAlign w:val="bottom"/>
          </w:tcPr>
          <w:p w:rsidR="00092431" w:rsidRPr="005B1ADC" w:rsidRDefault="00092431" w:rsidP="00092431">
            <w:pPr>
              <w:tabs>
                <w:tab w:val="decimal" w:pos="192"/>
              </w:tabs>
              <w:jc w:val="left"/>
              <w:rPr>
                <w:sz w:val="14"/>
              </w:rPr>
            </w:pPr>
            <w:r w:rsidRPr="005B1ADC">
              <w:rPr>
                <w:sz w:val="14"/>
              </w:rPr>
              <w:t>-3.8</w:t>
            </w:r>
          </w:p>
        </w:tc>
        <w:tc>
          <w:tcPr>
            <w:tcW w:w="776" w:type="dxa"/>
            <w:vAlign w:val="bottom"/>
          </w:tcPr>
          <w:p w:rsidR="00092431" w:rsidRPr="005B1ADC" w:rsidRDefault="006F0A69" w:rsidP="00092431">
            <w:pPr>
              <w:tabs>
                <w:tab w:val="decimal" w:pos="411"/>
              </w:tabs>
              <w:jc w:val="left"/>
              <w:rPr>
                <w:sz w:val="14"/>
              </w:rPr>
            </w:pPr>
            <w:r>
              <w:rPr>
                <w:sz w:val="14"/>
              </w:rPr>
              <w:t>2,258.5</w:t>
            </w:r>
          </w:p>
        </w:tc>
        <w:tc>
          <w:tcPr>
            <w:tcW w:w="675" w:type="dxa"/>
            <w:vAlign w:val="bottom"/>
          </w:tcPr>
          <w:p w:rsidR="00092431" w:rsidRPr="005B1ADC" w:rsidRDefault="006F0A69" w:rsidP="00092431">
            <w:pPr>
              <w:tabs>
                <w:tab w:val="decimal" w:pos="189"/>
              </w:tabs>
              <w:jc w:val="left"/>
              <w:rPr>
                <w:sz w:val="14"/>
              </w:rPr>
            </w:pPr>
            <w:r>
              <w:rPr>
                <w:sz w:val="14"/>
              </w:rPr>
              <w:t>13.0</w:t>
            </w:r>
          </w:p>
        </w:tc>
        <w:tc>
          <w:tcPr>
            <w:tcW w:w="776" w:type="dxa"/>
            <w:vAlign w:val="bottom"/>
          </w:tcPr>
          <w:p w:rsidR="00092431" w:rsidRPr="005B1ADC" w:rsidRDefault="006F0A69" w:rsidP="00092431">
            <w:pPr>
              <w:tabs>
                <w:tab w:val="decimal" w:pos="411"/>
              </w:tabs>
              <w:jc w:val="left"/>
              <w:rPr>
                <w:sz w:val="14"/>
              </w:rPr>
            </w:pPr>
            <w:r>
              <w:rPr>
                <w:sz w:val="14"/>
              </w:rPr>
              <w:t>2,387.6</w:t>
            </w:r>
          </w:p>
        </w:tc>
        <w:tc>
          <w:tcPr>
            <w:tcW w:w="675" w:type="dxa"/>
            <w:vAlign w:val="bottom"/>
          </w:tcPr>
          <w:p w:rsidR="00092431" w:rsidRPr="005B1ADC" w:rsidRDefault="00BC40B9" w:rsidP="00092431">
            <w:pPr>
              <w:tabs>
                <w:tab w:val="decimal" w:pos="189"/>
              </w:tabs>
              <w:jc w:val="left"/>
              <w:rPr>
                <w:sz w:val="14"/>
              </w:rPr>
            </w:pPr>
            <w:r>
              <w:rPr>
                <w:sz w:val="14"/>
              </w:rPr>
              <w:t>5.7</w:t>
            </w:r>
          </w:p>
        </w:tc>
        <w:tc>
          <w:tcPr>
            <w:tcW w:w="755" w:type="dxa"/>
            <w:vAlign w:val="bottom"/>
          </w:tcPr>
          <w:p w:rsidR="00092431" w:rsidRPr="005B1ADC" w:rsidRDefault="001E391C" w:rsidP="00092431">
            <w:pPr>
              <w:tabs>
                <w:tab w:val="decimal" w:pos="418"/>
              </w:tabs>
              <w:jc w:val="left"/>
              <w:rPr>
                <w:sz w:val="14"/>
              </w:rPr>
            </w:pPr>
            <w:r>
              <w:rPr>
                <w:sz w:val="14"/>
              </w:rPr>
              <w:t>323.1</w:t>
            </w:r>
          </w:p>
        </w:tc>
        <w:tc>
          <w:tcPr>
            <w:tcW w:w="761" w:type="dxa"/>
            <w:vAlign w:val="bottom"/>
          </w:tcPr>
          <w:p w:rsidR="00092431" w:rsidRPr="005B1ADC" w:rsidRDefault="001E391C" w:rsidP="00092431">
            <w:pPr>
              <w:tabs>
                <w:tab w:val="decimal" w:pos="414"/>
              </w:tabs>
              <w:jc w:val="left"/>
              <w:rPr>
                <w:sz w:val="14"/>
              </w:rPr>
            </w:pPr>
            <w:r>
              <w:rPr>
                <w:sz w:val="14"/>
              </w:rPr>
              <w:t>326.8</w:t>
            </w:r>
          </w:p>
        </w:tc>
        <w:tc>
          <w:tcPr>
            <w:tcW w:w="675" w:type="dxa"/>
            <w:vAlign w:val="bottom"/>
          </w:tcPr>
          <w:p w:rsidR="00092431" w:rsidRPr="005B1ADC" w:rsidRDefault="00BC40B9" w:rsidP="00092431">
            <w:pPr>
              <w:tabs>
                <w:tab w:val="decimal" w:pos="187"/>
              </w:tabs>
              <w:ind w:right="-2"/>
              <w:jc w:val="left"/>
              <w:rPr>
                <w:sz w:val="14"/>
              </w:rPr>
            </w:pPr>
            <w:r>
              <w:rPr>
                <w:sz w:val="14"/>
              </w:rPr>
              <w:t>1.1</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Bolding Materials/Nurseries</w:t>
            </w:r>
          </w:p>
        </w:tc>
        <w:tc>
          <w:tcPr>
            <w:tcW w:w="776" w:type="dxa"/>
            <w:vAlign w:val="bottom"/>
          </w:tcPr>
          <w:p w:rsidR="00092431" w:rsidRPr="005B1ADC" w:rsidRDefault="00092431" w:rsidP="00092431">
            <w:pPr>
              <w:tabs>
                <w:tab w:val="decimal" w:pos="448"/>
              </w:tabs>
              <w:jc w:val="left"/>
              <w:rPr>
                <w:sz w:val="14"/>
              </w:rPr>
            </w:pPr>
            <w:r w:rsidRPr="005B1ADC">
              <w:rPr>
                <w:sz w:val="14"/>
              </w:rPr>
              <w:t>4,515.0</w:t>
            </w:r>
          </w:p>
        </w:tc>
        <w:tc>
          <w:tcPr>
            <w:tcW w:w="678" w:type="dxa"/>
            <w:vAlign w:val="bottom"/>
          </w:tcPr>
          <w:p w:rsidR="00092431" w:rsidRPr="005B1ADC" w:rsidRDefault="00092431" w:rsidP="00092431">
            <w:pPr>
              <w:tabs>
                <w:tab w:val="decimal" w:pos="240"/>
              </w:tabs>
              <w:jc w:val="left"/>
              <w:rPr>
                <w:sz w:val="14"/>
              </w:rPr>
            </w:pPr>
            <w:r w:rsidRPr="005B1ADC">
              <w:rPr>
                <w:sz w:val="14"/>
              </w:rPr>
              <w:t>2.9</w:t>
            </w:r>
          </w:p>
        </w:tc>
        <w:tc>
          <w:tcPr>
            <w:tcW w:w="776" w:type="dxa"/>
            <w:vAlign w:val="bottom"/>
          </w:tcPr>
          <w:p w:rsidR="00092431" w:rsidRPr="005B1ADC" w:rsidRDefault="00092431" w:rsidP="00092431">
            <w:pPr>
              <w:tabs>
                <w:tab w:val="decimal" w:pos="433"/>
              </w:tabs>
              <w:jc w:val="left"/>
              <w:rPr>
                <w:sz w:val="14"/>
              </w:rPr>
            </w:pPr>
            <w:r w:rsidRPr="005B1ADC">
              <w:rPr>
                <w:sz w:val="14"/>
              </w:rPr>
              <w:t>4,824.6</w:t>
            </w:r>
          </w:p>
        </w:tc>
        <w:tc>
          <w:tcPr>
            <w:tcW w:w="676" w:type="dxa"/>
            <w:vAlign w:val="bottom"/>
          </w:tcPr>
          <w:p w:rsidR="00092431" w:rsidRPr="005B1ADC" w:rsidRDefault="00092431" w:rsidP="00092431">
            <w:pPr>
              <w:tabs>
                <w:tab w:val="decimal" w:pos="222"/>
              </w:tabs>
              <w:jc w:val="left"/>
              <w:rPr>
                <w:sz w:val="14"/>
              </w:rPr>
            </w:pPr>
            <w:r w:rsidRPr="005B1ADC">
              <w:rPr>
                <w:sz w:val="14"/>
              </w:rPr>
              <w:t>6.9</w:t>
            </w:r>
          </w:p>
        </w:tc>
        <w:tc>
          <w:tcPr>
            <w:tcW w:w="776" w:type="dxa"/>
            <w:vAlign w:val="bottom"/>
          </w:tcPr>
          <w:p w:rsidR="00092431" w:rsidRPr="005B1ADC" w:rsidRDefault="00092431" w:rsidP="00092431">
            <w:pPr>
              <w:tabs>
                <w:tab w:val="decimal" w:pos="422"/>
              </w:tabs>
              <w:jc w:val="left"/>
              <w:rPr>
                <w:sz w:val="14"/>
              </w:rPr>
            </w:pPr>
            <w:r w:rsidRPr="005B1ADC">
              <w:rPr>
                <w:sz w:val="14"/>
              </w:rPr>
              <w:t>5,298.3</w:t>
            </w:r>
          </w:p>
        </w:tc>
        <w:tc>
          <w:tcPr>
            <w:tcW w:w="675" w:type="dxa"/>
            <w:vAlign w:val="bottom"/>
          </w:tcPr>
          <w:p w:rsidR="00092431" w:rsidRPr="005B1ADC" w:rsidRDefault="00092431" w:rsidP="00092431">
            <w:pPr>
              <w:tabs>
                <w:tab w:val="decimal" w:pos="192"/>
              </w:tabs>
              <w:jc w:val="left"/>
              <w:rPr>
                <w:sz w:val="14"/>
              </w:rPr>
            </w:pPr>
            <w:r w:rsidRPr="005B1ADC">
              <w:rPr>
                <w:sz w:val="14"/>
              </w:rPr>
              <w:t>9.8</w:t>
            </w:r>
          </w:p>
        </w:tc>
        <w:tc>
          <w:tcPr>
            <w:tcW w:w="776" w:type="dxa"/>
            <w:vAlign w:val="bottom"/>
          </w:tcPr>
          <w:p w:rsidR="00092431" w:rsidRPr="005B1ADC" w:rsidRDefault="006F0A69" w:rsidP="00092431">
            <w:pPr>
              <w:tabs>
                <w:tab w:val="decimal" w:pos="411"/>
              </w:tabs>
              <w:jc w:val="left"/>
              <w:rPr>
                <w:sz w:val="14"/>
              </w:rPr>
            </w:pPr>
            <w:r>
              <w:rPr>
                <w:sz w:val="14"/>
              </w:rPr>
              <w:t>5,926.0</w:t>
            </w:r>
          </w:p>
        </w:tc>
        <w:tc>
          <w:tcPr>
            <w:tcW w:w="675" w:type="dxa"/>
            <w:vAlign w:val="bottom"/>
          </w:tcPr>
          <w:p w:rsidR="00092431" w:rsidRPr="005B1ADC" w:rsidRDefault="006F0A69" w:rsidP="00092431">
            <w:pPr>
              <w:tabs>
                <w:tab w:val="decimal" w:pos="189"/>
              </w:tabs>
              <w:jc w:val="left"/>
              <w:rPr>
                <w:sz w:val="14"/>
              </w:rPr>
            </w:pPr>
            <w:r>
              <w:rPr>
                <w:sz w:val="14"/>
              </w:rPr>
              <w:t>11.8</w:t>
            </w:r>
          </w:p>
        </w:tc>
        <w:tc>
          <w:tcPr>
            <w:tcW w:w="776" w:type="dxa"/>
            <w:vAlign w:val="bottom"/>
          </w:tcPr>
          <w:p w:rsidR="00092431" w:rsidRPr="005B1ADC" w:rsidRDefault="006F0A69" w:rsidP="00092431">
            <w:pPr>
              <w:tabs>
                <w:tab w:val="decimal" w:pos="411"/>
              </w:tabs>
              <w:jc w:val="left"/>
              <w:rPr>
                <w:sz w:val="14"/>
              </w:rPr>
            </w:pPr>
            <w:r>
              <w:rPr>
                <w:sz w:val="14"/>
              </w:rPr>
              <w:t>6,373.2</w:t>
            </w:r>
          </w:p>
        </w:tc>
        <w:tc>
          <w:tcPr>
            <w:tcW w:w="675" w:type="dxa"/>
            <w:vAlign w:val="bottom"/>
          </w:tcPr>
          <w:p w:rsidR="00092431" w:rsidRPr="005B1ADC" w:rsidRDefault="00BC40B9" w:rsidP="00092431">
            <w:pPr>
              <w:tabs>
                <w:tab w:val="decimal" w:pos="189"/>
              </w:tabs>
              <w:jc w:val="left"/>
              <w:rPr>
                <w:sz w:val="14"/>
              </w:rPr>
            </w:pPr>
            <w:r>
              <w:rPr>
                <w:sz w:val="14"/>
              </w:rPr>
              <w:t>7.5</w:t>
            </w:r>
          </w:p>
        </w:tc>
        <w:tc>
          <w:tcPr>
            <w:tcW w:w="755" w:type="dxa"/>
            <w:vAlign w:val="bottom"/>
          </w:tcPr>
          <w:p w:rsidR="00092431" w:rsidRPr="005B1ADC" w:rsidRDefault="001E391C" w:rsidP="00092431">
            <w:pPr>
              <w:tabs>
                <w:tab w:val="decimal" w:pos="418"/>
              </w:tabs>
              <w:jc w:val="left"/>
              <w:rPr>
                <w:sz w:val="14"/>
              </w:rPr>
            </w:pPr>
            <w:r>
              <w:rPr>
                <w:sz w:val="14"/>
              </w:rPr>
              <w:t>776.8</w:t>
            </w:r>
          </w:p>
        </w:tc>
        <w:tc>
          <w:tcPr>
            <w:tcW w:w="761" w:type="dxa"/>
            <w:vAlign w:val="bottom"/>
          </w:tcPr>
          <w:p w:rsidR="00092431" w:rsidRPr="005B1ADC" w:rsidRDefault="001E391C" w:rsidP="00092431">
            <w:pPr>
              <w:tabs>
                <w:tab w:val="decimal" w:pos="414"/>
              </w:tabs>
              <w:jc w:val="left"/>
              <w:rPr>
                <w:sz w:val="14"/>
              </w:rPr>
            </w:pPr>
            <w:r>
              <w:rPr>
                <w:sz w:val="14"/>
              </w:rPr>
              <w:t>824.8</w:t>
            </w:r>
          </w:p>
        </w:tc>
        <w:tc>
          <w:tcPr>
            <w:tcW w:w="675" w:type="dxa"/>
            <w:vAlign w:val="bottom"/>
          </w:tcPr>
          <w:p w:rsidR="00092431" w:rsidRPr="005B1ADC" w:rsidRDefault="00BC40B9" w:rsidP="00092431">
            <w:pPr>
              <w:tabs>
                <w:tab w:val="decimal" w:pos="187"/>
              </w:tabs>
              <w:ind w:right="-2"/>
              <w:jc w:val="left"/>
              <w:rPr>
                <w:sz w:val="14"/>
              </w:rPr>
            </w:pPr>
            <w:r>
              <w:rPr>
                <w:sz w:val="14"/>
              </w:rPr>
              <w:t>6.2</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Food/Beverage Stores</w:t>
            </w:r>
          </w:p>
        </w:tc>
        <w:tc>
          <w:tcPr>
            <w:tcW w:w="776" w:type="dxa"/>
            <w:vAlign w:val="bottom"/>
          </w:tcPr>
          <w:p w:rsidR="00092431" w:rsidRPr="005B1ADC" w:rsidRDefault="00092431" w:rsidP="00092431">
            <w:pPr>
              <w:tabs>
                <w:tab w:val="decimal" w:pos="448"/>
              </w:tabs>
              <w:jc w:val="left"/>
              <w:rPr>
                <w:sz w:val="14"/>
              </w:rPr>
            </w:pPr>
            <w:r w:rsidRPr="005B1ADC">
              <w:rPr>
                <w:sz w:val="14"/>
              </w:rPr>
              <w:t>14,433.2</w:t>
            </w:r>
          </w:p>
        </w:tc>
        <w:tc>
          <w:tcPr>
            <w:tcW w:w="678" w:type="dxa"/>
            <w:vAlign w:val="bottom"/>
          </w:tcPr>
          <w:p w:rsidR="00092431" w:rsidRPr="005B1ADC" w:rsidRDefault="00092431" w:rsidP="00092431">
            <w:pPr>
              <w:tabs>
                <w:tab w:val="decimal" w:pos="240"/>
              </w:tabs>
              <w:jc w:val="left"/>
              <w:rPr>
                <w:sz w:val="14"/>
              </w:rPr>
            </w:pPr>
            <w:r w:rsidRPr="005B1ADC">
              <w:rPr>
                <w:sz w:val="14"/>
              </w:rPr>
              <w:t>8.0</w:t>
            </w:r>
          </w:p>
        </w:tc>
        <w:tc>
          <w:tcPr>
            <w:tcW w:w="776" w:type="dxa"/>
            <w:vAlign w:val="bottom"/>
          </w:tcPr>
          <w:p w:rsidR="00092431" w:rsidRPr="005B1ADC" w:rsidRDefault="00092431" w:rsidP="00092431">
            <w:pPr>
              <w:tabs>
                <w:tab w:val="decimal" w:pos="433"/>
              </w:tabs>
              <w:jc w:val="left"/>
              <w:rPr>
                <w:sz w:val="14"/>
              </w:rPr>
            </w:pPr>
            <w:r w:rsidRPr="005B1ADC">
              <w:rPr>
                <w:sz w:val="14"/>
              </w:rPr>
              <w:t>15,298.5</w:t>
            </w:r>
          </w:p>
        </w:tc>
        <w:tc>
          <w:tcPr>
            <w:tcW w:w="676" w:type="dxa"/>
            <w:vAlign w:val="bottom"/>
          </w:tcPr>
          <w:p w:rsidR="00092431" w:rsidRPr="005B1ADC" w:rsidRDefault="00092431" w:rsidP="00092431">
            <w:pPr>
              <w:tabs>
                <w:tab w:val="decimal" w:pos="222"/>
              </w:tabs>
              <w:jc w:val="left"/>
              <w:rPr>
                <w:sz w:val="14"/>
              </w:rPr>
            </w:pPr>
            <w:r w:rsidRPr="005B1ADC">
              <w:rPr>
                <w:sz w:val="14"/>
              </w:rPr>
              <w:t>6.0</w:t>
            </w:r>
          </w:p>
        </w:tc>
        <w:tc>
          <w:tcPr>
            <w:tcW w:w="776" w:type="dxa"/>
            <w:vAlign w:val="bottom"/>
          </w:tcPr>
          <w:p w:rsidR="00092431" w:rsidRPr="005B1ADC" w:rsidRDefault="00092431" w:rsidP="00092431">
            <w:pPr>
              <w:tabs>
                <w:tab w:val="decimal" w:pos="422"/>
              </w:tabs>
              <w:jc w:val="left"/>
              <w:rPr>
                <w:sz w:val="14"/>
              </w:rPr>
            </w:pPr>
            <w:r w:rsidRPr="005B1ADC">
              <w:rPr>
                <w:sz w:val="14"/>
              </w:rPr>
              <w:t>15,729.9</w:t>
            </w:r>
          </w:p>
        </w:tc>
        <w:tc>
          <w:tcPr>
            <w:tcW w:w="675" w:type="dxa"/>
            <w:vAlign w:val="bottom"/>
          </w:tcPr>
          <w:p w:rsidR="00092431" w:rsidRPr="005B1ADC" w:rsidRDefault="00092431" w:rsidP="00092431">
            <w:pPr>
              <w:tabs>
                <w:tab w:val="decimal" w:pos="192"/>
              </w:tabs>
              <w:jc w:val="left"/>
              <w:rPr>
                <w:sz w:val="14"/>
              </w:rPr>
            </w:pPr>
            <w:r w:rsidRPr="005B1ADC">
              <w:rPr>
                <w:sz w:val="14"/>
              </w:rPr>
              <w:t>2.8</w:t>
            </w:r>
          </w:p>
        </w:tc>
        <w:tc>
          <w:tcPr>
            <w:tcW w:w="776" w:type="dxa"/>
            <w:vAlign w:val="bottom"/>
          </w:tcPr>
          <w:p w:rsidR="00092431" w:rsidRPr="005B1ADC" w:rsidRDefault="006F0A69" w:rsidP="00092431">
            <w:pPr>
              <w:tabs>
                <w:tab w:val="decimal" w:pos="411"/>
              </w:tabs>
              <w:jc w:val="left"/>
              <w:rPr>
                <w:sz w:val="14"/>
              </w:rPr>
            </w:pPr>
            <w:r>
              <w:rPr>
                <w:sz w:val="14"/>
              </w:rPr>
              <w:t>15,964.5</w:t>
            </w:r>
          </w:p>
        </w:tc>
        <w:tc>
          <w:tcPr>
            <w:tcW w:w="675" w:type="dxa"/>
            <w:vAlign w:val="bottom"/>
          </w:tcPr>
          <w:p w:rsidR="00092431" w:rsidRPr="005B1ADC" w:rsidRDefault="006F0A69" w:rsidP="00092431">
            <w:pPr>
              <w:tabs>
                <w:tab w:val="decimal" w:pos="189"/>
              </w:tabs>
              <w:jc w:val="left"/>
              <w:rPr>
                <w:sz w:val="14"/>
              </w:rPr>
            </w:pPr>
            <w:r>
              <w:rPr>
                <w:sz w:val="14"/>
              </w:rPr>
              <w:t>1.5</w:t>
            </w:r>
          </w:p>
        </w:tc>
        <w:tc>
          <w:tcPr>
            <w:tcW w:w="776" w:type="dxa"/>
            <w:vAlign w:val="bottom"/>
          </w:tcPr>
          <w:p w:rsidR="00092431" w:rsidRPr="005B1ADC" w:rsidRDefault="006F0A69" w:rsidP="00092431">
            <w:pPr>
              <w:tabs>
                <w:tab w:val="decimal" w:pos="411"/>
              </w:tabs>
              <w:jc w:val="left"/>
              <w:rPr>
                <w:sz w:val="14"/>
              </w:rPr>
            </w:pPr>
            <w:r>
              <w:rPr>
                <w:sz w:val="14"/>
              </w:rPr>
              <w:t>16,619.2</w:t>
            </w:r>
          </w:p>
        </w:tc>
        <w:tc>
          <w:tcPr>
            <w:tcW w:w="675" w:type="dxa"/>
            <w:vAlign w:val="bottom"/>
          </w:tcPr>
          <w:p w:rsidR="00092431" w:rsidRPr="005B1ADC" w:rsidRDefault="00BC40B9" w:rsidP="00092431">
            <w:pPr>
              <w:tabs>
                <w:tab w:val="decimal" w:pos="189"/>
              </w:tabs>
              <w:jc w:val="left"/>
              <w:rPr>
                <w:sz w:val="14"/>
              </w:rPr>
            </w:pPr>
            <w:r>
              <w:rPr>
                <w:sz w:val="14"/>
              </w:rPr>
              <w:t>4.1</w:t>
            </w:r>
          </w:p>
        </w:tc>
        <w:tc>
          <w:tcPr>
            <w:tcW w:w="755" w:type="dxa"/>
            <w:vAlign w:val="bottom"/>
          </w:tcPr>
          <w:p w:rsidR="00092431" w:rsidRPr="005B1ADC" w:rsidRDefault="001E391C" w:rsidP="00092431">
            <w:pPr>
              <w:tabs>
                <w:tab w:val="decimal" w:pos="418"/>
              </w:tabs>
              <w:jc w:val="left"/>
              <w:rPr>
                <w:sz w:val="14"/>
              </w:rPr>
            </w:pPr>
            <w:r>
              <w:rPr>
                <w:sz w:val="14"/>
              </w:rPr>
              <w:t>2,878.8</w:t>
            </w:r>
          </w:p>
        </w:tc>
        <w:tc>
          <w:tcPr>
            <w:tcW w:w="761" w:type="dxa"/>
            <w:vAlign w:val="bottom"/>
          </w:tcPr>
          <w:p w:rsidR="00092431" w:rsidRPr="005B1ADC" w:rsidRDefault="001E391C" w:rsidP="00092431">
            <w:pPr>
              <w:tabs>
                <w:tab w:val="decimal" w:pos="414"/>
              </w:tabs>
              <w:jc w:val="left"/>
              <w:rPr>
                <w:sz w:val="14"/>
              </w:rPr>
            </w:pPr>
            <w:r>
              <w:rPr>
                <w:sz w:val="14"/>
              </w:rPr>
              <w:t>2,441.1</w:t>
            </w:r>
          </w:p>
        </w:tc>
        <w:tc>
          <w:tcPr>
            <w:tcW w:w="675" w:type="dxa"/>
            <w:vAlign w:val="bottom"/>
          </w:tcPr>
          <w:p w:rsidR="00092431" w:rsidRPr="005B1ADC" w:rsidRDefault="00BC40B9" w:rsidP="00092431">
            <w:pPr>
              <w:tabs>
                <w:tab w:val="decimal" w:pos="187"/>
              </w:tabs>
              <w:ind w:right="-2"/>
              <w:jc w:val="left"/>
              <w:rPr>
                <w:sz w:val="14"/>
              </w:rPr>
            </w:pPr>
            <w:r>
              <w:rPr>
                <w:sz w:val="14"/>
              </w:rPr>
              <w:t>-15.2</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Health and Personal Care</w:t>
            </w:r>
          </w:p>
        </w:tc>
        <w:tc>
          <w:tcPr>
            <w:tcW w:w="776" w:type="dxa"/>
            <w:vAlign w:val="bottom"/>
          </w:tcPr>
          <w:p w:rsidR="00092431" w:rsidRPr="005B1ADC" w:rsidRDefault="00092431" w:rsidP="00092431">
            <w:pPr>
              <w:tabs>
                <w:tab w:val="decimal" w:pos="448"/>
              </w:tabs>
              <w:jc w:val="left"/>
              <w:rPr>
                <w:sz w:val="14"/>
              </w:rPr>
            </w:pPr>
            <w:r w:rsidRPr="005B1ADC">
              <w:rPr>
                <w:sz w:val="14"/>
              </w:rPr>
              <w:t>2,712.1</w:t>
            </w:r>
          </w:p>
        </w:tc>
        <w:tc>
          <w:tcPr>
            <w:tcW w:w="678" w:type="dxa"/>
            <w:vAlign w:val="bottom"/>
          </w:tcPr>
          <w:p w:rsidR="00092431" w:rsidRPr="005B1ADC" w:rsidRDefault="00092431" w:rsidP="00092431">
            <w:pPr>
              <w:tabs>
                <w:tab w:val="decimal" w:pos="240"/>
              </w:tabs>
              <w:jc w:val="left"/>
              <w:rPr>
                <w:sz w:val="14"/>
              </w:rPr>
            </w:pPr>
            <w:r w:rsidRPr="005B1ADC">
              <w:rPr>
                <w:sz w:val="14"/>
              </w:rPr>
              <w:t>7.2</w:t>
            </w:r>
          </w:p>
        </w:tc>
        <w:tc>
          <w:tcPr>
            <w:tcW w:w="776" w:type="dxa"/>
            <w:vAlign w:val="bottom"/>
          </w:tcPr>
          <w:p w:rsidR="00092431" w:rsidRPr="005B1ADC" w:rsidRDefault="00092431" w:rsidP="00092431">
            <w:pPr>
              <w:tabs>
                <w:tab w:val="decimal" w:pos="433"/>
              </w:tabs>
              <w:jc w:val="left"/>
              <w:rPr>
                <w:sz w:val="14"/>
              </w:rPr>
            </w:pPr>
            <w:r w:rsidRPr="005B1ADC">
              <w:rPr>
                <w:sz w:val="14"/>
              </w:rPr>
              <w:t>2,886.9</w:t>
            </w:r>
          </w:p>
        </w:tc>
        <w:tc>
          <w:tcPr>
            <w:tcW w:w="676" w:type="dxa"/>
            <w:vAlign w:val="bottom"/>
          </w:tcPr>
          <w:p w:rsidR="00092431" w:rsidRPr="005B1ADC" w:rsidRDefault="00092431" w:rsidP="00092431">
            <w:pPr>
              <w:tabs>
                <w:tab w:val="decimal" w:pos="222"/>
              </w:tabs>
              <w:jc w:val="left"/>
              <w:rPr>
                <w:sz w:val="14"/>
              </w:rPr>
            </w:pPr>
            <w:r w:rsidRPr="005B1ADC">
              <w:rPr>
                <w:sz w:val="14"/>
              </w:rPr>
              <w:t>6.4</w:t>
            </w:r>
          </w:p>
        </w:tc>
        <w:tc>
          <w:tcPr>
            <w:tcW w:w="776" w:type="dxa"/>
            <w:vAlign w:val="bottom"/>
          </w:tcPr>
          <w:p w:rsidR="00092431" w:rsidRPr="005B1ADC" w:rsidRDefault="00092431" w:rsidP="00092431">
            <w:pPr>
              <w:tabs>
                <w:tab w:val="decimal" w:pos="422"/>
              </w:tabs>
              <w:jc w:val="left"/>
              <w:rPr>
                <w:sz w:val="14"/>
              </w:rPr>
            </w:pPr>
            <w:r w:rsidRPr="005B1ADC">
              <w:rPr>
                <w:sz w:val="14"/>
              </w:rPr>
              <w:t>3,166.1</w:t>
            </w:r>
          </w:p>
        </w:tc>
        <w:tc>
          <w:tcPr>
            <w:tcW w:w="675" w:type="dxa"/>
            <w:vAlign w:val="bottom"/>
          </w:tcPr>
          <w:p w:rsidR="00092431" w:rsidRPr="005B1ADC" w:rsidRDefault="00092431" w:rsidP="00092431">
            <w:pPr>
              <w:tabs>
                <w:tab w:val="decimal" w:pos="192"/>
              </w:tabs>
              <w:jc w:val="left"/>
              <w:rPr>
                <w:sz w:val="14"/>
              </w:rPr>
            </w:pPr>
            <w:r w:rsidRPr="005B1ADC">
              <w:rPr>
                <w:sz w:val="14"/>
              </w:rPr>
              <w:t>9.7</w:t>
            </w:r>
          </w:p>
        </w:tc>
        <w:tc>
          <w:tcPr>
            <w:tcW w:w="776" w:type="dxa"/>
            <w:vAlign w:val="bottom"/>
          </w:tcPr>
          <w:p w:rsidR="00092431" w:rsidRPr="005B1ADC" w:rsidRDefault="006F0A69" w:rsidP="00092431">
            <w:pPr>
              <w:tabs>
                <w:tab w:val="decimal" w:pos="411"/>
              </w:tabs>
              <w:jc w:val="left"/>
              <w:rPr>
                <w:sz w:val="14"/>
              </w:rPr>
            </w:pPr>
            <w:r>
              <w:rPr>
                <w:sz w:val="14"/>
              </w:rPr>
              <w:t>3,730.3</w:t>
            </w:r>
          </w:p>
        </w:tc>
        <w:tc>
          <w:tcPr>
            <w:tcW w:w="675" w:type="dxa"/>
            <w:vAlign w:val="bottom"/>
          </w:tcPr>
          <w:p w:rsidR="00092431" w:rsidRPr="005B1ADC" w:rsidRDefault="006F0A69" w:rsidP="00092431">
            <w:pPr>
              <w:tabs>
                <w:tab w:val="decimal" w:pos="189"/>
              </w:tabs>
              <w:jc w:val="left"/>
              <w:rPr>
                <w:sz w:val="14"/>
              </w:rPr>
            </w:pPr>
            <w:r>
              <w:rPr>
                <w:sz w:val="14"/>
              </w:rPr>
              <w:t>17.8</w:t>
            </w:r>
          </w:p>
        </w:tc>
        <w:tc>
          <w:tcPr>
            <w:tcW w:w="776" w:type="dxa"/>
            <w:vAlign w:val="bottom"/>
          </w:tcPr>
          <w:p w:rsidR="00092431" w:rsidRPr="005B1ADC" w:rsidRDefault="006F0A69" w:rsidP="00092431">
            <w:pPr>
              <w:tabs>
                <w:tab w:val="decimal" w:pos="411"/>
              </w:tabs>
              <w:jc w:val="left"/>
              <w:rPr>
                <w:sz w:val="14"/>
              </w:rPr>
            </w:pPr>
            <w:r>
              <w:rPr>
                <w:sz w:val="14"/>
              </w:rPr>
              <w:t>4,384.1</w:t>
            </w:r>
          </w:p>
        </w:tc>
        <w:tc>
          <w:tcPr>
            <w:tcW w:w="675" w:type="dxa"/>
            <w:vAlign w:val="bottom"/>
          </w:tcPr>
          <w:p w:rsidR="00092431" w:rsidRPr="005B1ADC" w:rsidRDefault="00BC40B9" w:rsidP="00092431">
            <w:pPr>
              <w:tabs>
                <w:tab w:val="decimal" w:pos="189"/>
              </w:tabs>
              <w:jc w:val="left"/>
              <w:rPr>
                <w:sz w:val="14"/>
              </w:rPr>
            </w:pPr>
            <w:r>
              <w:rPr>
                <w:sz w:val="14"/>
              </w:rPr>
              <w:t>17.5</w:t>
            </w:r>
          </w:p>
        </w:tc>
        <w:tc>
          <w:tcPr>
            <w:tcW w:w="755" w:type="dxa"/>
            <w:vAlign w:val="bottom"/>
          </w:tcPr>
          <w:p w:rsidR="00092431" w:rsidRPr="005B1ADC" w:rsidRDefault="001E391C" w:rsidP="00092431">
            <w:pPr>
              <w:tabs>
                <w:tab w:val="decimal" w:pos="418"/>
              </w:tabs>
              <w:jc w:val="left"/>
              <w:rPr>
                <w:sz w:val="14"/>
              </w:rPr>
            </w:pPr>
            <w:r>
              <w:rPr>
                <w:sz w:val="14"/>
              </w:rPr>
              <w:t>576.8</w:t>
            </w:r>
          </w:p>
        </w:tc>
        <w:tc>
          <w:tcPr>
            <w:tcW w:w="761" w:type="dxa"/>
            <w:vAlign w:val="bottom"/>
          </w:tcPr>
          <w:p w:rsidR="00092431" w:rsidRPr="005B1ADC" w:rsidRDefault="001E391C" w:rsidP="00092431">
            <w:pPr>
              <w:tabs>
                <w:tab w:val="decimal" w:pos="414"/>
              </w:tabs>
              <w:jc w:val="left"/>
              <w:rPr>
                <w:sz w:val="14"/>
              </w:rPr>
            </w:pPr>
            <w:r>
              <w:rPr>
                <w:sz w:val="14"/>
              </w:rPr>
              <w:t>665.4</w:t>
            </w:r>
          </w:p>
        </w:tc>
        <w:tc>
          <w:tcPr>
            <w:tcW w:w="675" w:type="dxa"/>
            <w:vAlign w:val="bottom"/>
          </w:tcPr>
          <w:p w:rsidR="00092431" w:rsidRPr="005B1ADC" w:rsidRDefault="00BC40B9" w:rsidP="00092431">
            <w:pPr>
              <w:tabs>
                <w:tab w:val="decimal" w:pos="187"/>
              </w:tabs>
              <w:ind w:right="-2"/>
              <w:jc w:val="left"/>
              <w:rPr>
                <w:sz w:val="14"/>
              </w:rPr>
            </w:pPr>
            <w:r>
              <w:rPr>
                <w:sz w:val="14"/>
              </w:rPr>
              <w:t>15.4</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Gas Stations</w:t>
            </w:r>
          </w:p>
        </w:tc>
        <w:tc>
          <w:tcPr>
            <w:tcW w:w="776" w:type="dxa"/>
            <w:vAlign w:val="bottom"/>
          </w:tcPr>
          <w:p w:rsidR="00092431" w:rsidRPr="005B1ADC" w:rsidRDefault="00092431" w:rsidP="00092431">
            <w:pPr>
              <w:tabs>
                <w:tab w:val="decimal" w:pos="448"/>
              </w:tabs>
              <w:jc w:val="left"/>
              <w:rPr>
                <w:sz w:val="14"/>
              </w:rPr>
            </w:pPr>
            <w:r w:rsidRPr="005B1ADC">
              <w:rPr>
                <w:sz w:val="14"/>
              </w:rPr>
              <w:t>5,778.1</w:t>
            </w:r>
          </w:p>
        </w:tc>
        <w:tc>
          <w:tcPr>
            <w:tcW w:w="678" w:type="dxa"/>
            <w:vAlign w:val="bottom"/>
          </w:tcPr>
          <w:p w:rsidR="00092431" w:rsidRPr="005B1ADC" w:rsidRDefault="00092431" w:rsidP="00092431">
            <w:pPr>
              <w:tabs>
                <w:tab w:val="decimal" w:pos="240"/>
              </w:tabs>
              <w:jc w:val="left"/>
              <w:rPr>
                <w:sz w:val="14"/>
              </w:rPr>
            </w:pPr>
            <w:r w:rsidRPr="005B1ADC">
              <w:rPr>
                <w:sz w:val="14"/>
              </w:rPr>
              <w:t>23.1</w:t>
            </w:r>
          </w:p>
        </w:tc>
        <w:tc>
          <w:tcPr>
            <w:tcW w:w="776" w:type="dxa"/>
            <w:vAlign w:val="bottom"/>
          </w:tcPr>
          <w:p w:rsidR="00092431" w:rsidRPr="005B1ADC" w:rsidRDefault="00092431" w:rsidP="00092431">
            <w:pPr>
              <w:tabs>
                <w:tab w:val="decimal" w:pos="433"/>
              </w:tabs>
              <w:jc w:val="left"/>
              <w:rPr>
                <w:sz w:val="14"/>
              </w:rPr>
            </w:pPr>
            <w:r w:rsidRPr="005B1ADC">
              <w:rPr>
                <w:sz w:val="14"/>
              </w:rPr>
              <w:t>6,011.1</w:t>
            </w:r>
          </w:p>
        </w:tc>
        <w:tc>
          <w:tcPr>
            <w:tcW w:w="676" w:type="dxa"/>
            <w:vAlign w:val="bottom"/>
          </w:tcPr>
          <w:p w:rsidR="00092431" w:rsidRPr="005B1ADC" w:rsidRDefault="00092431" w:rsidP="00092431">
            <w:pPr>
              <w:tabs>
                <w:tab w:val="decimal" w:pos="222"/>
              </w:tabs>
              <w:jc w:val="left"/>
              <w:rPr>
                <w:sz w:val="14"/>
              </w:rPr>
            </w:pPr>
            <w:r w:rsidRPr="005B1ADC">
              <w:rPr>
                <w:sz w:val="14"/>
              </w:rPr>
              <w:t>4.0</w:t>
            </w:r>
          </w:p>
        </w:tc>
        <w:tc>
          <w:tcPr>
            <w:tcW w:w="776" w:type="dxa"/>
            <w:vAlign w:val="bottom"/>
          </w:tcPr>
          <w:p w:rsidR="00092431" w:rsidRPr="005B1ADC" w:rsidRDefault="00092431" w:rsidP="00092431">
            <w:pPr>
              <w:tabs>
                <w:tab w:val="decimal" w:pos="422"/>
              </w:tabs>
              <w:jc w:val="left"/>
              <w:rPr>
                <w:sz w:val="14"/>
              </w:rPr>
            </w:pPr>
            <w:r w:rsidRPr="005B1ADC">
              <w:rPr>
                <w:sz w:val="14"/>
              </w:rPr>
              <w:t>5,869.2</w:t>
            </w:r>
          </w:p>
        </w:tc>
        <w:tc>
          <w:tcPr>
            <w:tcW w:w="675" w:type="dxa"/>
            <w:vAlign w:val="bottom"/>
          </w:tcPr>
          <w:p w:rsidR="00092431" w:rsidRPr="005B1ADC" w:rsidRDefault="00092431" w:rsidP="00092431">
            <w:pPr>
              <w:tabs>
                <w:tab w:val="decimal" w:pos="192"/>
              </w:tabs>
              <w:jc w:val="left"/>
              <w:rPr>
                <w:sz w:val="14"/>
              </w:rPr>
            </w:pPr>
            <w:r w:rsidRPr="005B1ADC">
              <w:rPr>
                <w:sz w:val="14"/>
              </w:rPr>
              <w:t>-2.4</w:t>
            </w:r>
          </w:p>
        </w:tc>
        <w:tc>
          <w:tcPr>
            <w:tcW w:w="776" w:type="dxa"/>
            <w:vAlign w:val="bottom"/>
          </w:tcPr>
          <w:p w:rsidR="00092431" w:rsidRPr="005B1ADC" w:rsidRDefault="006F0A69" w:rsidP="00092431">
            <w:pPr>
              <w:tabs>
                <w:tab w:val="decimal" w:pos="411"/>
              </w:tabs>
              <w:jc w:val="left"/>
              <w:rPr>
                <w:sz w:val="14"/>
              </w:rPr>
            </w:pPr>
            <w:r>
              <w:rPr>
                <w:sz w:val="14"/>
              </w:rPr>
              <w:t>5,702.2</w:t>
            </w:r>
          </w:p>
        </w:tc>
        <w:tc>
          <w:tcPr>
            <w:tcW w:w="675" w:type="dxa"/>
            <w:vAlign w:val="bottom"/>
          </w:tcPr>
          <w:p w:rsidR="00092431" w:rsidRPr="005B1ADC" w:rsidRDefault="006F0A69" w:rsidP="00092431">
            <w:pPr>
              <w:tabs>
                <w:tab w:val="decimal" w:pos="189"/>
              </w:tabs>
              <w:jc w:val="left"/>
              <w:rPr>
                <w:sz w:val="14"/>
              </w:rPr>
            </w:pPr>
            <w:r>
              <w:rPr>
                <w:sz w:val="14"/>
              </w:rPr>
              <w:t>-2.8</w:t>
            </w:r>
          </w:p>
        </w:tc>
        <w:tc>
          <w:tcPr>
            <w:tcW w:w="776" w:type="dxa"/>
            <w:vAlign w:val="bottom"/>
          </w:tcPr>
          <w:p w:rsidR="00092431" w:rsidRPr="005B1ADC" w:rsidRDefault="006F0A69" w:rsidP="00092431">
            <w:pPr>
              <w:tabs>
                <w:tab w:val="decimal" w:pos="411"/>
              </w:tabs>
              <w:jc w:val="left"/>
              <w:rPr>
                <w:sz w:val="14"/>
              </w:rPr>
            </w:pPr>
            <w:r>
              <w:rPr>
                <w:sz w:val="14"/>
              </w:rPr>
              <w:t>4,815.3</w:t>
            </w:r>
          </w:p>
        </w:tc>
        <w:tc>
          <w:tcPr>
            <w:tcW w:w="675" w:type="dxa"/>
            <w:vAlign w:val="bottom"/>
          </w:tcPr>
          <w:p w:rsidR="00092431" w:rsidRPr="005B1ADC" w:rsidRDefault="00BC40B9" w:rsidP="00092431">
            <w:pPr>
              <w:tabs>
                <w:tab w:val="decimal" w:pos="189"/>
              </w:tabs>
              <w:jc w:val="left"/>
              <w:rPr>
                <w:sz w:val="14"/>
              </w:rPr>
            </w:pPr>
            <w:r>
              <w:rPr>
                <w:sz w:val="14"/>
              </w:rPr>
              <w:t>-15.6</w:t>
            </w:r>
          </w:p>
        </w:tc>
        <w:tc>
          <w:tcPr>
            <w:tcW w:w="755" w:type="dxa"/>
            <w:vAlign w:val="bottom"/>
          </w:tcPr>
          <w:p w:rsidR="00092431" w:rsidRPr="005B1ADC" w:rsidRDefault="001E391C" w:rsidP="00092431">
            <w:pPr>
              <w:tabs>
                <w:tab w:val="decimal" w:pos="418"/>
              </w:tabs>
              <w:jc w:val="left"/>
              <w:rPr>
                <w:sz w:val="14"/>
              </w:rPr>
            </w:pPr>
            <w:r>
              <w:rPr>
                <w:sz w:val="14"/>
              </w:rPr>
              <w:t>609.0</w:t>
            </w:r>
          </w:p>
        </w:tc>
        <w:tc>
          <w:tcPr>
            <w:tcW w:w="761" w:type="dxa"/>
            <w:vAlign w:val="bottom"/>
          </w:tcPr>
          <w:p w:rsidR="00092431" w:rsidRPr="005B1ADC" w:rsidRDefault="001E391C" w:rsidP="00092431">
            <w:pPr>
              <w:tabs>
                <w:tab w:val="decimal" w:pos="414"/>
              </w:tabs>
              <w:jc w:val="left"/>
              <w:rPr>
                <w:sz w:val="14"/>
              </w:rPr>
            </w:pPr>
            <w:r>
              <w:rPr>
                <w:sz w:val="14"/>
              </w:rPr>
              <w:t>570.6</w:t>
            </w:r>
          </w:p>
        </w:tc>
        <w:tc>
          <w:tcPr>
            <w:tcW w:w="675" w:type="dxa"/>
            <w:vAlign w:val="bottom"/>
          </w:tcPr>
          <w:p w:rsidR="00092431" w:rsidRPr="005B1ADC" w:rsidRDefault="00BC40B9" w:rsidP="00092431">
            <w:pPr>
              <w:tabs>
                <w:tab w:val="decimal" w:pos="187"/>
              </w:tabs>
              <w:ind w:right="-2"/>
              <w:jc w:val="left"/>
              <w:rPr>
                <w:sz w:val="14"/>
              </w:rPr>
            </w:pPr>
            <w:r>
              <w:rPr>
                <w:sz w:val="14"/>
              </w:rPr>
              <w:t>-6.3</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Clothing and Accessories</w:t>
            </w:r>
          </w:p>
        </w:tc>
        <w:tc>
          <w:tcPr>
            <w:tcW w:w="776" w:type="dxa"/>
            <w:vAlign w:val="bottom"/>
          </w:tcPr>
          <w:p w:rsidR="00092431" w:rsidRPr="005B1ADC" w:rsidRDefault="00092431" w:rsidP="00092431">
            <w:pPr>
              <w:tabs>
                <w:tab w:val="decimal" w:pos="448"/>
              </w:tabs>
              <w:jc w:val="left"/>
              <w:rPr>
                <w:sz w:val="14"/>
              </w:rPr>
            </w:pPr>
            <w:r w:rsidRPr="005B1ADC">
              <w:rPr>
                <w:sz w:val="14"/>
              </w:rPr>
              <w:t>3,337.4</w:t>
            </w:r>
          </w:p>
        </w:tc>
        <w:tc>
          <w:tcPr>
            <w:tcW w:w="678" w:type="dxa"/>
            <w:vAlign w:val="bottom"/>
          </w:tcPr>
          <w:p w:rsidR="00092431" w:rsidRPr="005B1ADC" w:rsidRDefault="00092431" w:rsidP="00092431">
            <w:pPr>
              <w:tabs>
                <w:tab w:val="decimal" w:pos="240"/>
              </w:tabs>
              <w:jc w:val="left"/>
              <w:rPr>
                <w:sz w:val="14"/>
              </w:rPr>
            </w:pPr>
            <w:r w:rsidRPr="005B1ADC">
              <w:rPr>
                <w:sz w:val="14"/>
              </w:rPr>
              <w:t>7.0</w:t>
            </w:r>
          </w:p>
        </w:tc>
        <w:tc>
          <w:tcPr>
            <w:tcW w:w="776" w:type="dxa"/>
            <w:vAlign w:val="bottom"/>
          </w:tcPr>
          <w:p w:rsidR="00092431" w:rsidRPr="005B1ADC" w:rsidRDefault="00092431" w:rsidP="00092431">
            <w:pPr>
              <w:tabs>
                <w:tab w:val="decimal" w:pos="433"/>
              </w:tabs>
              <w:jc w:val="left"/>
              <w:rPr>
                <w:sz w:val="14"/>
              </w:rPr>
            </w:pPr>
            <w:r w:rsidRPr="005B1ADC">
              <w:rPr>
                <w:sz w:val="14"/>
              </w:rPr>
              <w:t>3,510.2</w:t>
            </w:r>
          </w:p>
        </w:tc>
        <w:tc>
          <w:tcPr>
            <w:tcW w:w="676" w:type="dxa"/>
            <w:vAlign w:val="bottom"/>
          </w:tcPr>
          <w:p w:rsidR="00092431" w:rsidRPr="005B1ADC" w:rsidRDefault="00092431" w:rsidP="00092431">
            <w:pPr>
              <w:tabs>
                <w:tab w:val="decimal" w:pos="222"/>
              </w:tabs>
              <w:jc w:val="left"/>
              <w:rPr>
                <w:sz w:val="14"/>
              </w:rPr>
            </w:pPr>
            <w:r w:rsidRPr="005B1ADC">
              <w:rPr>
                <w:sz w:val="14"/>
              </w:rPr>
              <w:t>5.2</w:t>
            </w:r>
          </w:p>
        </w:tc>
        <w:tc>
          <w:tcPr>
            <w:tcW w:w="776" w:type="dxa"/>
            <w:vAlign w:val="bottom"/>
          </w:tcPr>
          <w:p w:rsidR="00092431" w:rsidRPr="005B1ADC" w:rsidRDefault="00092431" w:rsidP="00092431">
            <w:pPr>
              <w:tabs>
                <w:tab w:val="decimal" w:pos="422"/>
              </w:tabs>
              <w:jc w:val="left"/>
              <w:rPr>
                <w:sz w:val="14"/>
              </w:rPr>
            </w:pPr>
            <w:r w:rsidRPr="005B1ADC">
              <w:rPr>
                <w:sz w:val="14"/>
              </w:rPr>
              <w:t>3,559.2</w:t>
            </w:r>
          </w:p>
        </w:tc>
        <w:tc>
          <w:tcPr>
            <w:tcW w:w="675" w:type="dxa"/>
            <w:vAlign w:val="bottom"/>
          </w:tcPr>
          <w:p w:rsidR="00092431" w:rsidRPr="005B1ADC" w:rsidRDefault="00092431" w:rsidP="00092431">
            <w:pPr>
              <w:tabs>
                <w:tab w:val="decimal" w:pos="192"/>
              </w:tabs>
              <w:jc w:val="left"/>
              <w:rPr>
                <w:sz w:val="14"/>
              </w:rPr>
            </w:pPr>
            <w:r w:rsidRPr="005B1ADC">
              <w:rPr>
                <w:sz w:val="14"/>
              </w:rPr>
              <w:t>1.4</w:t>
            </w:r>
          </w:p>
        </w:tc>
        <w:tc>
          <w:tcPr>
            <w:tcW w:w="776" w:type="dxa"/>
            <w:vAlign w:val="bottom"/>
          </w:tcPr>
          <w:p w:rsidR="00092431" w:rsidRPr="005B1ADC" w:rsidRDefault="006F0A69" w:rsidP="00092431">
            <w:pPr>
              <w:tabs>
                <w:tab w:val="decimal" w:pos="411"/>
              </w:tabs>
              <w:jc w:val="left"/>
              <w:rPr>
                <w:sz w:val="14"/>
              </w:rPr>
            </w:pPr>
            <w:r>
              <w:rPr>
                <w:sz w:val="14"/>
              </w:rPr>
              <w:t>3,735.3</w:t>
            </w:r>
          </w:p>
        </w:tc>
        <w:tc>
          <w:tcPr>
            <w:tcW w:w="675" w:type="dxa"/>
            <w:vAlign w:val="bottom"/>
          </w:tcPr>
          <w:p w:rsidR="00092431" w:rsidRPr="005B1ADC" w:rsidRDefault="006F0A69" w:rsidP="00092431">
            <w:pPr>
              <w:tabs>
                <w:tab w:val="decimal" w:pos="189"/>
              </w:tabs>
              <w:jc w:val="left"/>
              <w:rPr>
                <w:sz w:val="14"/>
              </w:rPr>
            </w:pPr>
            <w:r>
              <w:rPr>
                <w:sz w:val="14"/>
              </w:rPr>
              <w:t>4.9</w:t>
            </w:r>
          </w:p>
        </w:tc>
        <w:tc>
          <w:tcPr>
            <w:tcW w:w="776" w:type="dxa"/>
            <w:vAlign w:val="bottom"/>
          </w:tcPr>
          <w:p w:rsidR="00092431" w:rsidRPr="005B1ADC" w:rsidRDefault="006F0A69" w:rsidP="00092431">
            <w:pPr>
              <w:tabs>
                <w:tab w:val="decimal" w:pos="411"/>
              </w:tabs>
              <w:jc w:val="left"/>
              <w:rPr>
                <w:sz w:val="14"/>
              </w:rPr>
            </w:pPr>
            <w:r>
              <w:rPr>
                <w:sz w:val="14"/>
              </w:rPr>
              <w:t>3,810.6</w:t>
            </w:r>
          </w:p>
        </w:tc>
        <w:tc>
          <w:tcPr>
            <w:tcW w:w="675" w:type="dxa"/>
            <w:vAlign w:val="bottom"/>
          </w:tcPr>
          <w:p w:rsidR="00092431" w:rsidRPr="005B1ADC" w:rsidRDefault="00BC40B9" w:rsidP="00092431">
            <w:pPr>
              <w:tabs>
                <w:tab w:val="decimal" w:pos="189"/>
              </w:tabs>
              <w:jc w:val="left"/>
              <w:rPr>
                <w:sz w:val="14"/>
              </w:rPr>
            </w:pPr>
            <w:r>
              <w:rPr>
                <w:sz w:val="14"/>
              </w:rPr>
              <w:t>2.0</w:t>
            </w:r>
          </w:p>
        </w:tc>
        <w:tc>
          <w:tcPr>
            <w:tcW w:w="755" w:type="dxa"/>
            <w:vAlign w:val="bottom"/>
          </w:tcPr>
          <w:p w:rsidR="00092431" w:rsidRPr="005B1ADC" w:rsidRDefault="001E391C" w:rsidP="00092431">
            <w:pPr>
              <w:tabs>
                <w:tab w:val="decimal" w:pos="418"/>
              </w:tabs>
              <w:jc w:val="left"/>
              <w:rPr>
                <w:sz w:val="14"/>
              </w:rPr>
            </w:pPr>
            <w:r>
              <w:rPr>
                <w:sz w:val="14"/>
              </w:rPr>
              <w:t>493.3</w:t>
            </w:r>
          </w:p>
        </w:tc>
        <w:tc>
          <w:tcPr>
            <w:tcW w:w="761" w:type="dxa"/>
            <w:vAlign w:val="bottom"/>
          </w:tcPr>
          <w:p w:rsidR="00092431" w:rsidRPr="005B1ADC" w:rsidRDefault="001E391C" w:rsidP="00092431">
            <w:pPr>
              <w:tabs>
                <w:tab w:val="decimal" w:pos="414"/>
              </w:tabs>
              <w:jc w:val="left"/>
              <w:rPr>
                <w:sz w:val="14"/>
              </w:rPr>
            </w:pPr>
            <w:r>
              <w:rPr>
                <w:sz w:val="14"/>
              </w:rPr>
              <w:t>491.9</w:t>
            </w:r>
          </w:p>
        </w:tc>
        <w:tc>
          <w:tcPr>
            <w:tcW w:w="675" w:type="dxa"/>
            <w:vAlign w:val="bottom"/>
          </w:tcPr>
          <w:p w:rsidR="00092431" w:rsidRPr="005B1ADC" w:rsidRDefault="00BC40B9" w:rsidP="00092431">
            <w:pPr>
              <w:tabs>
                <w:tab w:val="decimal" w:pos="187"/>
              </w:tabs>
              <w:ind w:right="-2"/>
              <w:jc w:val="left"/>
              <w:rPr>
                <w:sz w:val="14"/>
              </w:rPr>
            </w:pPr>
            <w:r>
              <w:rPr>
                <w:sz w:val="14"/>
              </w:rPr>
              <w:t>-0.3</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Sporting/Hobby/Books/Music</w:t>
            </w:r>
          </w:p>
        </w:tc>
        <w:tc>
          <w:tcPr>
            <w:tcW w:w="776" w:type="dxa"/>
            <w:vAlign w:val="bottom"/>
          </w:tcPr>
          <w:p w:rsidR="00092431" w:rsidRPr="005B1ADC" w:rsidRDefault="00092431" w:rsidP="00092431">
            <w:pPr>
              <w:tabs>
                <w:tab w:val="decimal" w:pos="448"/>
              </w:tabs>
              <w:jc w:val="left"/>
              <w:rPr>
                <w:sz w:val="14"/>
              </w:rPr>
            </w:pPr>
            <w:r w:rsidRPr="005B1ADC">
              <w:rPr>
                <w:sz w:val="14"/>
              </w:rPr>
              <w:t>2,680.6</w:t>
            </w:r>
          </w:p>
        </w:tc>
        <w:tc>
          <w:tcPr>
            <w:tcW w:w="678" w:type="dxa"/>
            <w:vAlign w:val="bottom"/>
          </w:tcPr>
          <w:p w:rsidR="00092431" w:rsidRPr="005B1ADC" w:rsidRDefault="00092431" w:rsidP="00092431">
            <w:pPr>
              <w:tabs>
                <w:tab w:val="decimal" w:pos="240"/>
              </w:tabs>
              <w:jc w:val="left"/>
              <w:rPr>
                <w:sz w:val="14"/>
              </w:rPr>
            </w:pPr>
            <w:r w:rsidRPr="005B1ADC">
              <w:rPr>
                <w:sz w:val="14"/>
              </w:rPr>
              <w:t>7.8</w:t>
            </w:r>
          </w:p>
        </w:tc>
        <w:tc>
          <w:tcPr>
            <w:tcW w:w="776" w:type="dxa"/>
            <w:vAlign w:val="bottom"/>
          </w:tcPr>
          <w:p w:rsidR="00092431" w:rsidRPr="005B1ADC" w:rsidRDefault="00092431" w:rsidP="00092431">
            <w:pPr>
              <w:tabs>
                <w:tab w:val="decimal" w:pos="433"/>
              </w:tabs>
              <w:jc w:val="left"/>
              <w:rPr>
                <w:sz w:val="14"/>
              </w:rPr>
            </w:pPr>
            <w:r w:rsidRPr="005B1ADC">
              <w:rPr>
                <w:sz w:val="14"/>
              </w:rPr>
              <w:t>2,674.0</w:t>
            </w:r>
          </w:p>
        </w:tc>
        <w:tc>
          <w:tcPr>
            <w:tcW w:w="676" w:type="dxa"/>
            <w:vAlign w:val="bottom"/>
          </w:tcPr>
          <w:p w:rsidR="00092431" w:rsidRPr="005B1ADC" w:rsidRDefault="00092431" w:rsidP="00092431">
            <w:pPr>
              <w:tabs>
                <w:tab w:val="decimal" w:pos="222"/>
              </w:tabs>
              <w:jc w:val="left"/>
              <w:rPr>
                <w:sz w:val="14"/>
              </w:rPr>
            </w:pPr>
            <w:r w:rsidRPr="005B1ADC">
              <w:rPr>
                <w:sz w:val="14"/>
              </w:rPr>
              <w:t>-0.2</w:t>
            </w:r>
          </w:p>
        </w:tc>
        <w:tc>
          <w:tcPr>
            <w:tcW w:w="776" w:type="dxa"/>
            <w:vAlign w:val="bottom"/>
          </w:tcPr>
          <w:p w:rsidR="00092431" w:rsidRPr="005B1ADC" w:rsidRDefault="00092431" w:rsidP="00092431">
            <w:pPr>
              <w:tabs>
                <w:tab w:val="decimal" w:pos="422"/>
              </w:tabs>
              <w:jc w:val="left"/>
              <w:rPr>
                <w:sz w:val="14"/>
              </w:rPr>
            </w:pPr>
            <w:r w:rsidRPr="005B1ADC">
              <w:rPr>
                <w:sz w:val="14"/>
              </w:rPr>
              <w:t>2,767.7</w:t>
            </w:r>
          </w:p>
        </w:tc>
        <w:tc>
          <w:tcPr>
            <w:tcW w:w="675" w:type="dxa"/>
            <w:vAlign w:val="bottom"/>
          </w:tcPr>
          <w:p w:rsidR="00092431" w:rsidRPr="005B1ADC" w:rsidRDefault="00092431" w:rsidP="00092431">
            <w:pPr>
              <w:tabs>
                <w:tab w:val="decimal" w:pos="192"/>
              </w:tabs>
              <w:jc w:val="left"/>
              <w:rPr>
                <w:sz w:val="14"/>
              </w:rPr>
            </w:pPr>
            <w:r w:rsidRPr="005B1ADC">
              <w:rPr>
                <w:sz w:val="14"/>
              </w:rPr>
              <w:t>3.5</w:t>
            </w:r>
          </w:p>
        </w:tc>
        <w:tc>
          <w:tcPr>
            <w:tcW w:w="776" w:type="dxa"/>
            <w:vAlign w:val="bottom"/>
          </w:tcPr>
          <w:p w:rsidR="00092431" w:rsidRPr="005B1ADC" w:rsidRDefault="006F0A69" w:rsidP="00092431">
            <w:pPr>
              <w:tabs>
                <w:tab w:val="decimal" w:pos="411"/>
              </w:tabs>
              <w:jc w:val="left"/>
              <w:rPr>
                <w:sz w:val="14"/>
              </w:rPr>
            </w:pPr>
            <w:r>
              <w:rPr>
                <w:sz w:val="14"/>
              </w:rPr>
              <w:t>2,920.2</w:t>
            </w:r>
          </w:p>
        </w:tc>
        <w:tc>
          <w:tcPr>
            <w:tcW w:w="675" w:type="dxa"/>
            <w:vAlign w:val="bottom"/>
          </w:tcPr>
          <w:p w:rsidR="00092431" w:rsidRPr="005B1ADC" w:rsidRDefault="006F0A69" w:rsidP="00092431">
            <w:pPr>
              <w:tabs>
                <w:tab w:val="decimal" w:pos="189"/>
              </w:tabs>
              <w:jc w:val="left"/>
              <w:rPr>
                <w:sz w:val="14"/>
              </w:rPr>
            </w:pPr>
            <w:r>
              <w:rPr>
                <w:sz w:val="14"/>
              </w:rPr>
              <w:t>5.5</w:t>
            </w:r>
          </w:p>
        </w:tc>
        <w:tc>
          <w:tcPr>
            <w:tcW w:w="776" w:type="dxa"/>
            <w:vAlign w:val="bottom"/>
          </w:tcPr>
          <w:p w:rsidR="00092431" w:rsidRPr="005B1ADC" w:rsidRDefault="006F0A69" w:rsidP="00092431">
            <w:pPr>
              <w:tabs>
                <w:tab w:val="decimal" w:pos="411"/>
              </w:tabs>
              <w:jc w:val="left"/>
              <w:rPr>
                <w:sz w:val="14"/>
              </w:rPr>
            </w:pPr>
            <w:r>
              <w:rPr>
                <w:sz w:val="14"/>
              </w:rPr>
              <w:t>3,009.1</w:t>
            </w:r>
          </w:p>
        </w:tc>
        <w:tc>
          <w:tcPr>
            <w:tcW w:w="675" w:type="dxa"/>
            <w:vAlign w:val="bottom"/>
          </w:tcPr>
          <w:p w:rsidR="00092431" w:rsidRPr="005B1ADC" w:rsidRDefault="00BC40B9" w:rsidP="00092431">
            <w:pPr>
              <w:tabs>
                <w:tab w:val="decimal" w:pos="189"/>
              </w:tabs>
              <w:jc w:val="left"/>
              <w:rPr>
                <w:sz w:val="14"/>
              </w:rPr>
            </w:pPr>
            <w:r>
              <w:rPr>
                <w:sz w:val="14"/>
              </w:rPr>
              <w:t>3.0</w:t>
            </w:r>
          </w:p>
        </w:tc>
        <w:tc>
          <w:tcPr>
            <w:tcW w:w="755" w:type="dxa"/>
            <w:vAlign w:val="bottom"/>
          </w:tcPr>
          <w:p w:rsidR="00092431" w:rsidRPr="005B1ADC" w:rsidRDefault="001E391C" w:rsidP="00092431">
            <w:pPr>
              <w:tabs>
                <w:tab w:val="decimal" w:pos="418"/>
              </w:tabs>
              <w:jc w:val="left"/>
              <w:rPr>
                <w:sz w:val="14"/>
              </w:rPr>
            </w:pPr>
            <w:r>
              <w:rPr>
                <w:sz w:val="14"/>
              </w:rPr>
              <w:t>430.0</w:t>
            </w:r>
          </w:p>
        </w:tc>
        <w:tc>
          <w:tcPr>
            <w:tcW w:w="761" w:type="dxa"/>
            <w:vAlign w:val="bottom"/>
          </w:tcPr>
          <w:p w:rsidR="00092431" w:rsidRPr="005B1ADC" w:rsidRDefault="001E391C" w:rsidP="00092431">
            <w:pPr>
              <w:tabs>
                <w:tab w:val="decimal" w:pos="414"/>
              </w:tabs>
              <w:jc w:val="left"/>
              <w:rPr>
                <w:sz w:val="14"/>
              </w:rPr>
            </w:pPr>
            <w:r>
              <w:rPr>
                <w:sz w:val="14"/>
              </w:rPr>
              <w:t>472.7</w:t>
            </w:r>
          </w:p>
        </w:tc>
        <w:tc>
          <w:tcPr>
            <w:tcW w:w="675" w:type="dxa"/>
            <w:vAlign w:val="bottom"/>
          </w:tcPr>
          <w:p w:rsidR="00092431" w:rsidRPr="005B1ADC" w:rsidRDefault="00BC40B9" w:rsidP="00092431">
            <w:pPr>
              <w:tabs>
                <w:tab w:val="decimal" w:pos="187"/>
              </w:tabs>
              <w:ind w:right="-2"/>
              <w:jc w:val="left"/>
              <w:rPr>
                <w:sz w:val="14"/>
              </w:rPr>
            </w:pPr>
            <w:r>
              <w:rPr>
                <w:sz w:val="14"/>
              </w:rPr>
              <w:t>9.9</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General Merchandise/Warehouse</w:t>
            </w:r>
          </w:p>
        </w:tc>
        <w:tc>
          <w:tcPr>
            <w:tcW w:w="776" w:type="dxa"/>
            <w:vAlign w:val="bottom"/>
          </w:tcPr>
          <w:p w:rsidR="00092431" w:rsidRPr="005B1ADC" w:rsidRDefault="00092431" w:rsidP="00092431">
            <w:pPr>
              <w:tabs>
                <w:tab w:val="decimal" w:pos="448"/>
              </w:tabs>
              <w:jc w:val="left"/>
              <w:rPr>
                <w:sz w:val="14"/>
              </w:rPr>
            </w:pPr>
            <w:r w:rsidRPr="005B1ADC">
              <w:rPr>
                <w:sz w:val="14"/>
              </w:rPr>
              <w:t>11,722.3</w:t>
            </w:r>
          </w:p>
        </w:tc>
        <w:tc>
          <w:tcPr>
            <w:tcW w:w="678" w:type="dxa"/>
            <w:vAlign w:val="bottom"/>
          </w:tcPr>
          <w:p w:rsidR="00092431" w:rsidRPr="005B1ADC" w:rsidRDefault="00092431" w:rsidP="00092431">
            <w:pPr>
              <w:tabs>
                <w:tab w:val="decimal" w:pos="240"/>
              </w:tabs>
              <w:jc w:val="left"/>
              <w:rPr>
                <w:sz w:val="14"/>
              </w:rPr>
            </w:pPr>
            <w:r w:rsidRPr="005B1ADC">
              <w:rPr>
                <w:sz w:val="14"/>
              </w:rPr>
              <w:t>5.7</w:t>
            </w:r>
          </w:p>
        </w:tc>
        <w:tc>
          <w:tcPr>
            <w:tcW w:w="776" w:type="dxa"/>
            <w:vAlign w:val="bottom"/>
          </w:tcPr>
          <w:p w:rsidR="00092431" w:rsidRPr="005B1ADC" w:rsidRDefault="00092431" w:rsidP="00092431">
            <w:pPr>
              <w:tabs>
                <w:tab w:val="decimal" w:pos="433"/>
              </w:tabs>
              <w:jc w:val="left"/>
              <w:rPr>
                <w:sz w:val="14"/>
              </w:rPr>
            </w:pPr>
            <w:r w:rsidRPr="005B1ADC">
              <w:rPr>
                <w:sz w:val="14"/>
              </w:rPr>
              <w:t>12,185.7</w:t>
            </w:r>
          </w:p>
        </w:tc>
        <w:tc>
          <w:tcPr>
            <w:tcW w:w="676" w:type="dxa"/>
            <w:vAlign w:val="bottom"/>
          </w:tcPr>
          <w:p w:rsidR="00092431" w:rsidRPr="005B1ADC" w:rsidRDefault="00092431" w:rsidP="00092431">
            <w:pPr>
              <w:tabs>
                <w:tab w:val="decimal" w:pos="222"/>
              </w:tabs>
              <w:jc w:val="left"/>
              <w:rPr>
                <w:sz w:val="14"/>
              </w:rPr>
            </w:pPr>
            <w:r w:rsidRPr="005B1ADC">
              <w:rPr>
                <w:sz w:val="14"/>
              </w:rPr>
              <w:t>4.0</w:t>
            </w:r>
          </w:p>
        </w:tc>
        <w:tc>
          <w:tcPr>
            <w:tcW w:w="776" w:type="dxa"/>
            <w:vAlign w:val="bottom"/>
          </w:tcPr>
          <w:p w:rsidR="00092431" w:rsidRPr="005B1ADC" w:rsidRDefault="00092431" w:rsidP="00092431">
            <w:pPr>
              <w:tabs>
                <w:tab w:val="decimal" w:pos="422"/>
              </w:tabs>
              <w:jc w:val="left"/>
              <w:rPr>
                <w:sz w:val="14"/>
              </w:rPr>
            </w:pPr>
            <w:r w:rsidRPr="005B1ADC">
              <w:rPr>
                <w:sz w:val="14"/>
              </w:rPr>
              <w:t>12,408.3</w:t>
            </w:r>
          </w:p>
        </w:tc>
        <w:tc>
          <w:tcPr>
            <w:tcW w:w="675" w:type="dxa"/>
            <w:vAlign w:val="bottom"/>
          </w:tcPr>
          <w:p w:rsidR="00092431" w:rsidRPr="005B1ADC" w:rsidRDefault="00092431" w:rsidP="00092431">
            <w:pPr>
              <w:tabs>
                <w:tab w:val="decimal" w:pos="192"/>
              </w:tabs>
              <w:jc w:val="left"/>
              <w:rPr>
                <w:sz w:val="14"/>
              </w:rPr>
            </w:pPr>
            <w:r w:rsidRPr="005B1ADC">
              <w:rPr>
                <w:sz w:val="14"/>
              </w:rPr>
              <w:t>1.8</w:t>
            </w:r>
          </w:p>
        </w:tc>
        <w:tc>
          <w:tcPr>
            <w:tcW w:w="776" w:type="dxa"/>
            <w:vAlign w:val="bottom"/>
          </w:tcPr>
          <w:p w:rsidR="00092431" w:rsidRPr="005B1ADC" w:rsidRDefault="006F0A69" w:rsidP="00092431">
            <w:pPr>
              <w:tabs>
                <w:tab w:val="decimal" w:pos="411"/>
              </w:tabs>
              <w:jc w:val="left"/>
              <w:rPr>
                <w:sz w:val="14"/>
              </w:rPr>
            </w:pPr>
            <w:r>
              <w:rPr>
                <w:sz w:val="14"/>
              </w:rPr>
              <w:t>12,850.3</w:t>
            </w:r>
          </w:p>
        </w:tc>
        <w:tc>
          <w:tcPr>
            <w:tcW w:w="675" w:type="dxa"/>
            <w:vAlign w:val="bottom"/>
          </w:tcPr>
          <w:p w:rsidR="00092431" w:rsidRPr="005B1ADC" w:rsidRDefault="006F0A69" w:rsidP="00092431">
            <w:pPr>
              <w:tabs>
                <w:tab w:val="decimal" w:pos="189"/>
              </w:tabs>
              <w:jc w:val="left"/>
              <w:rPr>
                <w:sz w:val="14"/>
              </w:rPr>
            </w:pPr>
            <w:r>
              <w:rPr>
                <w:sz w:val="14"/>
              </w:rPr>
              <w:t>3.6</w:t>
            </w:r>
          </w:p>
        </w:tc>
        <w:tc>
          <w:tcPr>
            <w:tcW w:w="776" w:type="dxa"/>
            <w:vAlign w:val="bottom"/>
          </w:tcPr>
          <w:p w:rsidR="00092431" w:rsidRPr="005B1ADC" w:rsidRDefault="006F0A69" w:rsidP="00092431">
            <w:pPr>
              <w:tabs>
                <w:tab w:val="decimal" w:pos="411"/>
              </w:tabs>
              <w:jc w:val="left"/>
              <w:rPr>
                <w:sz w:val="14"/>
              </w:rPr>
            </w:pPr>
            <w:r>
              <w:rPr>
                <w:sz w:val="14"/>
              </w:rPr>
              <w:t>13,073.8</w:t>
            </w:r>
          </w:p>
        </w:tc>
        <w:tc>
          <w:tcPr>
            <w:tcW w:w="675" w:type="dxa"/>
            <w:vAlign w:val="bottom"/>
          </w:tcPr>
          <w:p w:rsidR="00092431" w:rsidRPr="005B1ADC" w:rsidRDefault="00BC40B9" w:rsidP="00092431">
            <w:pPr>
              <w:tabs>
                <w:tab w:val="decimal" w:pos="189"/>
              </w:tabs>
              <w:jc w:val="left"/>
              <w:rPr>
                <w:sz w:val="14"/>
              </w:rPr>
            </w:pPr>
            <w:r>
              <w:rPr>
                <w:sz w:val="14"/>
              </w:rPr>
              <w:t>1.7</w:t>
            </w:r>
          </w:p>
        </w:tc>
        <w:tc>
          <w:tcPr>
            <w:tcW w:w="755" w:type="dxa"/>
            <w:vAlign w:val="bottom"/>
          </w:tcPr>
          <w:p w:rsidR="00092431" w:rsidRPr="005B1ADC" w:rsidRDefault="001E391C" w:rsidP="00092431">
            <w:pPr>
              <w:tabs>
                <w:tab w:val="decimal" w:pos="418"/>
              </w:tabs>
              <w:jc w:val="left"/>
              <w:rPr>
                <w:sz w:val="14"/>
              </w:rPr>
            </w:pPr>
            <w:r>
              <w:rPr>
                <w:sz w:val="14"/>
              </w:rPr>
              <w:t>1,840.2</w:t>
            </w:r>
          </w:p>
        </w:tc>
        <w:tc>
          <w:tcPr>
            <w:tcW w:w="761" w:type="dxa"/>
            <w:vAlign w:val="bottom"/>
          </w:tcPr>
          <w:p w:rsidR="00092431" w:rsidRPr="005B1ADC" w:rsidRDefault="001E391C" w:rsidP="00092431">
            <w:pPr>
              <w:tabs>
                <w:tab w:val="decimal" w:pos="414"/>
              </w:tabs>
              <w:jc w:val="left"/>
              <w:rPr>
                <w:sz w:val="14"/>
              </w:rPr>
            </w:pPr>
            <w:r>
              <w:rPr>
                <w:sz w:val="14"/>
              </w:rPr>
              <w:t>1,859.4</w:t>
            </w:r>
          </w:p>
        </w:tc>
        <w:tc>
          <w:tcPr>
            <w:tcW w:w="675" w:type="dxa"/>
            <w:vAlign w:val="bottom"/>
          </w:tcPr>
          <w:p w:rsidR="00092431" w:rsidRPr="005B1ADC" w:rsidRDefault="00BC40B9" w:rsidP="00092431">
            <w:pPr>
              <w:tabs>
                <w:tab w:val="decimal" w:pos="187"/>
              </w:tabs>
              <w:ind w:right="-2"/>
              <w:jc w:val="left"/>
              <w:rPr>
                <w:sz w:val="14"/>
              </w:rPr>
            </w:pPr>
            <w:r>
              <w:rPr>
                <w:sz w:val="14"/>
              </w:rPr>
              <w:t>1.0</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Misc. Store Retailers</w:t>
            </w:r>
          </w:p>
        </w:tc>
        <w:tc>
          <w:tcPr>
            <w:tcW w:w="776" w:type="dxa"/>
            <w:vAlign w:val="bottom"/>
          </w:tcPr>
          <w:p w:rsidR="00092431" w:rsidRPr="005B1ADC" w:rsidRDefault="00092431" w:rsidP="00092431">
            <w:pPr>
              <w:tabs>
                <w:tab w:val="decimal" w:pos="448"/>
              </w:tabs>
              <w:jc w:val="left"/>
              <w:rPr>
                <w:sz w:val="14"/>
              </w:rPr>
            </w:pPr>
            <w:r w:rsidRPr="005B1ADC">
              <w:rPr>
                <w:sz w:val="14"/>
              </w:rPr>
              <w:t>2,938.6</w:t>
            </w:r>
          </w:p>
        </w:tc>
        <w:tc>
          <w:tcPr>
            <w:tcW w:w="678" w:type="dxa"/>
            <w:vAlign w:val="bottom"/>
          </w:tcPr>
          <w:p w:rsidR="00092431" w:rsidRPr="005B1ADC" w:rsidRDefault="00092431" w:rsidP="00092431">
            <w:pPr>
              <w:tabs>
                <w:tab w:val="decimal" w:pos="240"/>
              </w:tabs>
              <w:jc w:val="left"/>
              <w:rPr>
                <w:sz w:val="14"/>
              </w:rPr>
            </w:pPr>
            <w:r w:rsidRPr="005B1ADC">
              <w:rPr>
                <w:sz w:val="14"/>
              </w:rPr>
              <w:t>20.0</w:t>
            </w:r>
          </w:p>
        </w:tc>
        <w:tc>
          <w:tcPr>
            <w:tcW w:w="776" w:type="dxa"/>
            <w:vAlign w:val="bottom"/>
          </w:tcPr>
          <w:p w:rsidR="00092431" w:rsidRPr="005B1ADC" w:rsidRDefault="00092431" w:rsidP="00092431">
            <w:pPr>
              <w:tabs>
                <w:tab w:val="decimal" w:pos="433"/>
              </w:tabs>
              <w:jc w:val="left"/>
              <w:rPr>
                <w:sz w:val="14"/>
              </w:rPr>
            </w:pPr>
            <w:r w:rsidRPr="005B1ADC">
              <w:rPr>
                <w:sz w:val="14"/>
              </w:rPr>
              <w:t>3,147.8</w:t>
            </w:r>
          </w:p>
        </w:tc>
        <w:tc>
          <w:tcPr>
            <w:tcW w:w="676" w:type="dxa"/>
            <w:vAlign w:val="bottom"/>
          </w:tcPr>
          <w:p w:rsidR="00092431" w:rsidRPr="005B1ADC" w:rsidRDefault="00092431" w:rsidP="00092431">
            <w:pPr>
              <w:tabs>
                <w:tab w:val="decimal" w:pos="222"/>
              </w:tabs>
              <w:jc w:val="left"/>
              <w:rPr>
                <w:sz w:val="14"/>
              </w:rPr>
            </w:pPr>
            <w:r w:rsidRPr="005B1ADC">
              <w:rPr>
                <w:sz w:val="14"/>
              </w:rPr>
              <w:t>7.1</w:t>
            </w:r>
          </w:p>
        </w:tc>
        <w:tc>
          <w:tcPr>
            <w:tcW w:w="776" w:type="dxa"/>
            <w:vAlign w:val="bottom"/>
          </w:tcPr>
          <w:p w:rsidR="00092431" w:rsidRPr="005B1ADC" w:rsidRDefault="00092431" w:rsidP="00092431">
            <w:pPr>
              <w:tabs>
                <w:tab w:val="decimal" w:pos="422"/>
              </w:tabs>
              <w:jc w:val="left"/>
              <w:rPr>
                <w:sz w:val="14"/>
              </w:rPr>
            </w:pPr>
            <w:r w:rsidRPr="005B1ADC">
              <w:rPr>
                <w:sz w:val="14"/>
              </w:rPr>
              <w:t>3,752.3</w:t>
            </w:r>
          </w:p>
        </w:tc>
        <w:tc>
          <w:tcPr>
            <w:tcW w:w="675" w:type="dxa"/>
            <w:vAlign w:val="bottom"/>
          </w:tcPr>
          <w:p w:rsidR="00092431" w:rsidRPr="005B1ADC" w:rsidRDefault="00092431" w:rsidP="00092431">
            <w:pPr>
              <w:tabs>
                <w:tab w:val="decimal" w:pos="192"/>
              </w:tabs>
              <w:jc w:val="left"/>
              <w:rPr>
                <w:sz w:val="14"/>
              </w:rPr>
            </w:pPr>
            <w:r w:rsidRPr="005B1ADC">
              <w:rPr>
                <w:sz w:val="14"/>
              </w:rPr>
              <w:t>19.2</w:t>
            </w:r>
          </w:p>
        </w:tc>
        <w:tc>
          <w:tcPr>
            <w:tcW w:w="776" w:type="dxa"/>
            <w:vAlign w:val="bottom"/>
          </w:tcPr>
          <w:p w:rsidR="00092431" w:rsidRPr="005B1ADC" w:rsidRDefault="006F0A69" w:rsidP="00092431">
            <w:pPr>
              <w:tabs>
                <w:tab w:val="decimal" w:pos="411"/>
              </w:tabs>
              <w:jc w:val="left"/>
              <w:rPr>
                <w:sz w:val="14"/>
              </w:rPr>
            </w:pPr>
            <w:r>
              <w:rPr>
                <w:sz w:val="14"/>
              </w:rPr>
              <w:t>4,760.9</w:t>
            </w:r>
          </w:p>
        </w:tc>
        <w:tc>
          <w:tcPr>
            <w:tcW w:w="675" w:type="dxa"/>
            <w:vAlign w:val="bottom"/>
          </w:tcPr>
          <w:p w:rsidR="00092431" w:rsidRPr="005B1ADC" w:rsidRDefault="006F0A69" w:rsidP="00092431">
            <w:pPr>
              <w:tabs>
                <w:tab w:val="decimal" w:pos="189"/>
              </w:tabs>
              <w:jc w:val="left"/>
              <w:rPr>
                <w:sz w:val="14"/>
              </w:rPr>
            </w:pPr>
            <w:r>
              <w:rPr>
                <w:sz w:val="14"/>
              </w:rPr>
              <w:t>26.9</w:t>
            </w:r>
          </w:p>
        </w:tc>
        <w:tc>
          <w:tcPr>
            <w:tcW w:w="776" w:type="dxa"/>
            <w:vAlign w:val="bottom"/>
          </w:tcPr>
          <w:p w:rsidR="00092431" w:rsidRPr="005B1ADC" w:rsidRDefault="006F0A69" w:rsidP="00092431">
            <w:pPr>
              <w:tabs>
                <w:tab w:val="decimal" w:pos="411"/>
              </w:tabs>
              <w:jc w:val="left"/>
              <w:rPr>
                <w:sz w:val="14"/>
              </w:rPr>
            </w:pPr>
            <w:r>
              <w:rPr>
                <w:sz w:val="14"/>
              </w:rPr>
              <w:t>5,256.5</w:t>
            </w:r>
          </w:p>
        </w:tc>
        <w:tc>
          <w:tcPr>
            <w:tcW w:w="675" w:type="dxa"/>
            <w:vAlign w:val="bottom"/>
          </w:tcPr>
          <w:p w:rsidR="00092431" w:rsidRPr="005B1ADC" w:rsidRDefault="00BC40B9" w:rsidP="00092431">
            <w:pPr>
              <w:tabs>
                <w:tab w:val="decimal" w:pos="189"/>
              </w:tabs>
              <w:jc w:val="left"/>
              <w:rPr>
                <w:sz w:val="14"/>
              </w:rPr>
            </w:pPr>
            <w:r>
              <w:rPr>
                <w:sz w:val="14"/>
              </w:rPr>
              <w:t>10.4</w:t>
            </w:r>
          </w:p>
        </w:tc>
        <w:tc>
          <w:tcPr>
            <w:tcW w:w="755" w:type="dxa"/>
            <w:vAlign w:val="bottom"/>
          </w:tcPr>
          <w:p w:rsidR="00092431" w:rsidRPr="005B1ADC" w:rsidRDefault="001E391C" w:rsidP="00092431">
            <w:pPr>
              <w:tabs>
                <w:tab w:val="decimal" w:pos="418"/>
              </w:tabs>
              <w:jc w:val="left"/>
              <w:rPr>
                <w:sz w:val="14"/>
              </w:rPr>
            </w:pPr>
            <w:r>
              <w:rPr>
                <w:sz w:val="14"/>
              </w:rPr>
              <w:t>730.3</w:t>
            </w:r>
          </w:p>
        </w:tc>
        <w:tc>
          <w:tcPr>
            <w:tcW w:w="761" w:type="dxa"/>
            <w:vAlign w:val="bottom"/>
          </w:tcPr>
          <w:p w:rsidR="00092431" w:rsidRPr="005B1ADC" w:rsidRDefault="001E391C" w:rsidP="00092431">
            <w:pPr>
              <w:tabs>
                <w:tab w:val="decimal" w:pos="414"/>
              </w:tabs>
              <w:jc w:val="left"/>
              <w:rPr>
                <w:sz w:val="14"/>
              </w:rPr>
            </w:pPr>
            <w:r>
              <w:rPr>
                <w:sz w:val="14"/>
              </w:rPr>
              <w:t>660.8</w:t>
            </w:r>
          </w:p>
        </w:tc>
        <w:tc>
          <w:tcPr>
            <w:tcW w:w="675" w:type="dxa"/>
            <w:vAlign w:val="bottom"/>
          </w:tcPr>
          <w:p w:rsidR="00092431" w:rsidRPr="005B1ADC" w:rsidRDefault="00BC40B9" w:rsidP="00092431">
            <w:pPr>
              <w:tabs>
                <w:tab w:val="decimal" w:pos="187"/>
              </w:tabs>
              <w:ind w:right="-2"/>
              <w:jc w:val="left"/>
              <w:rPr>
                <w:sz w:val="14"/>
              </w:rPr>
            </w:pPr>
            <w:r>
              <w:rPr>
                <w:sz w:val="14"/>
              </w:rPr>
              <w:t>-9.5</w:t>
            </w:r>
          </w:p>
        </w:tc>
      </w:tr>
      <w:tr w:rsidR="009D59B8" w:rsidRPr="005B1ADC" w:rsidTr="009D59B8">
        <w:trPr>
          <w:jc w:val="center"/>
        </w:trPr>
        <w:tc>
          <w:tcPr>
            <w:tcW w:w="2231" w:type="dxa"/>
            <w:vAlign w:val="bottom"/>
          </w:tcPr>
          <w:p w:rsidR="00092431" w:rsidRPr="005B1ADC" w:rsidRDefault="00092431" w:rsidP="00092431">
            <w:pPr>
              <w:ind w:left="224" w:hanging="90"/>
              <w:jc w:val="left"/>
              <w:rPr>
                <w:sz w:val="14"/>
              </w:rPr>
            </w:pPr>
            <w:r w:rsidRPr="005B1ADC">
              <w:rPr>
                <w:sz w:val="14"/>
              </w:rPr>
              <w:t>Non-Store Retailers</w:t>
            </w:r>
          </w:p>
        </w:tc>
        <w:tc>
          <w:tcPr>
            <w:tcW w:w="776" w:type="dxa"/>
            <w:vAlign w:val="bottom"/>
          </w:tcPr>
          <w:p w:rsidR="00092431" w:rsidRPr="005B1ADC" w:rsidRDefault="00092431" w:rsidP="00092431">
            <w:pPr>
              <w:tabs>
                <w:tab w:val="decimal" w:pos="448"/>
              </w:tabs>
              <w:jc w:val="left"/>
              <w:rPr>
                <w:sz w:val="14"/>
                <w:u w:val="single"/>
              </w:rPr>
            </w:pPr>
            <w:r w:rsidRPr="005B1ADC">
              <w:rPr>
                <w:sz w:val="14"/>
                <w:u w:val="single"/>
              </w:rPr>
              <w:t xml:space="preserve">  1,550.2</w:t>
            </w:r>
          </w:p>
        </w:tc>
        <w:tc>
          <w:tcPr>
            <w:tcW w:w="678" w:type="dxa"/>
            <w:vAlign w:val="bottom"/>
          </w:tcPr>
          <w:p w:rsidR="00092431" w:rsidRPr="005B1ADC" w:rsidRDefault="00092431" w:rsidP="00092431">
            <w:pPr>
              <w:tabs>
                <w:tab w:val="decimal" w:pos="240"/>
              </w:tabs>
              <w:jc w:val="left"/>
              <w:rPr>
                <w:sz w:val="14"/>
                <w:u w:val="single"/>
              </w:rPr>
            </w:pPr>
            <w:r w:rsidRPr="005B1ADC">
              <w:rPr>
                <w:sz w:val="14"/>
                <w:u w:val="single"/>
              </w:rPr>
              <w:t>-33.7</w:t>
            </w:r>
          </w:p>
        </w:tc>
        <w:tc>
          <w:tcPr>
            <w:tcW w:w="776" w:type="dxa"/>
            <w:vAlign w:val="bottom"/>
          </w:tcPr>
          <w:p w:rsidR="00092431" w:rsidRPr="005B1ADC" w:rsidRDefault="00092431" w:rsidP="00092431">
            <w:pPr>
              <w:tabs>
                <w:tab w:val="decimal" w:pos="433"/>
              </w:tabs>
              <w:jc w:val="left"/>
              <w:rPr>
                <w:sz w:val="14"/>
                <w:u w:val="single"/>
              </w:rPr>
            </w:pPr>
            <w:r w:rsidRPr="005B1ADC">
              <w:rPr>
                <w:sz w:val="14"/>
                <w:u w:val="single"/>
              </w:rPr>
              <w:t xml:space="preserve">  1,456.0</w:t>
            </w:r>
          </w:p>
        </w:tc>
        <w:tc>
          <w:tcPr>
            <w:tcW w:w="676" w:type="dxa"/>
            <w:vAlign w:val="bottom"/>
          </w:tcPr>
          <w:p w:rsidR="00092431" w:rsidRPr="005B1ADC" w:rsidRDefault="00092431" w:rsidP="00092431">
            <w:pPr>
              <w:tabs>
                <w:tab w:val="decimal" w:pos="222"/>
              </w:tabs>
              <w:jc w:val="left"/>
              <w:rPr>
                <w:sz w:val="14"/>
                <w:u w:val="single"/>
              </w:rPr>
            </w:pPr>
            <w:r w:rsidRPr="005B1ADC">
              <w:rPr>
                <w:sz w:val="14"/>
                <w:u w:val="single"/>
              </w:rPr>
              <w:t xml:space="preserve"> -6.1</w:t>
            </w:r>
          </w:p>
        </w:tc>
        <w:tc>
          <w:tcPr>
            <w:tcW w:w="776" w:type="dxa"/>
            <w:vAlign w:val="bottom"/>
          </w:tcPr>
          <w:p w:rsidR="00092431" w:rsidRPr="005B1ADC" w:rsidRDefault="00092431" w:rsidP="00092431">
            <w:pPr>
              <w:tabs>
                <w:tab w:val="decimal" w:pos="422"/>
              </w:tabs>
              <w:jc w:val="left"/>
              <w:rPr>
                <w:sz w:val="14"/>
                <w:u w:val="single"/>
              </w:rPr>
            </w:pPr>
            <w:r w:rsidRPr="005B1ADC">
              <w:rPr>
                <w:sz w:val="14"/>
                <w:u w:val="single"/>
              </w:rPr>
              <w:t xml:space="preserve">   1,584.7</w:t>
            </w:r>
          </w:p>
        </w:tc>
        <w:tc>
          <w:tcPr>
            <w:tcW w:w="675" w:type="dxa"/>
            <w:vAlign w:val="bottom"/>
          </w:tcPr>
          <w:p w:rsidR="00092431" w:rsidRPr="005B1ADC" w:rsidRDefault="00092431" w:rsidP="00092431">
            <w:pPr>
              <w:tabs>
                <w:tab w:val="decimal" w:pos="192"/>
              </w:tabs>
              <w:jc w:val="left"/>
              <w:rPr>
                <w:sz w:val="14"/>
                <w:u w:val="single"/>
              </w:rPr>
            </w:pPr>
            <w:r w:rsidRPr="005B1ADC">
              <w:rPr>
                <w:sz w:val="14"/>
                <w:u w:val="single"/>
              </w:rPr>
              <w:t xml:space="preserve">   8.8</w:t>
            </w:r>
          </w:p>
        </w:tc>
        <w:tc>
          <w:tcPr>
            <w:tcW w:w="776" w:type="dxa"/>
            <w:vAlign w:val="bottom"/>
          </w:tcPr>
          <w:p w:rsidR="00092431" w:rsidRPr="005B1ADC" w:rsidRDefault="001E391C" w:rsidP="00092431">
            <w:pPr>
              <w:tabs>
                <w:tab w:val="decimal" w:pos="411"/>
              </w:tabs>
              <w:jc w:val="left"/>
              <w:rPr>
                <w:sz w:val="14"/>
                <w:u w:val="single"/>
              </w:rPr>
            </w:pPr>
            <w:r>
              <w:rPr>
                <w:sz w:val="14"/>
                <w:u w:val="single"/>
              </w:rPr>
              <w:t xml:space="preserve">  </w:t>
            </w:r>
            <w:r w:rsidR="006F0A69">
              <w:rPr>
                <w:sz w:val="14"/>
                <w:u w:val="single"/>
              </w:rPr>
              <w:t>1,697.1</w:t>
            </w:r>
          </w:p>
        </w:tc>
        <w:tc>
          <w:tcPr>
            <w:tcW w:w="675" w:type="dxa"/>
            <w:vAlign w:val="bottom"/>
          </w:tcPr>
          <w:p w:rsidR="00092431" w:rsidRPr="005B1ADC" w:rsidRDefault="006F0A69" w:rsidP="00092431">
            <w:pPr>
              <w:tabs>
                <w:tab w:val="decimal" w:pos="189"/>
              </w:tabs>
              <w:jc w:val="left"/>
              <w:rPr>
                <w:sz w:val="14"/>
                <w:u w:val="single"/>
              </w:rPr>
            </w:pPr>
            <w:r>
              <w:rPr>
                <w:sz w:val="14"/>
                <w:u w:val="single"/>
              </w:rPr>
              <w:t>7.1</w:t>
            </w:r>
          </w:p>
        </w:tc>
        <w:tc>
          <w:tcPr>
            <w:tcW w:w="776" w:type="dxa"/>
            <w:vAlign w:val="bottom"/>
          </w:tcPr>
          <w:p w:rsidR="00092431" w:rsidRPr="005B1ADC" w:rsidRDefault="001E391C" w:rsidP="00092431">
            <w:pPr>
              <w:tabs>
                <w:tab w:val="decimal" w:pos="411"/>
              </w:tabs>
              <w:jc w:val="left"/>
              <w:rPr>
                <w:sz w:val="14"/>
                <w:u w:val="single"/>
              </w:rPr>
            </w:pPr>
            <w:r>
              <w:rPr>
                <w:sz w:val="14"/>
                <w:u w:val="single"/>
              </w:rPr>
              <w:t xml:space="preserve">  </w:t>
            </w:r>
            <w:r w:rsidR="006F0A69">
              <w:rPr>
                <w:sz w:val="14"/>
                <w:u w:val="single"/>
              </w:rPr>
              <w:t>1,742.1</w:t>
            </w:r>
          </w:p>
        </w:tc>
        <w:tc>
          <w:tcPr>
            <w:tcW w:w="675" w:type="dxa"/>
            <w:vAlign w:val="bottom"/>
          </w:tcPr>
          <w:p w:rsidR="00092431" w:rsidRPr="005B1ADC" w:rsidRDefault="00BC40B9" w:rsidP="00092431">
            <w:pPr>
              <w:tabs>
                <w:tab w:val="decimal" w:pos="189"/>
              </w:tabs>
              <w:jc w:val="left"/>
              <w:rPr>
                <w:sz w:val="14"/>
                <w:u w:val="single"/>
              </w:rPr>
            </w:pPr>
            <w:r>
              <w:rPr>
                <w:sz w:val="14"/>
                <w:u w:val="single"/>
              </w:rPr>
              <w:t>2.7</w:t>
            </w:r>
          </w:p>
        </w:tc>
        <w:tc>
          <w:tcPr>
            <w:tcW w:w="755" w:type="dxa"/>
            <w:vAlign w:val="bottom"/>
          </w:tcPr>
          <w:p w:rsidR="00092431" w:rsidRPr="005B1ADC" w:rsidRDefault="001E391C" w:rsidP="00092431">
            <w:pPr>
              <w:tabs>
                <w:tab w:val="decimal" w:pos="418"/>
              </w:tabs>
              <w:jc w:val="left"/>
              <w:rPr>
                <w:sz w:val="14"/>
                <w:u w:val="single"/>
              </w:rPr>
            </w:pPr>
            <w:r>
              <w:rPr>
                <w:sz w:val="14"/>
                <w:u w:val="single"/>
              </w:rPr>
              <w:t xml:space="preserve">     247.9</w:t>
            </w:r>
          </w:p>
        </w:tc>
        <w:tc>
          <w:tcPr>
            <w:tcW w:w="761" w:type="dxa"/>
            <w:vAlign w:val="bottom"/>
          </w:tcPr>
          <w:p w:rsidR="00092431" w:rsidRPr="005B1ADC" w:rsidRDefault="001E391C" w:rsidP="00092431">
            <w:pPr>
              <w:tabs>
                <w:tab w:val="decimal" w:pos="414"/>
              </w:tabs>
              <w:jc w:val="left"/>
              <w:rPr>
                <w:sz w:val="14"/>
                <w:u w:val="single"/>
              </w:rPr>
            </w:pPr>
            <w:r>
              <w:rPr>
                <w:sz w:val="14"/>
                <w:u w:val="single"/>
              </w:rPr>
              <w:t xml:space="preserve">     234.5</w:t>
            </w:r>
          </w:p>
        </w:tc>
        <w:tc>
          <w:tcPr>
            <w:tcW w:w="675" w:type="dxa"/>
            <w:vAlign w:val="bottom"/>
          </w:tcPr>
          <w:p w:rsidR="00092431" w:rsidRPr="005B1ADC" w:rsidRDefault="00BC40B9" w:rsidP="00092431">
            <w:pPr>
              <w:tabs>
                <w:tab w:val="decimal" w:pos="187"/>
              </w:tabs>
              <w:ind w:right="-2"/>
              <w:jc w:val="left"/>
              <w:rPr>
                <w:sz w:val="14"/>
                <w:u w:val="single"/>
              </w:rPr>
            </w:pPr>
            <w:r>
              <w:rPr>
                <w:sz w:val="14"/>
                <w:u w:val="single"/>
              </w:rPr>
              <w:t>-5.4</w:t>
            </w:r>
          </w:p>
        </w:tc>
      </w:tr>
      <w:tr w:rsidR="009D59B8" w:rsidRPr="005B1ADC" w:rsidTr="009D59B8">
        <w:trPr>
          <w:jc w:val="center"/>
        </w:trPr>
        <w:tc>
          <w:tcPr>
            <w:tcW w:w="2231" w:type="dxa"/>
            <w:vAlign w:val="bottom"/>
          </w:tcPr>
          <w:p w:rsidR="00092431" w:rsidRPr="005B1ADC" w:rsidRDefault="00092431" w:rsidP="00092431">
            <w:pPr>
              <w:ind w:left="314"/>
              <w:jc w:val="left"/>
              <w:rPr>
                <w:sz w:val="14"/>
              </w:rPr>
            </w:pPr>
            <w:r w:rsidRPr="005B1ADC">
              <w:rPr>
                <w:sz w:val="14"/>
              </w:rPr>
              <w:t>Total Retail Trade</w:t>
            </w:r>
          </w:p>
        </w:tc>
        <w:tc>
          <w:tcPr>
            <w:tcW w:w="776" w:type="dxa"/>
            <w:vAlign w:val="bottom"/>
          </w:tcPr>
          <w:p w:rsidR="00092431" w:rsidRPr="005B1ADC" w:rsidRDefault="00092431" w:rsidP="00092431">
            <w:pPr>
              <w:tabs>
                <w:tab w:val="decimal" w:pos="448"/>
              </w:tabs>
              <w:jc w:val="left"/>
              <w:rPr>
                <w:sz w:val="14"/>
              </w:rPr>
            </w:pPr>
            <w:r w:rsidRPr="005B1ADC">
              <w:rPr>
                <w:sz w:val="14"/>
              </w:rPr>
              <w:t>66,927.5</w:t>
            </w:r>
          </w:p>
        </w:tc>
        <w:tc>
          <w:tcPr>
            <w:tcW w:w="678" w:type="dxa"/>
            <w:vAlign w:val="bottom"/>
          </w:tcPr>
          <w:p w:rsidR="00092431" w:rsidRPr="005B1ADC" w:rsidRDefault="00092431" w:rsidP="00092431">
            <w:pPr>
              <w:tabs>
                <w:tab w:val="decimal" w:pos="240"/>
              </w:tabs>
              <w:jc w:val="left"/>
              <w:rPr>
                <w:sz w:val="14"/>
              </w:rPr>
            </w:pPr>
            <w:r w:rsidRPr="005B1ADC">
              <w:rPr>
                <w:sz w:val="14"/>
              </w:rPr>
              <w:t>8.3%</w:t>
            </w:r>
          </w:p>
        </w:tc>
        <w:tc>
          <w:tcPr>
            <w:tcW w:w="776" w:type="dxa"/>
            <w:vAlign w:val="bottom"/>
          </w:tcPr>
          <w:p w:rsidR="00092431" w:rsidRPr="005B1ADC" w:rsidRDefault="00092431" w:rsidP="00092431">
            <w:pPr>
              <w:tabs>
                <w:tab w:val="decimal" w:pos="433"/>
              </w:tabs>
              <w:jc w:val="left"/>
              <w:rPr>
                <w:sz w:val="14"/>
              </w:rPr>
            </w:pPr>
            <w:r w:rsidRPr="005B1ADC">
              <w:rPr>
                <w:sz w:val="14"/>
              </w:rPr>
              <w:t>70,773.7</w:t>
            </w:r>
          </w:p>
        </w:tc>
        <w:tc>
          <w:tcPr>
            <w:tcW w:w="676" w:type="dxa"/>
            <w:vAlign w:val="bottom"/>
          </w:tcPr>
          <w:p w:rsidR="00092431" w:rsidRPr="005B1ADC" w:rsidRDefault="00092431" w:rsidP="00092431">
            <w:pPr>
              <w:tabs>
                <w:tab w:val="decimal" w:pos="222"/>
              </w:tabs>
              <w:jc w:val="left"/>
              <w:rPr>
                <w:sz w:val="14"/>
              </w:rPr>
            </w:pPr>
            <w:r w:rsidRPr="005B1ADC">
              <w:rPr>
                <w:sz w:val="14"/>
              </w:rPr>
              <w:t>5.7%</w:t>
            </w:r>
          </w:p>
        </w:tc>
        <w:tc>
          <w:tcPr>
            <w:tcW w:w="776" w:type="dxa"/>
            <w:vAlign w:val="bottom"/>
          </w:tcPr>
          <w:p w:rsidR="00092431" w:rsidRPr="005B1ADC" w:rsidRDefault="00092431" w:rsidP="00092431">
            <w:pPr>
              <w:tabs>
                <w:tab w:val="decimal" w:pos="422"/>
              </w:tabs>
              <w:jc w:val="left"/>
              <w:rPr>
                <w:sz w:val="14"/>
              </w:rPr>
            </w:pPr>
            <w:r w:rsidRPr="005B1ADC">
              <w:rPr>
                <w:sz w:val="14"/>
              </w:rPr>
              <w:t>74,263.5</w:t>
            </w:r>
          </w:p>
        </w:tc>
        <w:tc>
          <w:tcPr>
            <w:tcW w:w="675" w:type="dxa"/>
            <w:vAlign w:val="bottom"/>
          </w:tcPr>
          <w:p w:rsidR="00092431" w:rsidRPr="005B1ADC" w:rsidRDefault="00092431" w:rsidP="00092431">
            <w:pPr>
              <w:tabs>
                <w:tab w:val="decimal" w:pos="192"/>
              </w:tabs>
              <w:jc w:val="left"/>
              <w:rPr>
                <w:sz w:val="14"/>
              </w:rPr>
            </w:pPr>
            <w:r w:rsidRPr="005B1ADC">
              <w:rPr>
                <w:sz w:val="14"/>
              </w:rPr>
              <w:t>4.9%</w:t>
            </w:r>
          </w:p>
        </w:tc>
        <w:tc>
          <w:tcPr>
            <w:tcW w:w="776" w:type="dxa"/>
            <w:vAlign w:val="bottom"/>
          </w:tcPr>
          <w:p w:rsidR="00092431" w:rsidRPr="005B1ADC" w:rsidRDefault="006F0A69" w:rsidP="00092431">
            <w:pPr>
              <w:tabs>
                <w:tab w:val="decimal" w:pos="411"/>
              </w:tabs>
              <w:jc w:val="left"/>
              <w:rPr>
                <w:sz w:val="14"/>
              </w:rPr>
            </w:pPr>
            <w:r>
              <w:rPr>
                <w:sz w:val="14"/>
              </w:rPr>
              <w:t>79,647.7</w:t>
            </w:r>
          </w:p>
        </w:tc>
        <w:tc>
          <w:tcPr>
            <w:tcW w:w="675" w:type="dxa"/>
            <w:vAlign w:val="bottom"/>
          </w:tcPr>
          <w:p w:rsidR="00092431" w:rsidRPr="005B1ADC" w:rsidRDefault="006F0A69" w:rsidP="00092431">
            <w:pPr>
              <w:tabs>
                <w:tab w:val="decimal" w:pos="189"/>
              </w:tabs>
              <w:jc w:val="left"/>
              <w:rPr>
                <w:sz w:val="14"/>
              </w:rPr>
            </w:pPr>
            <w:r>
              <w:rPr>
                <w:sz w:val="14"/>
              </w:rPr>
              <w:t>7.3</w:t>
            </w:r>
          </w:p>
        </w:tc>
        <w:tc>
          <w:tcPr>
            <w:tcW w:w="776" w:type="dxa"/>
            <w:vAlign w:val="bottom"/>
          </w:tcPr>
          <w:p w:rsidR="00092431" w:rsidRPr="005B1ADC" w:rsidRDefault="006F0A69" w:rsidP="00092431">
            <w:pPr>
              <w:tabs>
                <w:tab w:val="decimal" w:pos="411"/>
              </w:tabs>
              <w:jc w:val="left"/>
              <w:rPr>
                <w:sz w:val="14"/>
              </w:rPr>
            </w:pPr>
            <w:r>
              <w:rPr>
                <w:sz w:val="14"/>
              </w:rPr>
              <w:t>83,335.5</w:t>
            </w:r>
          </w:p>
        </w:tc>
        <w:tc>
          <w:tcPr>
            <w:tcW w:w="675" w:type="dxa"/>
            <w:vAlign w:val="bottom"/>
          </w:tcPr>
          <w:p w:rsidR="00092431" w:rsidRPr="005B1ADC" w:rsidRDefault="00BC40B9" w:rsidP="00092431">
            <w:pPr>
              <w:tabs>
                <w:tab w:val="decimal" w:pos="189"/>
              </w:tabs>
              <w:jc w:val="left"/>
              <w:rPr>
                <w:sz w:val="14"/>
              </w:rPr>
            </w:pPr>
            <w:r>
              <w:rPr>
                <w:sz w:val="14"/>
              </w:rPr>
              <w:t>4.6</w:t>
            </w:r>
          </w:p>
        </w:tc>
        <w:tc>
          <w:tcPr>
            <w:tcW w:w="755" w:type="dxa"/>
            <w:vAlign w:val="bottom"/>
          </w:tcPr>
          <w:p w:rsidR="00092431" w:rsidRPr="005B1ADC" w:rsidRDefault="001E391C" w:rsidP="00092431">
            <w:pPr>
              <w:tabs>
                <w:tab w:val="decimal" w:pos="418"/>
              </w:tabs>
              <w:jc w:val="left"/>
              <w:rPr>
                <w:sz w:val="14"/>
              </w:rPr>
            </w:pPr>
            <w:r>
              <w:rPr>
                <w:sz w:val="14"/>
              </w:rPr>
              <w:t>11,999.1</w:t>
            </w:r>
          </w:p>
        </w:tc>
        <w:tc>
          <w:tcPr>
            <w:tcW w:w="761" w:type="dxa"/>
            <w:vAlign w:val="bottom"/>
          </w:tcPr>
          <w:p w:rsidR="00092431" w:rsidRPr="005B1ADC" w:rsidRDefault="001E391C" w:rsidP="00092431">
            <w:pPr>
              <w:tabs>
                <w:tab w:val="decimal" w:pos="414"/>
              </w:tabs>
              <w:jc w:val="left"/>
              <w:rPr>
                <w:sz w:val="14"/>
              </w:rPr>
            </w:pPr>
            <w:r>
              <w:rPr>
                <w:sz w:val="14"/>
              </w:rPr>
              <w:t>11,724.0</w:t>
            </w:r>
          </w:p>
        </w:tc>
        <w:tc>
          <w:tcPr>
            <w:tcW w:w="675" w:type="dxa"/>
            <w:vAlign w:val="bottom"/>
          </w:tcPr>
          <w:p w:rsidR="00092431" w:rsidRPr="005B1ADC" w:rsidRDefault="00BC40B9" w:rsidP="00092431">
            <w:pPr>
              <w:tabs>
                <w:tab w:val="decimal" w:pos="187"/>
              </w:tabs>
              <w:ind w:right="-2"/>
              <w:jc w:val="left"/>
              <w:rPr>
                <w:sz w:val="14"/>
              </w:rPr>
            </w:pPr>
            <w:r>
              <w:rPr>
                <w:sz w:val="14"/>
              </w:rPr>
              <w:t>-2.3</w:t>
            </w:r>
          </w:p>
        </w:tc>
      </w:tr>
      <w:tr w:rsidR="00BC40B9" w:rsidRPr="005B1ADC" w:rsidTr="009D59B8">
        <w:trPr>
          <w:jc w:val="center"/>
        </w:trPr>
        <w:tc>
          <w:tcPr>
            <w:tcW w:w="2231" w:type="dxa"/>
            <w:vAlign w:val="bottom"/>
          </w:tcPr>
          <w:p w:rsidR="00BC40B9" w:rsidRPr="005B1ADC" w:rsidRDefault="00BC40B9" w:rsidP="00092431">
            <w:pPr>
              <w:jc w:val="left"/>
              <w:rPr>
                <w:sz w:val="14"/>
              </w:rPr>
            </w:pPr>
          </w:p>
        </w:tc>
        <w:tc>
          <w:tcPr>
            <w:tcW w:w="776" w:type="dxa"/>
            <w:vAlign w:val="bottom"/>
          </w:tcPr>
          <w:p w:rsidR="00BC40B9" w:rsidRPr="005B1ADC" w:rsidRDefault="00BC40B9" w:rsidP="00092431">
            <w:pPr>
              <w:tabs>
                <w:tab w:val="decimal" w:pos="448"/>
              </w:tabs>
              <w:jc w:val="left"/>
              <w:rPr>
                <w:sz w:val="14"/>
              </w:rPr>
            </w:pPr>
          </w:p>
        </w:tc>
        <w:tc>
          <w:tcPr>
            <w:tcW w:w="678" w:type="dxa"/>
            <w:vAlign w:val="bottom"/>
          </w:tcPr>
          <w:p w:rsidR="00BC40B9" w:rsidRPr="005B1ADC" w:rsidRDefault="00BC40B9" w:rsidP="00092431">
            <w:pPr>
              <w:tabs>
                <w:tab w:val="decimal" w:pos="240"/>
              </w:tabs>
              <w:jc w:val="left"/>
              <w:rPr>
                <w:sz w:val="14"/>
              </w:rPr>
            </w:pPr>
          </w:p>
        </w:tc>
        <w:tc>
          <w:tcPr>
            <w:tcW w:w="776" w:type="dxa"/>
            <w:vAlign w:val="bottom"/>
          </w:tcPr>
          <w:p w:rsidR="00BC40B9" w:rsidRPr="005B1ADC" w:rsidRDefault="00BC40B9" w:rsidP="00092431">
            <w:pPr>
              <w:tabs>
                <w:tab w:val="decimal" w:pos="433"/>
              </w:tabs>
              <w:jc w:val="left"/>
              <w:rPr>
                <w:sz w:val="14"/>
              </w:rPr>
            </w:pPr>
          </w:p>
        </w:tc>
        <w:tc>
          <w:tcPr>
            <w:tcW w:w="676" w:type="dxa"/>
            <w:vAlign w:val="bottom"/>
          </w:tcPr>
          <w:p w:rsidR="00BC40B9" w:rsidRPr="005B1ADC" w:rsidRDefault="00BC40B9" w:rsidP="00092431">
            <w:pPr>
              <w:tabs>
                <w:tab w:val="decimal" w:pos="222"/>
              </w:tabs>
              <w:jc w:val="left"/>
              <w:rPr>
                <w:sz w:val="14"/>
              </w:rPr>
            </w:pPr>
          </w:p>
        </w:tc>
        <w:tc>
          <w:tcPr>
            <w:tcW w:w="776" w:type="dxa"/>
            <w:vAlign w:val="bottom"/>
          </w:tcPr>
          <w:p w:rsidR="00BC40B9" w:rsidRPr="005B1ADC" w:rsidRDefault="00BC40B9" w:rsidP="00092431">
            <w:pPr>
              <w:tabs>
                <w:tab w:val="decimal" w:pos="422"/>
              </w:tabs>
              <w:jc w:val="left"/>
              <w:rPr>
                <w:sz w:val="14"/>
              </w:rPr>
            </w:pPr>
          </w:p>
        </w:tc>
        <w:tc>
          <w:tcPr>
            <w:tcW w:w="675" w:type="dxa"/>
            <w:vAlign w:val="bottom"/>
          </w:tcPr>
          <w:p w:rsidR="00BC40B9" w:rsidRPr="005B1ADC" w:rsidRDefault="00BC40B9" w:rsidP="00092431">
            <w:pPr>
              <w:tabs>
                <w:tab w:val="decimal" w:pos="192"/>
              </w:tabs>
              <w:jc w:val="left"/>
              <w:rPr>
                <w:sz w:val="14"/>
              </w:rPr>
            </w:pPr>
          </w:p>
        </w:tc>
        <w:tc>
          <w:tcPr>
            <w:tcW w:w="776" w:type="dxa"/>
            <w:vAlign w:val="bottom"/>
          </w:tcPr>
          <w:p w:rsidR="00BC40B9" w:rsidRDefault="00BC40B9" w:rsidP="00092431">
            <w:pPr>
              <w:tabs>
                <w:tab w:val="decimal" w:pos="411"/>
              </w:tabs>
              <w:jc w:val="left"/>
              <w:rPr>
                <w:sz w:val="14"/>
              </w:rPr>
            </w:pPr>
          </w:p>
        </w:tc>
        <w:tc>
          <w:tcPr>
            <w:tcW w:w="675" w:type="dxa"/>
            <w:vAlign w:val="bottom"/>
          </w:tcPr>
          <w:p w:rsidR="00BC40B9" w:rsidRDefault="00BC40B9" w:rsidP="00092431">
            <w:pPr>
              <w:tabs>
                <w:tab w:val="decimal" w:pos="189"/>
              </w:tabs>
              <w:jc w:val="left"/>
              <w:rPr>
                <w:sz w:val="14"/>
              </w:rPr>
            </w:pPr>
          </w:p>
        </w:tc>
        <w:tc>
          <w:tcPr>
            <w:tcW w:w="776" w:type="dxa"/>
            <w:vAlign w:val="bottom"/>
          </w:tcPr>
          <w:p w:rsidR="00BC40B9" w:rsidRDefault="00BC40B9" w:rsidP="00092431">
            <w:pPr>
              <w:tabs>
                <w:tab w:val="decimal" w:pos="411"/>
              </w:tabs>
              <w:jc w:val="left"/>
              <w:rPr>
                <w:sz w:val="14"/>
              </w:rPr>
            </w:pPr>
          </w:p>
        </w:tc>
        <w:tc>
          <w:tcPr>
            <w:tcW w:w="675" w:type="dxa"/>
            <w:vAlign w:val="bottom"/>
          </w:tcPr>
          <w:p w:rsidR="00BC40B9" w:rsidRPr="005B1ADC" w:rsidRDefault="00BC40B9" w:rsidP="00092431">
            <w:pPr>
              <w:tabs>
                <w:tab w:val="decimal" w:pos="189"/>
              </w:tabs>
              <w:jc w:val="left"/>
              <w:rPr>
                <w:sz w:val="14"/>
              </w:rPr>
            </w:pPr>
          </w:p>
        </w:tc>
        <w:tc>
          <w:tcPr>
            <w:tcW w:w="755" w:type="dxa"/>
            <w:vAlign w:val="bottom"/>
          </w:tcPr>
          <w:p w:rsidR="00BC40B9" w:rsidRPr="005B1ADC" w:rsidRDefault="00BC40B9" w:rsidP="00092431">
            <w:pPr>
              <w:tabs>
                <w:tab w:val="decimal" w:pos="418"/>
              </w:tabs>
              <w:jc w:val="left"/>
              <w:rPr>
                <w:sz w:val="14"/>
              </w:rPr>
            </w:pPr>
          </w:p>
        </w:tc>
        <w:tc>
          <w:tcPr>
            <w:tcW w:w="761" w:type="dxa"/>
            <w:vAlign w:val="bottom"/>
          </w:tcPr>
          <w:p w:rsidR="00BC40B9" w:rsidRPr="005B1ADC" w:rsidRDefault="00BC40B9" w:rsidP="00092431">
            <w:pPr>
              <w:tabs>
                <w:tab w:val="decimal" w:pos="414"/>
              </w:tabs>
              <w:jc w:val="left"/>
              <w:rPr>
                <w:sz w:val="14"/>
              </w:rPr>
            </w:pPr>
          </w:p>
        </w:tc>
        <w:tc>
          <w:tcPr>
            <w:tcW w:w="675" w:type="dxa"/>
            <w:vAlign w:val="bottom"/>
          </w:tcPr>
          <w:p w:rsidR="00BC40B9" w:rsidRPr="005B1ADC" w:rsidRDefault="00BC40B9" w:rsidP="00092431">
            <w:pPr>
              <w:tabs>
                <w:tab w:val="decimal" w:pos="187"/>
              </w:tabs>
              <w:ind w:right="-2"/>
              <w:jc w:val="left"/>
              <w:rPr>
                <w:sz w:val="14"/>
              </w:rPr>
            </w:pP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Transportation/Warehouse</w:t>
            </w:r>
          </w:p>
        </w:tc>
        <w:tc>
          <w:tcPr>
            <w:tcW w:w="776" w:type="dxa"/>
            <w:vAlign w:val="bottom"/>
          </w:tcPr>
          <w:p w:rsidR="00092431" w:rsidRPr="005B1ADC" w:rsidRDefault="00092431" w:rsidP="00092431">
            <w:pPr>
              <w:tabs>
                <w:tab w:val="decimal" w:pos="448"/>
              </w:tabs>
              <w:jc w:val="left"/>
              <w:rPr>
                <w:sz w:val="14"/>
              </w:rPr>
            </w:pPr>
            <w:r w:rsidRPr="005B1ADC">
              <w:rPr>
                <w:sz w:val="14"/>
              </w:rPr>
              <w:t>593.1</w:t>
            </w:r>
          </w:p>
        </w:tc>
        <w:tc>
          <w:tcPr>
            <w:tcW w:w="678" w:type="dxa"/>
            <w:vAlign w:val="bottom"/>
          </w:tcPr>
          <w:p w:rsidR="00092431" w:rsidRPr="005B1ADC" w:rsidRDefault="00092431" w:rsidP="00092431">
            <w:pPr>
              <w:tabs>
                <w:tab w:val="decimal" w:pos="240"/>
              </w:tabs>
              <w:jc w:val="left"/>
              <w:rPr>
                <w:sz w:val="14"/>
              </w:rPr>
            </w:pPr>
            <w:r w:rsidRPr="005B1ADC">
              <w:rPr>
                <w:sz w:val="14"/>
              </w:rPr>
              <w:t>12.1</w:t>
            </w:r>
          </w:p>
        </w:tc>
        <w:tc>
          <w:tcPr>
            <w:tcW w:w="776" w:type="dxa"/>
            <w:vAlign w:val="bottom"/>
          </w:tcPr>
          <w:p w:rsidR="00092431" w:rsidRPr="005B1ADC" w:rsidRDefault="00092431" w:rsidP="00092431">
            <w:pPr>
              <w:tabs>
                <w:tab w:val="decimal" w:pos="433"/>
              </w:tabs>
              <w:jc w:val="left"/>
              <w:rPr>
                <w:sz w:val="14"/>
              </w:rPr>
            </w:pPr>
            <w:r w:rsidRPr="005B1ADC">
              <w:rPr>
                <w:sz w:val="14"/>
              </w:rPr>
              <w:t>710.2</w:t>
            </w:r>
          </w:p>
        </w:tc>
        <w:tc>
          <w:tcPr>
            <w:tcW w:w="676" w:type="dxa"/>
            <w:vAlign w:val="bottom"/>
          </w:tcPr>
          <w:p w:rsidR="00092431" w:rsidRPr="005B1ADC" w:rsidRDefault="00092431" w:rsidP="00092431">
            <w:pPr>
              <w:tabs>
                <w:tab w:val="decimal" w:pos="222"/>
              </w:tabs>
              <w:jc w:val="left"/>
              <w:rPr>
                <w:sz w:val="14"/>
              </w:rPr>
            </w:pPr>
            <w:r w:rsidRPr="005B1ADC">
              <w:rPr>
                <w:sz w:val="14"/>
              </w:rPr>
              <w:t>19.7</w:t>
            </w:r>
          </w:p>
        </w:tc>
        <w:tc>
          <w:tcPr>
            <w:tcW w:w="776" w:type="dxa"/>
            <w:vAlign w:val="bottom"/>
          </w:tcPr>
          <w:p w:rsidR="00092431" w:rsidRPr="005B1ADC" w:rsidRDefault="00092431" w:rsidP="00092431">
            <w:pPr>
              <w:tabs>
                <w:tab w:val="decimal" w:pos="422"/>
              </w:tabs>
              <w:jc w:val="left"/>
              <w:rPr>
                <w:sz w:val="14"/>
              </w:rPr>
            </w:pPr>
            <w:r w:rsidRPr="005B1ADC">
              <w:rPr>
                <w:sz w:val="14"/>
              </w:rPr>
              <w:t>828.4</w:t>
            </w:r>
          </w:p>
        </w:tc>
        <w:tc>
          <w:tcPr>
            <w:tcW w:w="675" w:type="dxa"/>
            <w:vAlign w:val="bottom"/>
          </w:tcPr>
          <w:p w:rsidR="00092431" w:rsidRPr="005B1ADC" w:rsidRDefault="00092431" w:rsidP="00092431">
            <w:pPr>
              <w:tabs>
                <w:tab w:val="decimal" w:pos="192"/>
              </w:tabs>
              <w:jc w:val="left"/>
              <w:rPr>
                <w:sz w:val="14"/>
              </w:rPr>
            </w:pPr>
            <w:r w:rsidRPr="005B1ADC">
              <w:rPr>
                <w:sz w:val="14"/>
              </w:rPr>
              <w:t>16.6</w:t>
            </w:r>
          </w:p>
        </w:tc>
        <w:tc>
          <w:tcPr>
            <w:tcW w:w="776" w:type="dxa"/>
            <w:vAlign w:val="bottom"/>
          </w:tcPr>
          <w:p w:rsidR="00092431" w:rsidRPr="005B1ADC" w:rsidRDefault="006F0A69" w:rsidP="00092431">
            <w:pPr>
              <w:tabs>
                <w:tab w:val="decimal" w:pos="411"/>
              </w:tabs>
              <w:jc w:val="left"/>
              <w:rPr>
                <w:sz w:val="14"/>
              </w:rPr>
            </w:pPr>
            <w:r>
              <w:rPr>
                <w:sz w:val="14"/>
              </w:rPr>
              <w:t>978.3</w:t>
            </w:r>
          </w:p>
        </w:tc>
        <w:tc>
          <w:tcPr>
            <w:tcW w:w="675" w:type="dxa"/>
            <w:vAlign w:val="bottom"/>
          </w:tcPr>
          <w:p w:rsidR="00092431" w:rsidRPr="005B1ADC" w:rsidRDefault="006F0A69" w:rsidP="00092431">
            <w:pPr>
              <w:tabs>
                <w:tab w:val="decimal" w:pos="189"/>
              </w:tabs>
              <w:jc w:val="left"/>
              <w:rPr>
                <w:sz w:val="14"/>
              </w:rPr>
            </w:pPr>
            <w:r>
              <w:rPr>
                <w:sz w:val="14"/>
              </w:rPr>
              <w:t>18.1</w:t>
            </w:r>
          </w:p>
        </w:tc>
        <w:tc>
          <w:tcPr>
            <w:tcW w:w="776" w:type="dxa"/>
            <w:vAlign w:val="bottom"/>
          </w:tcPr>
          <w:p w:rsidR="00092431" w:rsidRPr="005B1ADC" w:rsidRDefault="006F0A69" w:rsidP="00092431">
            <w:pPr>
              <w:tabs>
                <w:tab w:val="decimal" w:pos="411"/>
              </w:tabs>
              <w:jc w:val="left"/>
              <w:rPr>
                <w:sz w:val="14"/>
              </w:rPr>
            </w:pPr>
            <w:r>
              <w:rPr>
                <w:sz w:val="14"/>
              </w:rPr>
              <w:t>931.3</w:t>
            </w:r>
          </w:p>
        </w:tc>
        <w:tc>
          <w:tcPr>
            <w:tcW w:w="675" w:type="dxa"/>
            <w:vAlign w:val="bottom"/>
          </w:tcPr>
          <w:p w:rsidR="00092431" w:rsidRPr="005B1ADC" w:rsidRDefault="00BC40B9" w:rsidP="00092431">
            <w:pPr>
              <w:tabs>
                <w:tab w:val="decimal" w:pos="189"/>
              </w:tabs>
              <w:jc w:val="left"/>
              <w:rPr>
                <w:sz w:val="14"/>
              </w:rPr>
            </w:pPr>
            <w:r>
              <w:rPr>
                <w:sz w:val="14"/>
              </w:rPr>
              <w:t>-4.8</w:t>
            </w:r>
          </w:p>
        </w:tc>
        <w:tc>
          <w:tcPr>
            <w:tcW w:w="755" w:type="dxa"/>
            <w:vAlign w:val="bottom"/>
          </w:tcPr>
          <w:p w:rsidR="00092431" w:rsidRPr="005B1ADC" w:rsidRDefault="001E391C" w:rsidP="00092431">
            <w:pPr>
              <w:tabs>
                <w:tab w:val="decimal" w:pos="418"/>
              </w:tabs>
              <w:jc w:val="left"/>
              <w:rPr>
                <w:sz w:val="14"/>
              </w:rPr>
            </w:pPr>
            <w:r>
              <w:rPr>
                <w:sz w:val="14"/>
              </w:rPr>
              <w:t>103.5</w:t>
            </w:r>
          </w:p>
        </w:tc>
        <w:tc>
          <w:tcPr>
            <w:tcW w:w="761" w:type="dxa"/>
            <w:vAlign w:val="bottom"/>
          </w:tcPr>
          <w:p w:rsidR="00092431" w:rsidRPr="005B1ADC" w:rsidRDefault="001E391C" w:rsidP="001E391C">
            <w:pPr>
              <w:tabs>
                <w:tab w:val="decimal" w:pos="414"/>
              </w:tabs>
              <w:jc w:val="left"/>
              <w:rPr>
                <w:sz w:val="14"/>
              </w:rPr>
            </w:pPr>
            <w:r>
              <w:rPr>
                <w:sz w:val="14"/>
              </w:rPr>
              <w:t>119.5</w:t>
            </w:r>
          </w:p>
        </w:tc>
        <w:tc>
          <w:tcPr>
            <w:tcW w:w="675" w:type="dxa"/>
            <w:vAlign w:val="bottom"/>
          </w:tcPr>
          <w:p w:rsidR="00092431" w:rsidRPr="005B1ADC" w:rsidRDefault="00BC40B9" w:rsidP="00092431">
            <w:pPr>
              <w:tabs>
                <w:tab w:val="decimal" w:pos="187"/>
              </w:tabs>
              <w:ind w:right="-2"/>
              <w:jc w:val="left"/>
              <w:rPr>
                <w:sz w:val="14"/>
              </w:rPr>
            </w:pPr>
            <w:r>
              <w:rPr>
                <w:sz w:val="14"/>
              </w:rPr>
              <w:t>15.4</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Information</w:t>
            </w:r>
          </w:p>
        </w:tc>
        <w:tc>
          <w:tcPr>
            <w:tcW w:w="776" w:type="dxa"/>
            <w:vAlign w:val="bottom"/>
          </w:tcPr>
          <w:p w:rsidR="00092431" w:rsidRPr="005B1ADC" w:rsidRDefault="00092431" w:rsidP="00092431">
            <w:pPr>
              <w:tabs>
                <w:tab w:val="decimal" w:pos="448"/>
              </w:tabs>
              <w:jc w:val="left"/>
              <w:rPr>
                <w:sz w:val="14"/>
              </w:rPr>
            </w:pPr>
            <w:r w:rsidRPr="005B1ADC">
              <w:rPr>
                <w:sz w:val="14"/>
              </w:rPr>
              <w:t>6,321.8</w:t>
            </w:r>
          </w:p>
        </w:tc>
        <w:tc>
          <w:tcPr>
            <w:tcW w:w="678" w:type="dxa"/>
            <w:vAlign w:val="bottom"/>
          </w:tcPr>
          <w:p w:rsidR="00092431" w:rsidRPr="005B1ADC" w:rsidRDefault="00092431" w:rsidP="00092431">
            <w:pPr>
              <w:tabs>
                <w:tab w:val="decimal" w:pos="240"/>
              </w:tabs>
              <w:jc w:val="left"/>
              <w:rPr>
                <w:sz w:val="14"/>
              </w:rPr>
            </w:pPr>
            <w:r w:rsidRPr="005B1ADC">
              <w:rPr>
                <w:sz w:val="14"/>
              </w:rPr>
              <w:t>-8.2</w:t>
            </w:r>
          </w:p>
        </w:tc>
        <w:tc>
          <w:tcPr>
            <w:tcW w:w="776" w:type="dxa"/>
            <w:vAlign w:val="bottom"/>
          </w:tcPr>
          <w:p w:rsidR="00092431" w:rsidRPr="005B1ADC" w:rsidRDefault="00092431" w:rsidP="00092431">
            <w:pPr>
              <w:tabs>
                <w:tab w:val="decimal" w:pos="433"/>
              </w:tabs>
              <w:jc w:val="left"/>
              <w:rPr>
                <w:sz w:val="14"/>
              </w:rPr>
            </w:pPr>
            <w:r w:rsidRPr="005B1ADC">
              <w:rPr>
                <w:sz w:val="14"/>
              </w:rPr>
              <w:t>6,242.2</w:t>
            </w:r>
          </w:p>
        </w:tc>
        <w:tc>
          <w:tcPr>
            <w:tcW w:w="676" w:type="dxa"/>
            <w:vAlign w:val="bottom"/>
          </w:tcPr>
          <w:p w:rsidR="00092431" w:rsidRPr="005B1ADC" w:rsidRDefault="00092431" w:rsidP="00092431">
            <w:pPr>
              <w:tabs>
                <w:tab w:val="decimal" w:pos="222"/>
              </w:tabs>
              <w:jc w:val="left"/>
              <w:rPr>
                <w:sz w:val="14"/>
              </w:rPr>
            </w:pPr>
            <w:r w:rsidRPr="005B1ADC">
              <w:rPr>
                <w:sz w:val="14"/>
              </w:rPr>
              <w:t>-1.3</w:t>
            </w:r>
          </w:p>
        </w:tc>
        <w:tc>
          <w:tcPr>
            <w:tcW w:w="776" w:type="dxa"/>
            <w:vAlign w:val="bottom"/>
          </w:tcPr>
          <w:p w:rsidR="00092431" w:rsidRPr="005B1ADC" w:rsidRDefault="00092431" w:rsidP="00092431">
            <w:pPr>
              <w:tabs>
                <w:tab w:val="decimal" w:pos="422"/>
              </w:tabs>
              <w:jc w:val="left"/>
              <w:rPr>
                <w:sz w:val="14"/>
              </w:rPr>
            </w:pPr>
            <w:r w:rsidRPr="005B1ADC">
              <w:rPr>
                <w:sz w:val="14"/>
              </w:rPr>
              <w:t>5,789.3</w:t>
            </w:r>
          </w:p>
        </w:tc>
        <w:tc>
          <w:tcPr>
            <w:tcW w:w="675" w:type="dxa"/>
            <w:vAlign w:val="bottom"/>
          </w:tcPr>
          <w:p w:rsidR="00092431" w:rsidRPr="005B1ADC" w:rsidRDefault="00092431" w:rsidP="00092431">
            <w:pPr>
              <w:tabs>
                <w:tab w:val="decimal" w:pos="192"/>
              </w:tabs>
              <w:jc w:val="left"/>
              <w:rPr>
                <w:sz w:val="14"/>
              </w:rPr>
            </w:pPr>
            <w:r w:rsidRPr="005B1ADC">
              <w:rPr>
                <w:sz w:val="14"/>
              </w:rPr>
              <w:t>-7.3</w:t>
            </w:r>
          </w:p>
        </w:tc>
        <w:tc>
          <w:tcPr>
            <w:tcW w:w="776" w:type="dxa"/>
            <w:vAlign w:val="bottom"/>
          </w:tcPr>
          <w:p w:rsidR="00092431" w:rsidRPr="005B1ADC" w:rsidRDefault="006F0A69" w:rsidP="00092431">
            <w:pPr>
              <w:tabs>
                <w:tab w:val="decimal" w:pos="411"/>
              </w:tabs>
              <w:jc w:val="left"/>
              <w:rPr>
                <w:sz w:val="14"/>
              </w:rPr>
            </w:pPr>
            <w:r>
              <w:rPr>
                <w:sz w:val="14"/>
              </w:rPr>
              <w:t>5,449.8</w:t>
            </w:r>
          </w:p>
        </w:tc>
        <w:tc>
          <w:tcPr>
            <w:tcW w:w="675" w:type="dxa"/>
            <w:vAlign w:val="bottom"/>
          </w:tcPr>
          <w:p w:rsidR="00092431" w:rsidRPr="005B1ADC" w:rsidRDefault="006F0A69" w:rsidP="00092431">
            <w:pPr>
              <w:tabs>
                <w:tab w:val="decimal" w:pos="189"/>
              </w:tabs>
              <w:jc w:val="left"/>
              <w:rPr>
                <w:sz w:val="14"/>
              </w:rPr>
            </w:pPr>
            <w:r>
              <w:rPr>
                <w:sz w:val="14"/>
              </w:rPr>
              <w:t>-5.9</w:t>
            </w:r>
          </w:p>
        </w:tc>
        <w:tc>
          <w:tcPr>
            <w:tcW w:w="776" w:type="dxa"/>
            <w:vAlign w:val="bottom"/>
          </w:tcPr>
          <w:p w:rsidR="00092431" w:rsidRPr="005B1ADC" w:rsidRDefault="006F0A69" w:rsidP="00092431">
            <w:pPr>
              <w:tabs>
                <w:tab w:val="decimal" w:pos="411"/>
              </w:tabs>
              <w:jc w:val="left"/>
              <w:rPr>
                <w:sz w:val="14"/>
              </w:rPr>
            </w:pPr>
            <w:r>
              <w:rPr>
                <w:sz w:val="14"/>
              </w:rPr>
              <w:t>5,413.0</w:t>
            </w:r>
          </w:p>
        </w:tc>
        <w:tc>
          <w:tcPr>
            <w:tcW w:w="675" w:type="dxa"/>
            <w:vAlign w:val="bottom"/>
          </w:tcPr>
          <w:p w:rsidR="00092431" w:rsidRPr="005B1ADC" w:rsidRDefault="00BC40B9" w:rsidP="00092431">
            <w:pPr>
              <w:tabs>
                <w:tab w:val="decimal" w:pos="189"/>
              </w:tabs>
              <w:jc w:val="left"/>
              <w:rPr>
                <w:sz w:val="14"/>
              </w:rPr>
            </w:pPr>
            <w:r>
              <w:rPr>
                <w:sz w:val="14"/>
              </w:rPr>
              <w:t>-0.7</w:t>
            </w:r>
          </w:p>
        </w:tc>
        <w:tc>
          <w:tcPr>
            <w:tcW w:w="755" w:type="dxa"/>
            <w:vAlign w:val="bottom"/>
          </w:tcPr>
          <w:p w:rsidR="00092431" w:rsidRPr="005B1ADC" w:rsidRDefault="001E391C" w:rsidP="00092431">
            <w:pPr>
              <w:tabs>
                <w:tab w:val="decimal" w:pos="418"/>
              </w:tabs>
              <w:jc w:val="left"/>
              <w:rPr>
                <w:sz w:val="14"/>
              </w:rPr>
            </w:pPr>
            <w:r>
              <w:rPr>
                <w:sz w:val="14"/>
              </w:rPr>
              <w:t>806.2</w:t>
            </w:r>
          </w:p>
        </w:tc>
        <w:tc>
          <w:tcPr>
            <w:tcW w:w="761" w:type="dxa"/>
            <w:vAlign w:val="bottom"/>
          </w:tcPr>
          <w:p w:rsidR="00092431" w:rsidRPr="005B1ADC" w:rsidRDefault="001E391C" w:rsidP="00092431">
            <w:pPr>
              <w:tabs>
                <w:tab w:val="decimal" w:pos="414"/>
              </w:tabs>
              <w:jc w:val="left"/>
              <w:rPr>
                <w:sz w:val="14"/>
              </w:rPr>
            </w:pPr>
            <w:r>
              <w:rPr>
                <w:sz w:val="14"/>
              </w:rPr>
              <w:t>758.7</w:t>
            </w:r>
          </w:p>
        </w:tc>
        <w:tc>
          <w:tcPr>
            <w:tcW w:w="675" w:type="dxa"/>
            <w:vAlign w:val="bottom"/>
          </w:tcPr>
          <w:p w:rsidR="00092431" w:rsidRPr="005B1ADC" w:rsidRDefault="00BC40B9" w:rsidP="00092431">
            <w:pPr>
              <w:tabs>
                <w:tab w:val="decimal" w:pos="187"/>
              </w:tabs>
              <w:ind w:right="-2"/>
              <w:jc w:val="left"/>
              <w:rPr>
                <w:sz w:val="14"/>
              </w:rPr>
            </w:pPr>
            <w:r>
              <w:rPr>
                <w:sz w:val="14"/>
              </w:rPr>
              <w:t>-5.9</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Finance/Insurance</w:t>
            </w:r>
          </w:p>
        </w:tc>
        <w:tc>
          <w:tcPr>
            <w:tcW w:w="776" w:type="dxa"/>
            <w:vAlign w:val="bottom"/>
          </w:tcPr>
          <w:p w:rsidR="00092431" w:rsidRPr="005B1ADC" w:rsidRDefault="00092431" w:rsidP="00092431">
            <w:pPr>
              <w:tabs>
                <w:tab w:val="decimal" w:pos="448"/>
              </w:tabs>
              <w:jc w:val="left"/>
              <w:rPr>
                <w:sz w:val="14"/>
              </w:rPr>
            </w:pPr>
            <w:r w:rsidRPr="005B1ADC">
              <w:rPr>
                <w:sz w:val="14"/>
              </w:rPr>
              <w:t>3,085.9</w:t>
            </w:r>
          </w:p>
        </w:tc>
        <w:tc>
          <w:tcPr>
            <w:tcW w:w="678" w:type="dxa"/>
            <w:vAlign w:val="bottom"/>
          </w:tcPr>
          <w:p w:rsidR="00092431" w:rsidRPr="005B1ADC" w:rsidRDefault="00092431" w:rsidP="00092431">
            <w:pPr>
              <w:tabs>
                <w:tab w:val="decimal" w:pos="240"/>
              </w:tabs>
              <w:jc w:val="left"/>
              <w:rPr>
                <w:sz w:val="14"/>
              </w:rPr>
            </w:pPr>
            <w:r w:rsidRPr="005B1ADC">
              <w:rPr>
                <w:sz w:val="14"/>
              </w:rPr>
              <w:t>-3.8</w:t>
            </w:r>
          </w:p>
        </w:tc>
        <w:tc>
          <w:tcPr>
            <w:tcW w:w="776" w:type="dxa"/>
            <w:vAlign w:val="bottom"/>
          </w:tcPr>
          <w:p w:rsidR="00092431" w:rsidRPr="005B1ADC" w:rsidRDefault="00092431" w:rsidP="00092431">
            <w:pPr>
              <w:tabs>
                <w:tab w:val="decimal" w:pos="433"/>
              </w:tabs>
              <w:jc w:val="left"/>
              <w:rPr>
                <w:sz w:val="14"/>
              </w:rPr>
            </w:pPr>
            <w:r w:rsidRPr="005B1ADC">
              <w:rPr>
                <w:sz w:val="14"/>
              </w:rPr>
              <w:t>3,130.7</w:t>
            </w:r>
          </w:p>
        </w:tc>
        <w:tc>
          <w:tcPr>
            <w:tcW w:w="676" w:type="dxa"/>
            <w:vAlign w:val="bottom"/>
          </w:tcPr>
          <w:p w:rsidR="00092431" w:rsidRPr="005B1ADC" w:rsidRDefault="00092431" w:rsidP="00092431">
            <w:pPr>
              <w:tabs>
                <w:tab w:val="decimal" w:pos="222"/>
              </w:tabs>
              <w:jc w:val="left"/>
              <w:rPr>
                <w:sz w:val="14"/>
              </w:rPr>
            </w:pPr>
            <w:r w:rsidRPr="005B1ADC">
              <w:rPr>
                <w:sz w:val="14"/>
              </w:rPr>
              <w:t>1.5</w:t>
            </w:r>
          </w:p>
        </w:tc>
        <w:tc>
          <w:tcPr>
            <w:tcW w:w="776" w:type="dxa"/>
            <w:vAlign w:val="bottom"/>
          </w:tcPr>
          <w:p w:rsidR="00092431" w:rsidRPr="005B1ADC" w:rsidRDefault="00092431" w:rsidP="00092431">
            <w:pPr>
              <w:tabs>
                <w:tab w:val="decimal" w:pos="422"/>
              </w:tabs>
              <w:jc w:val="left"/>
              <w:rPr>
                <w:sz w:val="14"/>
              </w:rPr>
            </w:pPr>
            <w:r w:rsidRPr="005B1ADC">
              <w:rPr>
                <w:sz w:val="14"/>
              </w:rPr>
              <w:t>2,493.2</w:t>
            </w:r>
          </w:p>
        </w:tc>
        <w:tc>
          <w:tcPr>
            <w:tcW w:w="675" w:type="dxa"/>
            <w:vAlign w:val="bottom"/>
          </w:tcPr>
          <w:p w:rsidR="00092431" w:rsidRPr="005B1ADC" w:rsidRDefault="00092431" w:rsidP="00092431">
            <w:pPr>
              <w:tabs>
                <w:tab w:val="decimal" w:pos="192"/>
              </w:tabs>
              <w:jc w:val="left"/>
              <w:rPr>
                <w:sz w:val="14"/>
              </w:rPr>
            </w:pPr>
            <w:r w:rsidRPr="005B1ADC">
              <w:rPr>
                <w:sz w:val="14"/>
              </w:rPr>
              <w:t>-20.4</w:t>
            </w:r>
          </w:p>
        </w:tc>
        <w:tc>
          <w:tcPr>
            <w:tcW w:w="776" w:type="dxa"/>
            <w:vAlign w:val="bottom"/>
          </w:tcPr>
          <w:p w:rsidR="00092431" w:rsidRPr="005B1ADC" w:rsidRDefault="006F0A69" w:rsidP="00092431">
            <w:pPr>
              <w:tabs>
                <w:tab w:val="decimal" w:pos="411"/>
              </w:tabs>
              <w:jc w:val="left"/>
              <w:rPr>
                <w:sz w:val="14"/>
              </w:rPr>
            </w:pPr>
            <w:r>
              <w:rPr>
                <w:sz w:val="14"/>
              </w:rPr>
              <w:t>1,689.9</w:t>
            </w:r>
          </w:p>
        </w:tc>
        <w:tc>
          <w:tcPr>
            <w:tcW w:w="675" w:type="dxa"/>
            <w:vAlign w:val="bottom"/>
          </w:tcPr>
          <w:p w:rsidR="00092431" w:rsidRPr="005B1ADC" w:rsidRDefault="006F0A69" w:rsidP="00092431">
            <w:pPr>
              <w:tabs>
                <w:tab w:val="decimal" w:pos="189"/>
              </w:tabs>
              <w:jc w:val="left"/>
              <w:rPr>
                <w:sz w:val="14"/>
              </w:rPr>
            </w:pPr>
            <w:r>
              <w:rPr>
                <w:sz w:val="14"/>
              </w:rPr>
              <w:t>-32.2</w:t>
            </w:r>
          </w:p>
        </w:tc>
        <w:tc>
          <w:tcPr>
            <w:tcW w:w="776" w:type="dxa"/>
            <w:vAlign w:val="bottom"/>
          </w:tcPr>
          <w:p w:rsidR="00092431" w:rsidRPr="005B1ADC" w:rsidRDefault="006F0A69" w:rsidP="00092431">
            <w:pPr>
              <w:tabs>
                <w:tab w:val="decimal" w:pos="411"/>
              </w:tabs>
              <w:jc w:val="left"/>
              <w:rPr>
                <w:sz w:val="14"/>
              </w:rPr>
            </w:pPr>
            <w:r>
              <w:rPr>
                <w:sz w:val="14"/>
              </w:rPr>
              <w:t>2,668.7</w:t>
            </w:r>
          </w:p>
        </w:tc>
        <w:tc>
          <w:tcPr>
            <w:tcW w:w="675" w:type="dxa"/>
            <w:vAlign w:val="bottom"/>
          </w:tcPr>
          <w:p w:rsidR="00092431" w:rsidRPr="005B1ADC" w:rsidRDefault="00BC40B9" w:rsidP="00092431">
            <w:pPr>
              <w:tabs>
                <w:tab w:val="decimal" w:pos="189"/>
              </w:tabs>
              <w:jc w:val="left"/>
              <w:rPr>
                <w:sz w:val="14"/>
              </w:rPr>
            </w:pPr>
            <w:r>
              <w:rPr>
                <w:sz w:val="14"/>
              </w:rPr>
              <w:t>57.9</w:t>
            </w:r>
          </w:p>
        </w:tc>
        <w:tc>
          <w:tcPr>
            <w:tcW w:w="755" w:type="dxa"/>
            <w:vAlign w:val="bottom"/>
          </w:tcPr>
          <w:p w:rsidR="00092431" w:rsidRPr="005B1ADC" w:rsidRDefault="001E391C" w:rsidP="00092431">
            <w:pPr>
              <w:tabs>
                <w:tab w:val="decimal" w:pos="418"/>
              </w:tabs>
              <w:jc w:val="left"/>
              <w:rPr>
                <w:sz w:val="14"/>
              </w:rPr>
            </w:pPr>
            <w:r>
              <w:rPr>
                <w:sz w:val="14"/>
              </w:rPr>
              <w:t>166.1</w:t>
            </w:r>
          </w:p>
        </w:tc>
        <w:tc>
          <w:tcPr>
            <w:tcW w:w="761" w:type="dxa"/>
            <w:vAlign w:val="bottom"/>
          </w:tcPr>
          <w:p w:rsidR="00092431" w:rsidRPr="005B1ADC" w:rsidRDefault="00BC40B9" w:rsidP="00092431">
            <w:pPr>
              <w:tabs>
                <w:tab w:val="decimal" w:pos="414"/>
              </w:tabs>
              <w:jc w:val="left"/>
              <w:rPr>
                <w:sz w:val="14"/>
              </w:rPr>
            </w:pPr>
            <w:r>
              <w:rPr>
                <w:sz w:val="14"/>
              </w:rPr>
              <w:t>390.6</w:t>
            </w:r>
          </w:p>
        </w:tc>
        <w:tc>
          <w:tcPr>
            <w:tcW w:w="675" w:type="dxa"/>
            <w:vAlign w:val="bottom"/>
          </w:tcPr>
          <w:p w:rsidR="00092431" w:rsidRPr="005B1ADC" w:rsidRDefault="00BC40B9" w:rsidP="00092431">
            <w:pPr>
              <w:tabs>
                <w:tab w:val="decimal" w:pos="187"/>
              </w:tabs>
              <w:ind w:right="-2"/>
              <w:jc w:val="left"/>
              <w:rPr>
                <w:sz w:val="14"/>
              </w:rPr>
            </w:pPr>
            <w:r>
              <w:rPr>
                <w:sz w:val="14"/>
              </w:rPr>
              <w:t>135.1</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Real Estate/Rental/Lease</w:t>
            </w:r>
          </w:p>
        </w:tc>
        <w:tc>
          <w:tcPr>
            <w:tcW w:w="776" w:type="dxa"/>
            <w:vAlign w:val="bottom"/>
          </w:tcPr>
          <w:p w:rsidR="00092431" w:rsidRPr="005B1ADC" w:rsidRDefault="00092431" w:rsidP="00092431">
            <w:pPr>
              <w:tabs>
                <w:tab w:val="decimal" w:pos="448"/>
              </w:tabs>
              <w:jc w:val="left"/>
              <w:rPr>
                <w:sz w:val="14"/>
              </w:rPr>
            </w:pPr>
            <w:r w:rsidRPr="005B1ADC">
              <w:rPr>
                <w:sz w:val="14"/>
              </w:rPr>
              <w:t>3,154.3</w:t>
            </w:r>
          </w:p>
        </w:tc>
        <w:tc>
          <w:tcPr>
            <w:tcW w:w="678" w:type="dxa"/>
            <w:vAlign w:val="bottom"/>
          </w:tcPr>
          <w:p w:rsidR="00092431" w:rsidRPr="005B1ADC" w:rsidRDefault="00092431" w:rsidP="00092431">
            <w:pPr>
              <w:tabs>
                <w:tab w:val="decimal" w:pos="240"/>
              </w:tabs>
              <w:jc w:val="left"/>
              <w:rPr>
                <w:sz w:val="14"/>
              </w:rPr>
            </w:pPr>
            <w:r w:rsidRPr="005B1ADC">
              <w:rPr>
                <w:sz w:val="14"/>
              </w:rPr>
              <w:t>8.2</w:t>
            </w:r>
          </w:p>
        </w:tc>
        <w:tc>
          <w:tcPr>
            <w:tcW w:w="776" w:type="dxa"/>
            <w:vAlign w:val="bottom"/>
          </w:tcPr>
          <w:p w:rsidR="00092431" w:rsidRPr="005B1ADC" w:rsidRDefault="00092431" w:rsidP="00092431">
            <w:pPr>
              <w:tabs>
                <w:tab w:val="decimal" w:pos="433"/>
              </w:tabs>
              <w:jc w:val="left"/>
              <w:rPr>
                <w:sz w:val="14"/>
              </w:rPr>
            </w:pPr>
            <w:r w:rsidRPr="005B1ADC">
              <w:rPr>
                <w:sz w:val="14"/>
              </w:rPr>
              <w:t>3,240.7</w:t>
            </w:r>
          </w:p>
        </w:tc>
        <w:tc>
          <w:tcPr>
            <w:tcW w:w="676" w:type="dxa"/>
            <w:vAlign w:val="bottom"/>
          </w:tcPr>
          <w:p w:rsidR="00092431" w:rsidRPr="005B1ADC" w:rsidRDefault="00092431" w:rsidP="00092431">
            <w:pPr>
              <w:tabs>
                <w:tab w:val="decimal" w:pos="222"/>
              </w:tabs>
              <w:jc w:val="left"/>
              <w:rPr>
                <w:sz w:val="14"/>
              </w:rPr>
            </w:pPr>
            <w:r w:rsidRPr="005B1ADC">
              <w:rPr>
                <w:sz w:val="14"/>
              </w:rPr>
              <w:t>2.7</w:t>
            </w:r>
          </w:p>
        </w:tc>
        <w:tc>
          <w:tcPr>
            <w:tcW w:w="776" w:type="dxa"/>
            <w:vAlign w:val="bottom"/>
          </w:tcPr>
          <w:p w:rsidR="00092431" w:rsidRPr="005B1ADC" w:rsidRDefault="00092431" w:rsidP="00092431">
            <w:pPr>
              <w:tabs>
                <w:tab w:val="decimal" w:pos="422"/>
              </w:tabs>
              <w:jc w:val="left"/>
              <w:rPr>
                <w:sz w:val="14"/>
              </w:rPr>
            </w:pPr>
            <w:r w:rsidRPr="005B1ADC">
              <w:rPr>
                <w:sz w:val="14"/>
              </w:rPr>
              <w:t>3,561.7</w:t>
            </w:r>
          </w:p>
        </w:tc>
        <w:tc>
          <w:tcPr>
            <w:tcW w:w="675" w:type="dxa"/>
            <w:vAlign w:val="bottom"/>
          </w:tcPr>
          <w:p w:rsidR="00092431" w:rsidRPr="005B1ADC" w:rsidRDefault="00092431" w:rsidP="00092431">
            <w:pPr>
              <w:tabs>
                <w:tab w:val="decimal" w:pos="192"/>
              </w:tabs>
              <w:jc w:val="left"/>
              <w:rPr>
                <w:sz w:val="14"/>
              </w:rPr>
            </w:pPr>
            <w:r w:rsidRPr="005B1ADC">
              <w:rPr>
                <w:sz w:val="14"/>
              </w:rPr>
              <w:t>9.9</w:t>
            </w:r>
          </w:p>
        </w:tc>
        <w:tc>
          <w:tcPr>
            <w:tcW w:w="776" w:type="dxa"/>
            <w:vAlign w:val="bottom"/>
          </w:tcPr>
          <w:p w:rsidR="00092431" w:rsidRPr="005B1ADC" w:rsidRDefault="006F0A69" w:rsidP="00092431">
            <w:pPr>
              <w:tabs>
                <w:tab w:val="decimal" w:pos="411"/>
              </w:tabs>
              <w:jc w:val="left"/>
              <w:rPr>
                <w:sz w:val="14"/>
              </w:rPr>
            </w:pPr>
            <w:r>
              <w:rPr>
                <w:sz w:val="14"/>
              </w:rPr>
              <w:t>4,172.9</w:t>
            </w:r>
          </w:p>
        </w:tc>
        <w:tc>
          <w:tcPr>
            <w:tcW w:w="675" w:type="dxa"/>
            <w:vAlign w:val="bottom"/>
          </w:tcPr>
          <w:p w:rsidR="00092431" w:rsidRPr="005B1ADC" w:rsidRDefault="006F0A69" w:rsidP="00092431">
            <w:pPr>
              <w:tabs>
                <w:tab w:val="decimal" w:pos="189"/>
              </w:tabs>
              <w:jc w:val="left"/>
              <w:rPr>
                <w:sz w:val="14"/>
              </w:rPr>
            </w:pPr>
            <w:r>
              <w:rPr>
                <w:sz w:val="14"/>
              </w:rPr>
              <w:t>17.2</w:t>
            </w:r>
          </w:p>
        </w:tc>
        <w:tc>
          <w:tcPr>
            <w:tcW w:w="776" w:type="dxa"/>
            <w:vAlign w:val="bottom"/>
          </w:tcPr>
          <w:p w:rsidR="00092431" w:rsidRPr="005B1ADC" w:rsidRDefault="006F0A69" w:rsidP="00092431">
            <w:pPr>
              <w:tabs>
                <w:tab w:val="decimal" w:pos="411"/>
              </w:tabs>
              <w:jc w:val="left"/>
              <w:rPr>
                <w:sz w:val="14"/>
              </w:rPr>
            </w:pPr>
            <w:r>
              <w:rPr>
                <w:sz w:val="14"/>
              </w:rPr>
              <w:t>4,389.0</w:t>
            </w:r>
          </w:p>
        </w:tc>
        <w:tc>
          <w:tcPr>
            <w:tcW w:w="675" w:type="dxa"/>
            <w:vAlign w:val="bottom"/>
          </w:tcPr>
          <w:p w:rsidR="00092431" w:rsidRPr="005B1ADC" w:rsidRDefault="00BC40B9" w:rsidP="00092431">
            <w:pPr>
              <w:tabs>
                <w:tab w:val="decimal" w:pos="189"/>
              </w:tabs>
              <w:jc w:val="left"/>
              <w:rPr>
                <w:sz w:val="14"/>
              </w:rPr>
            </w:pPr>
            <w:r>
              <w:rPr>
                <w:sz w:val="14"/>
              </w:rPr>
              <w:t>5.2</w:t>
            </w:r>
          </w:p>
        </w:tc>
        <w:tc>
          <w:tcPr>
            <w:tcW w:w="755" w:type="dxa"/>
            <w:vAlign w:val="bottom"/>
          </w:tcPr>
          <w:p w:rsidR="00092431" w:rsidRPr="005B1ADC" w:rsidRDefault="001E391C" w:rsidP="00092431">
            <w:pPr>
              <w:tabs>
                <w:tab w:val="decimal" w:pos="418"/>
              </w:tabs>
              <w:jc w:val="left"/>
              <w:rPr>
                <w:sz w:val="14"/>
              </w:rPr>
            </w:pPr>
            <w:r>
              <w:rPr>
                <w:sz w:val="14"/>
              </w:rPr>
              <w:t>700.1</w:t>
            </w:r>
          </w:p>
        </w:tc>
        <w:tc>
          <w:tcPr>
            <w:tcW w:w="761" w:type="dxa"/>
            <w:vAlign w:val="bottom"/>
          </w:tcPr>
          <w:p w:rsidR="00092431" w:rsidRPr="005B1ADC" w:rsidRDefault="001E391C" w:rsidP="00092431">
            <w:pPr>
              <w:tabs>
                <w:tab w:val="decimal" w:pos="414"/>
              </w:tabs>
              <w:jc w:val="left"/>
              <w:rPr>
                <w:sz w:val="14"/>
              </w:rPr>
            </w:pPr>
            <w:r>
              <w:rPr>
                <w:sz w:val="14"/>
              </w:rPr>
              <w:t>702.8</w:t>
            </w:r>
          </w:p>
        </w:tc>
        <w:tc>
          <w:tcPr>
            <w:tcW w:w="675" w:type="dxa"/>
            <w:vAlign w:val="bottom"/>
          </w:tcPr>
          <w:p w:rsidR="00092431" w:rsidRPr="005B1ADC" w:rsidRDefault="00BC40B9" w:rsidP="00092431">
            <w:pPr>
              <w:tabs>
                <w:tab w:val="decimal" w:pos="187"/>
              </w:tabs>
              <w:ind w:right="-2"/>
              <w:jc w:val="left"/>
              <w:rPr>
                <w:sz w:val="14"/>
              </w:rPr>
            </w:pPr>
            <w:r>
              <w:rPr>
                <w:sz w:val="14"/>
              </w:rPr>
              <w:t>0.4</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Professional/Scientific/Technical</w:t>
            </w:r>
          </w:p>
        </w:tc>
        <w:tc>
          <w:tcPr>
            <w:tcW w:w="776" w:type="dxa"/>
            <w:vAlign w:val="bottom"/>
          </w:tcPr>
          <w:p w:rsidR="00092431" w:rsidRPr="005B1ADC" w:rsidRDefault="00092431" w:rsidP="00092431">
            <w:pPr>
              <w:tabs>
                <w:tab w:val="decimal" w:pos="448"/>
              </w:tabs>
              <w:jc w:val="left"/>
              <w:rPr>
                <w:sz w:val="14"/>
              </w:rPr>
            </w:pPr>
            <w:r w:rsidRPr="005B1ADC">
              <w:rPr>
                <w:sz w:val="14"/>
              </w:rPr>
              <w:t>6,768.8</w:t>
            </w:r>
          </w:p>
        </w:tc>
        <w:tc>
          <w:tcPr>
            <w:tcW w:w="678" w:type="dxa"/>
            <w:vAlign w:val="bottom"/>
          </w:tcPr>
          <w:p w:rsidR="00092431" w:rsidRPr="005B1ADC" w:rsidRDefault="00092431" w:rsidP="00092431">
            <w:pPr>
              <w:tabs>
                <w:tab w:val="decimal" w:pos="240"/>
              </w:tabs>
              <w:jc w:val="left"/>
              <w:rPr>
                <w:sz w:val="14"/>
              </w:rPr>
            </w:pPr>
            <w:r w:rsidRPr="005B1ADC">
              <w:rPr>
                <w:sz w:val="14"/>
              </w:rPr>
              <w:t>3.3</w:t>
            </w:r>
          </w:p>
        </w:tc>
        <w:tc>
          <w:tcPr>
            <w:tcW w:w="776" w:type="dxa"/>
            <w:vAlign w:val="bottom"/>
          </w:tcPr>
          <w:p w:rsidR="00092431" w:rsidRPr="005B1ADC" w:rsidRDefault="00092431" w:rsidP="00092431">
            <w:pPr>
              <w:tabs>
                <w:tab w:val="decimal" w:pos="433"/>
              </w:tabs>
              <w:jc w:val="left"/>
              <w:rPr>
                <w:sz w:val="14"/>
              </w:rPr>
            </w:pPr>
            <w:r w:rsidRPr="005B1ADC">
              <w:rPr>
                <w:sz w:val="14"/>
              </w:rPr>
              <w:t>6,818.2</w:t>
            </w:r>
          </w:p>
        </w:tc>
        <w:tc>
          <w:tcPr>
            <w:tcW w:w="676" w:type="dxa"/>
            <w:vAlign w:val="bottom"/>
          </w:tcPr>
          <w:p w:rsidR="00092431" w:rsidRPr="005B1ADC" w:rsidRDefault="00092431" w:rsidP="00092431">
            <w:pPr>
              <w:tabs>
                <w:tab w:val="decimal" w:pos="222"/>
              </w:tabs>
              <w:jc w:val="left"/>
              <w:rPr>
                <w:sz w:val="14"/>
              </w:rPr>
            </w:pPr>
            <w:r w:rsidRPr="005B1ADC">
              <w:rPr>
                <w:sz w:val="14"/>
              </w:rPr>
              <w:t>0.7</w:t>
            </w:r>
          </w:p>
        </w:tc>
        <w:tc>
          <w:tcPr>
            <w:tcW w:w="776" w:type="dxa"/>
            <w:vAlign w:val="bottom"/>
          </w:tcPr>
          <w:p w:rsidR="00092431" w:rsidRPr="005B1ADC" w:rsidRDefault="00092431" w:rsidP="00092431">
            <w:pPr>
              <w:tabs>
                <w:tab w:val="decimal" w:pos="422"/>
              </w:tabs>
              <w:jc w:val="left"/>
              <w:rPr>
                <w:sz w:val="14"/>
              </w:rPr>
            </w:pPr>
            <w:r w:rsidRPr="005B1ADC">
              <w:rPr>
                <w:sz w:val="14"/>
              </w:rPr>
              <w:t>7,474.7</w:t>
            </w:r>
          </w:p>
        </w:tc>
        <w:tc>
          <w:tcPr>
            <w:tcW w:w="675" w:type="dxa"/>
            <w:vAlign w:val="bottom"/>
          </w:tcPr>
          <w:p w:rsidR="00092431" w:rsidRPr="005B1ADC" w:rsidRDefault="00092431" w:rsidP="00092431">
            <w:pPr>
              <w:tabs>
                <w:tab w:val="decimal" w:pos="192"/>
              </w:tabs>
              <w:jc w:val="left"/>
              <w:rPr>
                <w:sz w:val="14"/>
              </w:rPr>
            </w:pPr>
            <w:r w:rsidRPr="005B1ADC">
              <w:rPr>
                <w:sz w:val="14"/>
              </w:rPr>
              <w:t>9.6</w:t>
            </w:r>
          </w:p>
        </w:tc>
        <w:tc>
          <w:tcPr>
            <w:tcW w:w="776" w:type="dxa"/>
            <w:vAlign w:val="bottom"/>
          </w:tcPr>
          <w:p w:rsidR="00092431" w:rsidRPr="005B1ADC" w:rsidRDefault="006F0A69" w:rsidP="00092431">
            <w:pPr>
              <w:tabs>
                <w:tab w:val="decimal" w:pos="411"/>
              </w:tabs>
              <w:jc w:val="left"/>
              <w:rPr>
                <w:sz w:val="14"/>
              </w:rPr>
            </w:pPr>
            <w:r>
              <w:rPr>
                <w:sz w:val="14"/>
              </w:rPr>
              <w:t>6,966.6</w:t>
            </w:r>
          </w:p>
        </w:tc>
        <w:tc>
          <w:tcPr>
            <w:tcW w:w="675" w:type="dxa"/>
            <w:vAlign w:val="bottom"/>
          </w:tcPr>
          <w:p w:rsidR="00092431" w:rsidRPr="005B1ADC" w:rsidRDefault="006F0A69" w:rsidP="00092431">
            <w:pPr>
              <w:tabs>
                <w:tab w:val="decimal" w:pos="189"/>
              </w:tabs>
              <w:jc w:val="left"/>
              <w:rPr>
                <w:sz w:val="14"/>
              </w:rPr>
            </w:pPr>
            <w:r>
              <w:rPr>
                <w:sz w:val="14"/>
              </w:rPr>
              <w:t>-6.8</w:t>
            </w:r>
          </w:p>
        </w:tc>
        <w:tc>
          <w:tcPr>
            <w:tcW w:w="776" w:type="dxa"/>
            <w:vAlign w:val="bottom"/>
          </w:tcPr>
          <w:p w:rsidR="00092431" w:rsidRPr="005B1ADC" w:rsidRDefault="006F0A69" w:rsidP="00092431">
            <w:pPr>
              <w:tabs>
                <w:tab w:val="decimal" w:pos="411"/>
              </w:tabs>
              <w:jc w:val="left"/>
              <w:rPr>
                <w:sz w:val="14"/>
              </w:rPr>
            </w:pPr>
            <w:r>
              <w:rPr>
                <w:sz w:val="14"/>
              </w:rPr>
              <w:t>6,929.3</w:t>
            </w:r>
          </w:p>
        </w:tc>
        <w:tc>
          <w:tcPr>
            <w:tcW w:w="675" w:type="dxa"/>
            <w:vAlign w:val="bottom"/>
          </w:tcPr>
          <w:p w:rsidR="00092431" w:rsidRPr="005B1ADC" w:rsidRDefault="00BC40B9" w:rsidP="00092431">
            <w:pPr>
              <w:tabs>
                <w:tab w:val="decimal" w:pos="189"/>
              </w:tabs>
              <w:jc w:val="left"/>
              <w:rPr>
                <w:sz w:val="14"/>
              </w:rPr>
            </w:pPr>
            <w:r>
              <w:rPr>
                <w:sz w:val="14"/>
              </w:rPr>
              <w:t>-0.5</w:t>
            </w:r>
          </w:p>
        </w:tc>
        <w:tc>
          <w:tcPr>
            <w:tcW w:w="755" w:type="dxa"/>
            <w:vAlign w:val="bottom"/>
          </w:tcPr>
          <w:p w:rsidR="00092431" w:rsidRPr="005B1ADC" w:rsidRDefault="001E391C" w:rsidP="00092431">
            <w:pPr>
              <w:tabs>
                <w:tab w:val="decimal" w:pos="418"/>
              </w:tabs>
              <w:jc w:val="left"/>
              <w:rPr>
                <w:sz w:val="14"/>
              </w:rPr>
            </w:pPr>
            <w:r>
              <w:rPr>
                <w:sz w:val="14"/>
              </w:rPr>
              <w:t>784.0</w:t>
            </w:r>
          </w:p>
        </w:tc>
        <w:tc>
          <w:tcPr>
            <w:tcW w:w="761" w:type="dxa"/>
            <w:vAlign w:val="bottom"/>
          </w:tcPr>
          <w:p w:rsidR="00092431" w:rsidRPr="005B1ADC" w:rsidRDefault="001E391C" w:rsidP="00092431">
            <w:pPr>
              <w:tabs>
                <w:tab w:val="decimal" w:pos="414"/>
              </w:tabs>
              <w:jc w:val="left"/>
              <w:rPr>
                <w:sz w:val="14"/>
              </w:rPr>
            </w:pPr>
            <w:r>
              <w:rPr>
                <w:sz w:val="14"/>
              </w:rPr>
              <w:t>705.7</w:t>
            </w:r>
          </w:p>
        </w:tc>
        <w:tc>
          <w:tcPr>
            <w:tcW w:w="675" w:type="dxa"/>
            <w:vAlign w:val="bottom"/>
          </w:tcPr>
          <w:p w:rsidR="00092431" w:rsidRPr="005B1ADC" w:rsidRDefault="00BC40B9" w:rsidP="00092431">
            <w:pPr>
              <w:tabs>
                <w:tab w:val="decimal" w:pos="187"/>
              </w:tabs>
              <w:ind w:right="-2"/>
              <w:jc w:val="left"/>
              <w:rPr>
                <w:sz w:val="14"/>
              </w:rPr>
            </w:pPr>
            <w:r>
              <w:rPr>
                <w:sz w:val="14"/>
              </w:rPr>
              <w:t>-10.0</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Admin/Support/Waste/Remediation</w:t>
            </w:r>
          </w:p>
        </w:tc>
        <w:tc>
          <w:tcPr>
            <w:tcW w:w="776" w:type="dxa"/>
            <w:vAlign w:val="bottom"/>
          </w:tcPr>
          <w:p w:rsidR="00092431" w:rsidRPr="005B1ADC" w:rsidRDefault="00092431" w:rsidP="00092431">
            <w:pPr>
              <w:tabs>
                <w:tab w:val="decimal" w:pos="448"/>
              </w:tabs>
              <w:jc w:val="left"/>
              <w:rPr>
                <w:sz w:val="14"/>
              </w:rPr>
            </w:pPr>
            <w:r w:rsidRPr="005B1ADC">
              <w:rPr>
                <w:sz w:val="14"/>
              </w:rPr>
              <w:t>1,882.7</w:t>
            </w:r>
          </w:p>
        </w:tc>
        <w:tc>
          <w:tcPr>
            <w:tcW w:w="678" w:type="dxa"/>
            <w:vAlign w:val="bottom"/>
          </w:tcPr>
          <w:p w:rsidR="00092431" w:rsidRPr="005B1ADC" w:rsidRDefault="00092431" w:rsidP="00092431">
            <w:pPr>
              <w:tabs>
                <w:tab w:val="decimal" w:pos="240"/>
              </w:tabs>
              <w:jc w:val="left"/>
              <w:rPr>
                <w:sz w:val="14"/>
              </w:rPr>
            </w:pPr>
            <w:r w:rsidRPr="005B1ADC">
              <w:rPr>
                <w:sz w:val="14"/>
              </w:rPr>
              <w:t>3.3</w:t>
            </w:r>
          </w:p>
        </w:tc>
        <w:tc>
          <w:tcPr>
            <w:tcW w:w="776" w:type="dxa"/>
            <w:vAlign w:val="bottom"/>
          </w:tcPr>
          <w:p w:rsidR="00092431" w:rsidRPr="005B1ADC" w:rsidRDefault="00092431" w:rsidP="00092431">
            <w:pPr>
              <w:tabs>
                <w:tab w:val="decimal" w:pos="433"/>
              </w:tabs>
              <w:jc w:val="left"/>
              <w:rPr>
                <w:sz w:val="14"/>
              </w:rPr>
            </w:pPr>
            <w:r w:rsidRPr="005B1ADC">
              <w:rPr>
                <w:sz w:val="14"/>
              </w:rPr>
              <w:t>1,866.1</w:t>
            </w:r>
          </w:p>
        </w:tc>
        <w:tc>
          <w:tcPr>
            <w:tcW w:w="676" w:type="dxa"/>
            <w:vAlign w:val="bottom"/>
          </w:tcPr>
          <w:p w:rsidR="00092431" w:rsidRPr="005B1ADC" w:rsidRDefault="00092431" w:rsidP="00092431">
            <w:pPr>
              <w:tabs>
                <w:tab w:val="decimal" w:pos="222"/>
              </w:tabs>
              <w:jc w:val="left"/>
              <w:rPr>
                <w:sz w:val="14"/>
              </w:rPr>
            </w:pPr>
            <w:r w:rsidRPr="005B1ADC">
              <w:rPr>
                <w:sz w:val="14"/>
              </w:rPr>
              <w:t>-0.9</w:t>
            </w:r>
          </w:p>
        </w:tc>
        <w:tc>
          <w:tcPr>
            <w:tcW w:w="776" w:type="dxa"/>
            <w:vAlign w:val="bottom"/>
          </w:tcPr>
          <w:p w:rsidR="00092431" w:rsidRPr="005B1ADC" w:rsidRDefault="00092431" w:rsidP="00092431">
            <w:pPr>
              <w:tabs>
                <w:tab w:val="decimal" w:pos="422"/>
              </w:tabs>
              <w:jc w:val="left"/>
              <w:rPr>
                <w:sz w:val="14"/>
              </w:rPr>
            </w:pPr>
            <w:r w:rsidRPr="005B1ADC">
              <w:rPr>
                <w:sz w:val="14"/>
              </w:rPr>
              <w:t>2,044.5</w:t>
            </w:r>
          </w:p>
        </w:tc>
        <w:tc>
          <w:tcPr>
            <w:tcW w:w="675" w:type="dxa"/>
            <w:vAlign w:val="bottom"/>
          </w:tcPr>
          <w:p w:rsidR="00092431" w:rsidRPr="005B1ADC" w:rsidRDefault="00092431" w:rsidP="00092431">
            <w:pPr>
              <w:tabs>
                <w:tab w:val="decimal" w:pos="192"/>
              </w:tabs>
              <w:jc w:val="left"/>
              <w:rPr>
                <w:sz w:val="14"/>
              </w:rPr>
            </w:pPr>
            <w:r w:rsidRPr="005B1ADC">
              <w:rPr>
                <w:sz w:val="14"/>
              </w:rPr>
              <w:t>9.6</w:t>
            </w:r>
          </w:p>
        </w:tc>
        <w:tc>
          <w:tcPr>
            <w:tcW w:w="776" w:type="dxa"/>
            <w:vAlign w:val="bottom"/>
          </w:tcPr>
          <w:p w:rsidR="00092431" w:rsidRPr="005B1ADC" w:rsidRDefault="006F0A69" w:rsidP="00092431">
            <w:pPr>
              <w:tabs>
                <w:tab w:val="decimal" w:pos="411"/>
              </w:tabs>
              <w:jc w:val="left"/>
              <w:rPr>
                <w:sz w:val="14"/>
              </w:rPr>
            </w:pPr>
            <w:r>
              <w:rPr>
                <w:sz w:val="14"/>
              </w:rPr>
              <w:t>2,070.8</w:t>
            </w:r>
          </w:p>
        </w:tc>
        <w:tc>
          <w:tcPr>
            <w:tcW w:w="675" w:type="dxa"/>
            <w:vAlign w:val="bottom"/>
          </w:tcPr>
          <w:p w:rsidR="00092431" w:rsidRPr="005B1ADC" w:rsidRDefault="006F0A69" w:rsidP="00092431">
            <w:pPr>
              <w:tabs>
                <w:tab w:val="decimal" w:pos="189"/>
              </w:tabs>
              <w:jc w:val="left"/>
              <w:rPr>
                <w:sz w:val="14"/>
              </w:rPr>
            </w:pPr>
            <w:r>
              <w:rPr>
                <w:sz w:val="14"/>
              </w:rPr>
              <w:t>1.3</w:t>
            </w:r>
          </w:p>
        </w:tc>
        <w:tc>
          <w:tcPr>
            <w:tcW w:w="776" w:type="dxa"/>
            <w:vAlign w:val="bottom"/>
          </w:tcPr>
          <w:p w:rsidR="00092431" w:rsidRPr="005B1ADC" w:rsidRDefault="006F0A69" w:rsidP="00092431">
            <w:pPr>
              <w:tabs>
                <w:tab w:val="decimal" w:pos="411"/>
              </w:tabs>
              <w:jc w:val="left"/>
              <w:rPr>
                <w:sz w:val="14"/>
              </w:rPr>
            </w:pPr>
            <w:r>
              <w:rPr>
                <w:sz w:val="14"/>
              </w:rPr>
              <w:t>2,245.9</w:t>
            </w:r>
          </w:p>
        </w:tc>
        <w:tc>
          <w:tcPr>
            <w:tcW w:w="675" w:type="dxa"/>
            <w:vAlign w:val="bottom"/>
          </w:tcPr>
          <w:p w:rsidR="00092431" w:rsidRPr="005B1ADC" w:rsidRDefault="00BC40B9" w:rsidP="00092431">
            <w:pPr>
              <w:tabs>
                <w:tab w:val="decimal" w:pos="189"/>
              </w:tabs>
              <w:jc w:val="left"/>
              <w:rPr>
                <w:sz w:val="14"/>
              </w:rPr>
            </w:pPr>
            <w:r>
              <w:rPr>
                <w:sz w:val="14"/>
              </w:rPr>
              <w:t>8.5</w:t>
            </w:r>
          </w:p>
        </w:tc>
        <w:tc>
          <w:tcPr>
            <w:tcW w:w="755" w:type="dxa"/>
            <w:vAlign w:val="bottom"/>
          </w:tcPr>
          <w:p w:rsidR="00092431" w:rsidRPr="005B1ADC" w:rsidRDefault="001E391C" w:rsidP="00092431">
            <w:pPr>
              <w:tabs>
                <w:tab w:val="decimal" w:pos="418"/>
              </w:tabs>
              <w:jc w:val="left"/>
              <w:rPr>
                <w:sz w:val="14"/>
              </w:rPr>
            </w:pPr>
            <w:r>
              <w:rPr>
                <w:sz w:val="14"/>
              </w:rPr>
              <w:t>234.7</w:t>
            </w:r>
          </w:p>
        </w:tc>
        <w:tc>
          <w:tcPr>
            <w:tcW w:w="761" w:type="dxa"/>
            <w:vAlign w:val="bottom"/>
          </w:tcPr>
          <w:p w:rsidR="00092431" w:rsidRPr="005B1ADC" w:rsidRDefault="001E391C" w:rsidP="00092431">
            <w:pPr>
              <w:tabs>
                <w:tab w:val="decimal" w:pos="414"/>
              </w:tabs>
              <w:jc w:val="left"/>
              <w:rPr>
                <w:sz w:val="14"/>
              </w:rPr>
            </w:pPr>
            <w:r>
              <w:rPr>
                <w:sz w:val="14"/>
              </w:rPr>
              <w:t>247.9</w:t>
            </w:r>
          </w:p>
        </w:tc>
        <w:tc>
          <w:tcPr>
            <w:tcW w:w="675" w:type="dxa"/>
            <w:vAlign w:val="bottom"/>
          </w:tcPr>
          <w:p w:rsidR="00092431" w:rsidRPr="005B1ADC" w:rsidRDefault="00BC40B9" w:rsidP="00092431">
            <w:pPr>
              <w:tabs>
                <w:tab w:val="decimal" w:pos="187"/>
              </w:tabs>
              <w:ind w:right="-2"/>
              <w:jc w:val="left"/>
              <w:rPr>
                <w:sz w:val="14"/>
              </w:rPr>
            </w:pPr>
            <w:r>
              <w:rPr>
                <w:sz w:val="14"/>
              </w:rPr>
              <w:t>5.6</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Education</w:t>
            </w:r>
          </w:p>
        </w:tc>
        <w:tc>
          <w:tcPr>
            <w:tcW w:w="776" w:type="dxa"/>
            <w:vAlign w:val="bottom"/>
          </w:tcPr>
          <w:p w:rsidR="00092431" w:rsidRPr="005B1ADC" w:rsidRDefault="00092431" w:rsidP="00092431">
            <w:pPr>
              <w:tabs>
                <w:tab w:val="decimal" w:pos="448"/>
              </w:tabs>
              <w:jc w:val="left"/>
              <w:rPr>
                <w:sz w:val="14"/>
              </w:rPr>
            </w:pPr>
            <w:r w:rsidRPr="005B1ADC">
              <w:rPr>
                <w:sz w:val="14"/>
              </w:rPr>
              <w:t>487.1</w:t>
            </w:r>
          </w:p>
        </w:tc>
        <w:tc>
          <w:tcPr>
            <w:tcW w:w="678" w:type="dxa"/>
            <w:vAlign w:val="bottom"/>
          </w:tcPr>
          <w:p w:rsidR="00092431" w:rsidRPr="005B1ADC" w:rsidRDefault="00092431" w:rsidP="00092431">
            <w:pPr>
              <w:tabs>
                <w:tab w:val="decimal" w:pos="240"/>
              </w:tabs>
              <w:jc w:val="left"/>
              <w:rPr>
                <w:sz w:val="14"/>
              </w:rPr>
            </w:pPr>
            <w:r w:rsidRPr="005B1ADC">
              <w:rPr>
                <w:sz w:val="14"/>
              </w:rPr>
              <w:t>1.5</w:t>
            </w:r>
          </w:p>
        </w:tc>
        <w:tc>
          <w:tcPr>
            <w:tcW w:w="776" w:type="dxa"/>
            <w:vAlign w:val="bottom"/>
          </w:tcPr>
          <w:p w:rsidR="00092431" w:rsidRPr="005B1ADC" w:rsidRDefault="00092431" w:rsidP="00092431">
            <w:pPr>
              <w:tabs>
                <w:tab w:val="decimal" w:pos="433"/>
              </w:tabs>
              <w:jc w:val="left"/>
              <w:rPr>
                <w:sz w:val="14"/>
              </w:rPr>
            </w:pPr>
            <w:r w:rsidRPr="005B1ADC">
              <w:rPr>
                <w:sz w:val="14"/>
              </w:rPr>
              <w:t>490.8</w:t>
            </w:r>
          </w:p>
        </w:tc>
        <w:tc>
          <w:tcPr>
            <w:tcW w:w="676" w:type="dxa"/>
            <w:vAlign w:val="bottom"/>
          </w:tcPr>
          <w:p w:rsidR="00092431" w:rsidRPr="005B1ADC" w:rsidRDefault="00092431" w:rsidP="00092431">
            <w:pPr>
              <w:tabs>
                <w:tab w:val="decimal" w:pos="222"/>
              </w:tabs>
              <w:jc w:val="left"/>
              <w:rPr>
                <w:sz w:val="14"/>
              </w:rPr>
            </w:pPr>
            <w:r w:rsidRPr="005B1ADC">
              <w:rPr>
                <w:sz w:val="14"/>
              </w:rPr>
              <w:t>0.8</w:t>
            </w:r>
          </w:p>
        </w:tc>
        <w:tc>
          <w:tcPr>
            <w:tcW w:w="776" w:type="dxa"/>
            <w:vAlign w:val="bottom"/>
          </w:tcPr>
          <w:p w:rsidR="00092431" w:rsidRPr="005B1ADC" w:rsidRDefault="00092431" w:rsidP="00092431">
            <w:pPr>
              <w:tabs>
                <w:tab w:val="decimal" w:pos="422"/>
              </w:tabs>
              <w:jc w:val="left"/>
              <w:rPr>
                <w:sz w:val="14"/>
              </w:rPr>
            </w:pPr>
            <w:r w:rsidRPr="005B1ADC">
              <w:rPr>
                <w:sz w:val="14"/>
              </w:rPr>
              <w:t>478.1</w:t>
            </w:r>
          </w:p>
        </w:tc>
        <w:tc>
          <w:tcPr>
            <w:tcW w:w="675" w:type="dxa"/>
            <w:vAlign w:val="bottom"/>
          </w:tcPr>
          <w:p w:rsidR="00092431" w:rsidRPr="005B1ADC" w:rsidRDefault="00092431" w:rsidP="00092431">
            <w:pPr>
              <w:tabs>
                <w:tab w:val="decimal" w:pos="192"/>
              </w:tabs>
              <w:jc w:val="left"/>
              <w:rPr>
                <w:sz w:val="14"/>
              </w:rPr>
            </w:pPr>
            <w:r w:rsidRPr="005B1ADC">
              <w:rPr>
                <w:sz w:val="14"/>
              </w:rPr>
              <w:t>-2.6</w:t>
            </w:r>
          </w:p>
        </w:tc>
        <w:tc>
          <w:tcPr>
            <w:tcW w:w="776" w:type="dxa"/>
            <w:vAlign w:val="bottom"/>
          </w:tcPr>
          <w:p w:rsidR="00092431" w:rsidRPr="005B1ADC" w:rsidRDefault="006F0A69" w:rsidP="00092431">
            <w:pPr>
              <w:tabs>
                <w:tab w:val="decimal" w:pos="411"/>
              </w:tabs>
              <w:jc w:val="left"/>
              <w:rPr>
                <w:sz w:val="14"/>
              </w:rPr>
            </w:pPr>
            <w:r>
              <w:rPr>
                <w:sz w:val="14"/>
              </w:rPr>
              <w:t>481.6</w:t>
            </w:r>
          </w:p>
        </w:tc>
        <w:tc>
          <w:tcPr>
            <w:tcW w:w="675" w:type="dxa"/>
            <w:vAlign w:val="bottom"/>
          </w:tcPr>
          <w:p w:rsidR="00092431" w:rsidRPr="005B1ADC" w:rsidRDefault="006F0A69" w:rsidP="00092431">
            <w:pPr>
              <w:tabs>
                <w:tab w:val="decimal" w:pos="189"/>
              </w:tabs>
              <w:jc w:val="left"/>
              <w:rPr>
                <w:sz w:val="14"/>
              </w:rPr>
            </w:pPr>
            <w:r>
              <w:rPr>
                <w:sz w:val="14"/>
              </w:rPr>
              <w:t>0.7</w:t>
            </w:r>
          </w:p>
        </w:tc>
        <w:tc>
          <w:tcPr>
            <w:tcW w:w="776" w:type="dxa"/>
            <w:vAlign w:val="bottom"/>
          </w:tcPr>
          <w:p w:rsidR="00092431" w:rsidRPr="005B1ADC" w:rsidRDefault="006F0A69" w:rsidP="00092431">
            <w:pPr>
              <w:tabs>
                <w:tab w:val="decimal" w:pos="411"/>
              </w:tabs>
              <w:jc w:val="left"/>
              <w:rPr>
                <w:sz w:val="14"/>
              </w:rPr>
            </w:pPr>
            <w:r>
              <w:rPr>
                <w:sz w:val="14"/>
              </w:rPr>
              <w:t>490.5</w:t>
            </w:r>
          </w:p>
        </w:tc>
        <w:tc>
          <w:tcPr>
            <w:tcW w:w="675" w:type="dxa"/>
            <w:vAlign w:val="bottom"/>
          </w:tcPr>
          <w:p w:rsidR="00092431" w:rsidRPr="005B1ADC" w:rsidRDefault="00BC40B9" w:rsidP="00092431">
            <w:pPr>
              <w:tabs>
                <w:tab w:val="decimal" w:pos="189"/>
              </w:tabs>
              <w:jc w:val="left"/>
              <w:rPr>
                <w:sz w:val="14"/>
              </w:rPr>
            </w:pPr>
            <w:r>
              <w:rPr>
                <w:sz w:val="14"/>
              </w:rPr>
              <w:t>1.9</w:t>
            </w:r>
          </w:p>
        </w:tc>
        <w:tc>
          <w:tcPr>
            <w:tcW w:w="755" w:type="dxa"/>
            <w:vAlign w:val="bottom"/>
          </w:tcPr>
          <w:p w:rsidR="00092431" w:rsidRPr="005B1ADC" w:rsidRDefault="001E391C" w:rsidP="00092431">
            <w:pPr>
              <w:tabs>
                <w:tab w:val="decimal" w:pos="418"/>
              </w:tabs>
              <w:jc w:val="left"/>
              <w:rPr>
                <w:sz w:val="14"/>
              </w:rPr>
            </w:pPr>
            <w:r>
              <w:rPr>
                <w:sz w:val="14"/>
              </w:rPr>
              <w:t>62.6</w:t>
            </w:r>
          </w:p>
        </w:tc>
        <w:tc>
          <w:tcPr>
            <w:tcW w:w="761" w:type="dxa"/>
            <w:vAlign w:val="bottom"/>
          </w:tcPr>
          <w:p w:rsidR="00092431" w:rsidRPr="005B1ADC" w:rsidRDefault="001E391C" w:rsidP="00092431">
            <w:pPr>
              <w:tabs>
                <w:tab w:val="decimal" w:pos="414"/>
              </w:tabs>
              <w:jc w:val="left"/>
              <w:rPr>
                <w:sz w:val="14"/>
              </w:rPr>
            </w:pPr>
            <w:r>
              <w:rPr>
                <w:sz w:val="14"/>
              </w:rPr>
              <w:t>60.8</w:t>
            </w:r>
          </w:p>
        </w:tc>
        <w:tc>
          <w:tcPr>
            <w:tcW w:w="675" w:type="dxa"/>
            <w:vAlign w:val="bottom"/>
          </w:tcPr>
          <w:p w:rsidR="00092431" w:rsidRPr="005B1ADC" w:rsidRDefault="00BC40B9" w:rsidP="00092431">
            <w:pPr>
              <w:tabs>
                <w:tab w:val="decimal" w:pos="187"/>
              </w:tabs>
              <w:ind w:right="-2"/>
              <w:jc w:val="left"/>
              <w:rPr>
                <w:sz w:val="14"/>
              </w:rPr>
            </w:pPr>
            <w:r>
              <w:rPr>
                <w:sz w:val="14"/>
              </w:rPr>
              <w:t>-2.9</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Health Care/Social Assistance</w:t>
            </w:r>
          </w:p>
        </w:tc>
        <w:tc>
          <w:tcPr>
            <w:tcW w:w="776" w:type="dxa"/>
            <w:vAlign w:val="bottom"/>
          </w:tcPr>
          <w:p w:rsidR="00092431" w:rsidRPr="005B1ADC" w:rsidRDefault="00092431" w:rsidP="00092431">
            <w:pPr>
              <w:tabs>
                <w:tab w:val="decimal" w:pos="448"/>
              </w:tabs>
              <w:jc w:val="left"/>
              <w:rPr>
                <w:sz w:val="14"/>
              </w:rPr>
            </w:pPr>
            <w:r w:rsidRPr="005B1ADC">
              <w:rPr>
                <w:sz w:val="14"/>
              </w:rPr>
              <w:t>6,222.6</w:t>
            </w:r>
          </w:p>
        </w:tc>
        <w:tc>
          <w:tcPr>
            <w:tcW w:w="678" w:type="dxa"/>
            <w:vAlign w:val="bottom"/>
          </w:tcPr>
          <w:p w:rsidR="00092431" w:rsidRPr="005B1ADC" w:rsidRDefault="00092431" w:rsidP="00092431">
            <w:pPr>
              <w:tabs>
                <w:tab w:val="decimal" w:pos="240"/>
              </w:tabs>
              <w:jc w:val="left"/>
              <w:rPr>
                <w:sz w:val="14"/>
              </w:rPr>
            </w:pPr>
            <w:r w:rsidRPr="005B1ADC">
              <w:rPr>
                <w:sz w:val="14"/>
              </w:rPr>
              <w:t>3.7</w:t>
            </w:r>
          </w:p>
        </w:tc>
        <w:tc>
          <w:tcPr>
            <w:tcW w:w="776" w:type="dxa"/>
            <w:vAlign w:val="bottom"/>
          </w:tcPr>
          <w:p w:rsidR="00092431" w:rsidRPr="005B1ADC" w:rsidRDefault="00092431" w:rsidP="00092431">
            <w:pPr>
              <w:tabs>
                <w:tab w:val="decimal" w:pos="433"/>
              </w:tabs>
              <w:jc w:val="left"/>
              <w:rPr>
                <w:sz w:val="14"/>
              </w:rPr>
            </w:pPr>
            <w:r w:rsidRPr="005B1ADC">
              <w:rPr>
                <w:sz w:val="14"/>
              </w:rPr>
              <w:t>6,318.5</w:t>
            </w:r>
          </w:p>
        </w:tc>
        <w:tc>
          <w:tcPr>
            <w:tcW w:w="676" w:type="dxa"/>
            <w:vAlign w:val="bottom"/>
          </w:tcPr>
          <w:p w:rsidR="00092431" w:rsidRPr="005B1ADC" w:rsidRDefault="00092431" w:rsidP="00092431">
            <w:pPr>
              <w:tabs>
                <w:tab w:val="decimal" w:pos="222"/>
              </w:tabs>
              <w:jc w:val="left"/>
              <w:rPr>
                <w:sz w:val="14"/>
              </w:rPr>
            </w:pPr>
            <w:r w:rsidRPr="005B1ADC">
              <w:rPr>
                <w:sz w:val="14"/>
              </w:rPr>
              <w:t>1.5</w:t>
            </w:r>
          </w:p>
        </w:tc>
        <w:tc>
          <w:tcPr>
            <w:tcW w:w="776" w:type="dxa"/>
            <w:vAlign w:val="bottom"/>
          </w:tcPr>
          <w:p w:rsidR="00092431" w:rsidRPr="005B1ADC" w:rsidRDefault="00092431" w:rsidP="00092431">
            <w:pPr>
              <w:tabs>
                <w:tab w:val="decimal" w:pos="422"/>
              </w:tabs>
              <w:jc w:val="left"/>
              <w:rPr>
                <w:sz w:val="14"/>
              </w:rPr>
            </w:pPr>
            <w:r w:rsidRPr="005B1ADC">
              <w:rPr>
                <w:sz w:val="14"/>
              </w:rPr>
              <w:t>6,827.2</w:t>
            </w:r>
          </w:p>
        </w:tc>
        <w:tc>
          <w:tcPr>
            <w:tcW w:w="675" w:type="dxa"/>
            <w:vAlign w:val="bottom"/>
          </w:tcPr>
          <w:p w:rsidR="00092431" w:rsidRPr="005B1ADC" w:rsidRDefault="00092431" w:rsidP="00092431">
            <w:pPr>
              <w:tabs>
                <w:tab w:val="decimal" w:pos="192"/>
              </w:tabs>
              <w:jc w:val="left"/>
              <w:rPr>
                <w:sz w:val="14"/>
              </w:rPr>
            </w:pPr>
            <w:r w:rsidRPr="005B1ADC">
              <w:rPr>
                <w:sz w:val="14"/>
              </w:rPr>
              <w:t>8.1</w:t>
            </w:r>
          </w:p>
        </w:tc>
        <w:tc>
          <w:tcPr>
            <w:tcW w:w="776" w:type="dxa"/>
            <w:vAlign w:val="bottom"/>
          </w:tcPr>
          <w:p w:rsidR="00092431" w:rsidRPr="005B1ADC" w:rsidRDefault="006F0A69" w:rsidP="00092431">
            <w:pPr>
              <w:tabs>
                <w:tab w:val="decimal" w:pos="411"/>
              </w:tabs>
              <w:jc w:val="left"/>
              <w:rPr>
                <w:sz w:val="14"/>
              </w:rPr>
            </w:pPr>
            <w:r>
              <w:rPr>
                <w:sz w:val="14"/>
              </w:rPr>
              <w:t>7,240.1</w:t>
            </w:r>
          </w:p>
        </w:tc>
        <w:tc>
          <w:tcPr>
            <w:tcW w:w="675" w:type="dxa"/>
            <w:vAlign w:val="bottom"/>
          </w:tcPr>
          <w:p w:rsidR="00092431" w:rsidRPr="005B1ADC" w:rsidRDefault="006F0A69" w:rsidP="00092431">
            <w:pPr>
              <w:tabs>
                <w:tab w:val="decimal" w:pos="189"/>
              </w:tabs>
              <w:jc w:val="left"/>
              <w:rPr>
                <w:sz w:val="14"/>
              </w:rPr>
            </w:pPr>
            <w:r>
              <w:rPr>
                <w:sz w:val="14"/>
              </w:rPr>
              <w:t>6.0</w:t>
            </w:r>
          </w:p>
        </w:tc>
        <w:tc>
          <w:tcPr>
            <w:tcW w:w="776" w:type="dxa"/>
            <w:vAlign w:val="bottom"/>
          </w:tcPr>
          <w:p w:rsidR="00092431" w:rsidRPr="005B1ADC" w:rsidRDefault="00BC40B9" w:rsidP="00092431">
            <w:pPr>
              <w:tabs>
                <w:tab w:val="decimal" w:pos="411"/>
              </w:tabs>
              <w:jc w:val="left"/>
              <w:rPr>
                <w:sz w:val="14"/>
              </w:rPr>
            </w:pPr>
            <w:r>
              <w:rPr>
                <w:sz w:val="14"/>
              </w:rPr>
              <w:t>6,896.1</w:t>
            </w:r>
          </w:p>
        </w:tc>
        <w:tc>
          <w:tcPr>
            <w:tcW w:w="675" w:type="dxa"/>
            <w:vAlign w:val="bottom"/>
          </w:tcPr>
          <w:p w:rsidR="00092431" w:rsidRPr="005B1ADC" w:rsidRDefault="00BC40B9" w:rsidP="00092431">
            <w:pPr>
              <w:tabs>
                <w:tab w:val="decimal" w:pos="189"/>
              </w:tabs>
              <w:jc w:val="left"/>
              <w:rPr>
                <w:sz w:val="14"/>
              </w:rPr>
            </w:pPr>
            <w:r>
              <w:rPr>
                <w:sz w:val="14"/>
              </w:rPr>
              <w:t>-4.8</w:t>
            </w:r>
          </w:p>
        </w:tc>
        <w:tc>
          <w:tcPr>
            <w:tcW w:w="755" w:type="dxa"/>
            <w:vAlign w:val="bottom"/>
          </w:tcPr>
          <w:p w:rsidR="00092431" w:rsidRPr="005B1ADC" w:rsidRDefault="001E391C" w:rsidP="00092431">
            <w:pPr>
              <w:tabs>
                <w:tab w:val="decimal" w:pos="418"/>
              </w:tabs>
              <w:jc w:val="left"/>
              <w:rPr>
                <w:sz w:val="14"/>
              </w:rPr>
            </w:pPr>
            <w:r>
              <w:rPr>
                <w:sz w:val="14"/>
              </w:rPr>
              <w:t>1,099.5</w:t>
            </w:r>
          </w:p>
        </w:tc>
        <w:tc>
          <w:tcPr>
            <w:tcW w:w="761" w:type="dxa"/>
            <w:vAlign w:val="bottom"/>
          </w:tcPr>
          <w:p w:rsidR="00092431" w:rsidRPr="005B1ADC" w:rsidRDefault="001E391C" w:rsidP="00092431">
            <w:pPr>
              <w:tabs>
                <w:tab w:val="decimal" w:pos="414"/>
              </w:tabs>
              <w:jc w:val="left"/>
              <w:rPr>
                <w:sz w:val="14"/>
              </w:rPr>
            </w:pPr>
            <w:r>
              <w:rPr>
                <w:sz w:val="14"/>
              </w:rPr>
              <w:t>902.8</w:t>
            </w:r>
          </w:p>
        </w:tc>
        <w:tc>
          <w:tcPr>
            <w:tcW w:w="675" w:type="dxa"/>
            <w:vAlign w:val="bottom"/>
          </w:tcPr>
          <w:p w:rsidR="00092431" w:rsidRPr="005B1ADC" w:rsidRDefault="00BC40B9" w:rsidP="00092431">
            <w:pPr>
              <w:tabs>
                <w:tab w:val="decimal" w:pos="187"/>
              </w:tabs>
              <w:ind w:right="-2"/>
              <w:jc w:val="left"/>
              <w:rPr>
                <w:sz w:val="14"/>
              </w:rPr>
            </w:pPr>
            <w:r>
              <w:rPr>
                <w:sz w:val="14"/>
              </w:rPr>
              <w:t>-17.9</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Arts/Entertainment/Recreation</w:t>
            </w:r>
          </w:p>
        </w:tc>
        <w:tc>
          <w:tcPr>
            <w:tcW w:w="776" w:type="dxa"/>
            <w:vAlign w:val="bottom"/>
          </w:tcPr>
          <w:p w:rsidR="00092431" w:rsidRPr="005B1ADC" w:rsidRDefault="00092431" w:rsidP="00092431">
            <w:pPr>
              <w:tabs>
                <w:tab w:val="decimal" w:pos="448"/>
              </w:tabs>
              <w:jc w:val="left"/>
              <w:rPr>
                <w:sz w:val="14"/>
              </w:rPr>
            </w:pPr>
            <w:r w:rsidRPr="005B1ADC">
              <w:rPr>
                <w:sz w:val="14"/>
              </w:rPr>
              <w:t>987.2</w:t>
            </w:r>
          </w:p>
        </w:tc>
        <w:tc>
          <w:tcPr>
            <w:tcW w:w="678" w:type="dxa"/>
            <w:vAlign w:val="bottom"/>
          </w:tcPr>
          <w:p w:rsidR="00092431" w:rsidRPr="005B1ADC" w:rsidRDefault="00092431" w:rsidP="00092431">
            <w:pPr>
              <w:tabs>
                <w:tab w:val="decimal" w:pos="240"/>
              </w:tabs>
              <w:jc w:val="left"/>
              <w:rPr>
                <w:sz w:val="14"/>
              </w:rPr>
            </w:pPr>
            <w:r w:rsidRPr="005B1ADC">
              <w:rPr>
                <w:sz w:val="14"/>
              </w:rPr>
              <w:t>3.3</w:t>
            </w:r>
          </w:p>
        </w:tc>
        <w:tc>
          <w:tcPr>
            <w:tcW w:w="776" w:type="dxa"/>
            <w:vAlign w:val="bottom"/>
          </w:tcPr>
          <w:p w:rsidR="00092431" w:rsidRPr="005B1ADC" w:rsidRDefault="00092431" w:rsidP="00092431">
            <w:pPr>
              <w:tabs>
                <w:tab w:val="decimal" w:pos="433"/>
              </w:tabs>
              <w:jc w:val="left"/>
              <w:rPr>
                <w:sz w:val="14"/>
              </w:rPr>
            </w:pPr>
            <w:r w:rsidRPr="005B1ADC">
              <w:rPr>
                <w:sz w:val="14"/>
              </w:rPr>
              <w:t>1,036.6</w:t>
            </w:r>
          </w:p>
        </w:tc>
        <w:tc>
          <w:tcPr>
            <w:tcW w:w="676" w:type="dxa"/>
            <w:vAlign w:val="bottom"/>
          </w:tcPr>
          <w:p w:rsidR="00092431" w:rsidRPr="005B1ADC" w:rsidRDefault="00092431" w:rsidP="00092431">
            <w:pPr>
              <w:tabs>
                <w:tab w:val="decimal" w:pos="222"/>
              </w:tabs>
              <w:jc w:val="left"/>
              <w:rPr>
                <w:sz w:val="14"/>
              </w:rPr>
            </w:pPr>
            <w:r w:rsidRPr="005B1ADC">
              <w:rPr>
                <w:sz w:val="14"/>
              </w:rPr>
              <w:t>5.0</w:t>
            </w:r>
          </w:p>
        </w:tc>
        <w:tc>
          <w:tcPr>
            <w:tcW w:w="776" w:type="dxa"/>
            <w:vAlign w:val="bottom"/>
          </w:tcPr>
          <w:p w:rsidR="00092431" w:rsidRPr="005B1ADC" w:rsidRDefault="00092431" w:rsidP="00092431">
            <w:pPr>
              <w:tabs>
                <w:tab w:val="decimal" w:pos="422"/>
              </w:tabs>
              <w:jc w:val="left"/>
              <w:rPr>
                <w:sz w:val="14"/>
              </w:rPr>
            </w:pPr>
            <w:r w:rsidRPr="005B1ADC">
              <w:rPr>
                <w:sz w:val="14"/>
              </w:rPr>
              <w:t>1,104.4</w:t>
            </w:r>
          </w:p>
        </w:tc>
        <w:tc>
          <w:tcPr>
            <w:tcW w:w="675" w:type="dxa"/>
            <w:vAlign w:val="bottom"/>
          </w:tcPr>
          <w:p w:rsidR="00092431" w:rsidRPr="005B1ADC" w:rsidRDefault="00092431" w:rsidP="00092431">
            <w:pPr>
              <w:tabs>
                <w:tab w:val="decimal" w:pos="192"/>
              </w:tabs>
              <w:jc w:val="left"/>
              <w:rPr>
                <w:sz w:val="14"/>
              </w:rPr>
            </w:pPr>
            <w:r w:rsidRPr="005B1ADC">
              <w:rPr>
                <w:sz w:val="14"/>
              </w:rPr>
              <w:t>6.5</w:t>
            </w:r>
          </w:p>
        </w:tc>
        <w:tc>
          <w:tcPr>
            <w:tcW w:w="776" w:type="dxa"/>
            <w:vAlign w:val="bottom"/>
          </w:tcPr>
          <w:p w:rsidR="00092431" w:rsidRPr="005B1ADC" w:rsidRDefault="006F0A69" w:rsidP="00092431">
            <w:pPr>
              <w:tabs>
                <w:tab w:val="decimal" w:pos="411"/>
              </w:tabs>
              <w:jc w:val="left"/>
              <w:rPr>
                <w:sz w:val="14"/>
              </w:rPr>
            </w:pPr>
            <w:r>
              <w:rPr>
                <w:sz w:val="14"/>
              </w:rPr>
              <w:t>1,169.9</w:t>
            </w:r>
          </w:p>
        </w:tc>
        <w:tc>
          <w:tcPr>
            <w:tcW w:w="675" w:type="dxa"/>
            <w:vAlign w:val="bottom"/>
          </w:tcPr>
          <w:p w:rsidR="00092431" w:rsidRPr="005B1ADC" w:rsidRDefault="006F0A69" w:rsidP="00092431">
            <w:pPr>
              <w:tabs>
                <w:tab w:val="decimal" w:pos="189"/>
              </w:tabs>
              <w:jc w:val="left"/>
              <w:rPr>
                <w:sz w:val="14"/>
              </w:rPr>
            </w:pPr>
            <w:r>
              <w:rPr>
                <w:sz w:val="14"/>
              </w:rPr>
              <w:t>5.9</w:t>
            </w:r>
          </w:p>
        </w:tc>
        <w:tc>
          <w:tcPr>
            <w:tcW w:w="776" w:type="dxa"/>
            <w:vAlign w:val="bottom"/>
          </w:tcPr>
          <w:p w:rsidR="00092431" w:rsidRPr="005B1ADC" w:rsidRDefault="00BC40B9" w:rsidP="00092431">
            <w:pPr>
              <w:tabs>
                <w:tab w:val="decimal" w:pos="411"/>
              </w:tabs>
              <w:jc w:val="left"/>
              <w:rPr>
                <w:sz w:val="14"/>
              </w:rPr>
            </w:pPr>
            <w:r>
              <w:rPr>
                <w:sz w:val="14"/>
              </w:rPr>
              <w:t>1,337.8</w:t>
            </w:r>
          </w:p>
        </w:tc>
        <w:tc>
          <w:tcPr>
            <w:tcW w:w="675" w:type="dxa"/>
            <w:vAlign w:val="bottom"/>
          </w:tcPr>
          <w:p w:rsidR="00092431" w:rsidRPr="005B1ADC" w:rsidRDefault="00BC40B9" w:rsidP="00092431">
            <w:pPr>
              <w:tabs>
                <w:tab w:val="decimal" w:pos="189"/>
              </w:tabs>
              <w:jc w:val="left"/>
              <w:rPr>
                <w:sz w:val="14"/>
              </w:rPr>
            </w:pPr>
            <w:r>
              <w:rPr>
                <w:sz w:val="14"/>
              </w:rPr>
              <w:t>14.4</w:t>
            </w:r>
          </w:p>
        </w:tc>
        <w:tc>
          <w:tcPr>
            <w:tcW w:w="755" w:type="dxa"/>
            <w:vAlign w:val="bottom"/>
          </w:tcPr>
          <w:p w:rsidR="00092431" w:rsidRPr="005B1ADC" w:rsidRDefault="001E391C" w:rsidP="00092431">
            <w:pPr>
              <w:tabs>
                <w:tab w:val="decimal" w:pos="418"/>
              </w:tabs>
              <w:jc w:val="left"/>
              <w:rPr>
                <w:sz w:val="14"/>
              </w:rPr>
            </w:pPr>
            <w:r>
              <w:rPr>
                <w:sz w:val="14"/>
              </w:rPr>
              <w:t>184.4</w:t>
            </w:r>
          </w:p>
        </w:tc>
        <w:tc>
          <w:tcPr>
            <w:tcW w:w="761" w:type="dxa"/>
            <w:vAlign w:val="bottom"/>
          </w:tcPr>
          <w:p w:rsidR="00092431" w:rsidRPr="005B1ADC" w:rsidRDefault="001E391C" w:rsidP="00092431">
            <w:pPr>
              <w:tabs>
                <w:tab w:val="decimal" w:pos="414"/>
              </w:tabs>
              <w:jc w:val="left"/>
              <w:rPr>
                <w:sz w:val="14"/>
              </w:rPr>
            </w:pPr>
            <w:r>
              <w:rPr>
                <w:sz w:val="14"/>
              </w:rPr>
              <w:t>206.2</w:t>
            </w:r>
          </w:p>
        </w:tc>
        <w:tc>
          <w:tcPr>
            <w:tcW w:w="675" w:type="dxa"/>
            <w:vAlign w:val="bottom"/>
          </w:tcPr>
          <w:p w:rsidR="00092431" w:rsidRPr="005B1ADC" w:rsidRDefault="00BC40B9" w:rsidP="00092431">
            <w:pPr>
              <w:tabs>
                <w:tab w:val="decimal" w:pos="187"/>
              </w:tabs>
              <w:ind w:right="-2"/>
              <w:jc w:val="left"/>
              <w:rPr>
                <w:sz w:val="14"/>
              </w:rPr>
            </w:pPr>
            <w:r>
              <w:rPr>
                <w:sz w:val="14"/>
              </w:rPr>
              <w:t>11.8</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Accommodation</w:t>
            </w:r>
          </w:p>
        </w:tc>
        <w:tc>
          <w:tcPr>
            <w:tcW w:w="776" w:type="dxa"/>
            <w:vAlign w:val="bottom"/>
          </w:tcPr>
          <w:p w:rsidR="00092431" w:rsidRPr="005B1ADC" w:rsidRDefault="00092431" w:rsidP="00092431">
            <w:pPr>
              <w:tabs>
                <w:tab w:val="decimal" w:pos="448"/>
              </w:tabs>
              <w:jc w:val="left"/>
              <w:rPr>
                <w:sz w:val="14"/>
              </w:rPr>
            </w:pPr>
            <w:r w:rsidRPr="005B1ADC">
              <w:rPr>
                <w:sz w:val="14"/>
              </w:rPr>
              <w:t>3,014.9</w:t>
            </w:r>
          </w:p>
        </w:tc>
        <w:tc>
          <w:tcPr>
            <w:tcW w:w="678" w:type="dxa"/>
            <w:vAlign w:val="bottom"/>
          </w:tcPr>
          <w:p w:rsidR="00092431" w:rsidRPr="005B1ADC" w:rsidRDefault="00092431" w:rsidP="00092431">
            <w:pPr>
              <w:tabs>
                <w:tab w:val="decimal" w:pos="240"/>
              </w:tabs>
              <w:jc w:val="left"/>
              <w:rPr>
                <w:sz w:val="14"/>
              </w:rPr>
            </w:pPr>
            <w:r w:rsidRPr="005B1ADC">
              <w:rPr>
                <w:sz w:val="14"/>
              </w:rPr>
              <w:t>10.9</w:t>
            </w:r>
          </w:p>
        </w:tc>
        <w:tc>
          <w:tcPr>
            <w:tcW w:w="776" w:type="dxa"/>
            <w:vAlign w:val="bottom"/>
          </w:tcPr>
          <w:p w:rsidR="00092431" w:rsidRPr="005B1ADC" w:rsidRDefault="00092431" w:rsidP="00092431">
            <w:pPr>
              <w:tabs>
                <w:tab w:val="decimal" w:pos="433"/>
              </w:tabs>
              <w:jc w:val="left"/>
              <w:rPr>
                <w:sz w:val="14"/>
              </w:rPr>
            </w:pPr>
            <w:r w:rsidRPr="005B1ADC">
              <w:rPr>
                <w:sz w:val="14"/>
              </w:rPr>
              <w:t>3,199.2</w:t>
            </w:r>
          </w:p>
        </w:tc>
        <w:tc>
          <w:tcPr>
            <w:tcW w:w="676" w:type="dxa"/>
            <w:vAlign w:val="bottom"/>
          </w:tcPr>
          <w:p w:rsidR="00092431" w:rsidRPr="005B1ADC" w:rsidRDefault="00092431" w:rsidP="00092431">
            <w:pPr>
              <w:tabs>
                <w:tab w:val="decimal" w:pos="222"/>
              </w:tabs>
              <w:jc w:val="left"/>
              <w:rPr>
                <w:sz w:val="14"/>
              </w:rPr>
            </w:pPr>
            <w:r w:rsidRPr="005B1ADC">
              <w:rPr>
                <w:sz w:val="14"/>
              </w:rPr>
              <w:t>6.1</w:t>
            </w:r>
          </w:p>
        </w:tc>
        <w:tc>
          <w:tcPr>
            <w:tcW w:w="776" w:type="dxa"/>
            <w:vAlign w:val="bottom"/>
          </w:tcPr>
          <w:p w:rsidR="00092431" w:rsidRPr="005B1ADC" w:rsidRDefault="00092431" w:rsidP="00092431">
            <w:pPr>
              <w:tabs>
                <w:tab w:val="decimal" w:pos="422"/>
              </w:tabs>
              <w:jc w:val="left"/>
              <w:rPr>
                <w:sz w:val="14"/>
              </w:rPr>
            </w:pPr>
            <w:r w:rsidRPr="005B1ADC">
              <w:rPr>
                <w:sz w:val="14"/>
              </w:rPr>
              <w:t>3,375.6</w:t>
            </w:r>
          </w:p>
        </w:tc>
        <w:tc>
          <w:tcPr>
            <w:tcW w:w="675" w:type="dxa"/>
            <w:vAlign w:val="bottom"/>
          </w:tcPr>
          <w:p w:rsidR="00092431" w:rsidRPr="005B1ADC" w:rsidRDefault="00092431" w:rsidP="00092431">
            <w:pPr>
              <w:tabs>
                <w:tab w:val="decimal" w:pos="192"/>
              </w:tabs>
              <w:jc w:val="left"/>
              <w:rPr>
                <w:sz w:val="14"/>
              </w:rPr>
            </w:pPr>
            <w:r w:rsidRPr="005B1ADC">
              <w:rPr>
                <w:sz w:val="14"/>
              </w:rPr>
              <w:t>5.5</w:t>
            </w:r>
          </w:p>
        </w:tc>
        <w:tc>
          <w:tcPr>
            <w:tcW w:w="776" w:type="dxa"/>
            <w:vAlign w:val="bottom"/>
          </w:tcPr>
          <w:p w:rsidR="00092431" w:rsidRPr="005B1ADC" w:rsidRDefault="006F0A69" w:rsidP="00092431">
            <w:pPr>
              <w:tabs>
                <w:tab w:val="decimal" w:pos="411"/>
              </w:tabs>
              <w:jc w:val="left"/>
              <w:rPr>
                <w:sz w:val="14"/>
              </w:rPr>
            </w:pPr>
            <w:r>
              <w:rPr>
                <w:sz w:val="14"/>
              </w:rPr>
              <w:t>3,747.8</w:t>
            </w:r>
          </w:p>
        </w:tc>
        <w:tc>
          <w:tcPr>
            <w:tcW w:w="675" w:type="dxa"/>
            <w:vAlign w:val="bottom"/>
          </w:tcPr>
          <w:p w:rsidR="00092431" w:rsidRPr="005B1ADC" w:rsidRDefault="006F0A69" w:rsidP="00092431">
            <w:pPr>
              <w:tabs>
                <w:tab w:val="decimal" w:pos="189"/>
              </w:tabs>
              <w:jc w:val="left"/>
              <w:rPr>
                <w:sz w:val="14"/>
              </w:rPr>
            </w:pPr>
            <w:r>
              <w:rPr>
                <w:sz w:val="14"/>
              </w:rPr>
              <w:t>11.0</w:t>
            </w:r>
          </w:p>
        </w:tc>
        <w:tc>
          <w:tcPr>
            <w:tcW w:w="776" w:type="dxa"/>
            <w:vAlign w:val="bottom"/>
          </w:tcPr>
          <w:p w:rsidR="00092431" w:rsidRPr="005B1ADC" w:rsidRDefault="00BC40B9" w:rsidP="00092431">
            <w:pPr>
              <w:tabs>
                <w:tab w:val="decimal" w:pos="411"/>
              </w:tabs>
              <w:jc w:val="left"/>
              <w:rPr>
                <w:sz w:val="14"/>
              </w:rPr>
            </w:pPr>
            <w:r>
              <w:rPr>
                <w:sz w:val="14"/>
              </w:rPr>
              <w:t>4,043.4</w:t>
            </w:r>
          </w:p>
        </w:tc>
        <w:tc>
          <w:tcPr>
            <w:tcW w:w="675" w:type="dxa"/>
            <w:vAlign w:val="bottom"/>
          </w:tcPr>
          <w:p w:rsidR="00092431" w:rsidRPr="005B1ADC" w:rsidRDefault="00BC40B9" w:rsidP="00092431">
            <w:pPr>
              <w:tabs>
                <w:tab w:val="decimal" w:pos="189"/>
              </w:tabs>
              <w:jc w:val="left"/>
              <w:rPr>
                <w:sz w:val="14"/>
              </w:rPr>
            </w:pPr>
            <w:r>
              <w:rPr>
                <w:sz w:val="14"/>
              </w:rPr>
              <w:t>7.9</w:t>
            </w:r>
          </w:p>
        </w:tc>
        <w:tc>
          <w:tcPr>
            <w:tcW w:w="755" w:type="dxa"/>
            <w:vAlign w:val="bottom"/>
          </w:tcPr>
          <w:p w:rsidR="00092431" w:rsidRPr="005B1ADC" w:rsidRDefault="001E391C" w:rsidP="00092431">
            <w:pPr>
              <w:tabs>
                <w:tab w:val="decimal" w:pos="418"/>
              </w:tabs>
              <w:jc w:val="left"/>
              <w:rPr>
                <w:sz w:val="14"/>
              </w:rPr>
            </w:pPr>
            <w:r>
              <w:rPr>
                <w:sz w:val="14"/>
              </w:rPr>
              <w:t>629.9</w:t>
            </w:r>
          </w:p>
        </w:tc>
        <w:tc>
          <w:tcPr>
            <w:tcW w:w="761" w:type="dxa"/>
            <w:vAlign w:val="bottom"/>
          </w:tcPr>
          <w:p w:rsidR="00092431" w:rsidRPr="005B1ADC" w:rsidRDefault="001E391C" w:rsidP="00092431">
            <w:pPr>
              <w:tabs>
                <w:tab w:val="decimal" w:pos="414"/>
              </w:tabs>
              <w:jc w:val="left"/>
              <w:rPr>
                <w:sz w:val="14"/>
              </w:rPr>
            </w:pPr>
            <w:r>
              <w:rPr>
                <w:sz w:val="14"/>
              </w:rPr>
              <w:t>653.3</w:t>
            </w:r>
          </w:p>
        </w:tc>
        <w:tc>
          <w:tcPr>
            <w:tcW w:w="675" w:type="dxa"/>
            <w:vAlign w:val="bottom"/>
          </w:tcPr>
          <w:p w:rsidR="00092431" w:rsidRPr="005B1ADC" w:rsidRDefault="00BC40B9" w:rsidP="00092431">
            <w:pPr>
              <w:tabs>
                <w:tab w:val="decimal" w:pos="187"/>
              </w:tabs>
              <w:ind w:right="-2"/>
              <w:jc w:val="left"/>
              <w:rPr>
                <w:sz w:val="14"/>
              </w:rPr>
            </w:pPr>
            <w:r>
              <w:rPr>
                <w:sz w:val="14"/>
              </w:rPr>
              <w:t>3.7</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Food/Drinking Services</w:t>
            </w:r>
          </w:p>
        </w:tc>
        <w:tc>
          <w:tcPr>
            <w:tcW w:w="776" w:type="dxa"/>
            <w:vAlign w:val="bottom"/>
          </w:tcPr>
          <w:p w:rsidR="00092431" w:rsidRPr="005B1ADC" w:rsidRDefault="00092431" w:rsidP="00092431">
            <w:pPr>
              <w:tabs>
                <w:tab w:val="decimal" w:pos="448"/>
              </w:tabs>
              <w:jc w:val="left"/>
              <w:rPr>
                <w:sz w:val="14"/>
              </w:rPr>
            </w:pPr>
            <w:r w:rsidRPr="005B1ADC">
              <w:rPr>
                <w:sz w:val="14"/>
              </w:rPr>
              <w:t>8,876.4</w:t>
            </w:r>
          </w:p>
        </w:tc>
        <w:tc>
          <w:tcPr>
            <w:tcW w:w="678" w:type="dxa"/>
            <w:vAlign w:val="bottom"/>
          </w:tcPr>
          <w:p w:rsidR="00092431" w:rsidRPr="005B1ADC" w:rsidRDefault="00092431" w:rsidP="00092431">
            <w:pPr>
              <w:tabs>
                <w:tab w:val="decimal" w:pos="240"/>
              </w:tabs>
              <w:jc w:val="left"/>
              <w:rPr>
                <w:sz w:val="14"/>
              </w:rPr>
            </w:pPr>
            <w:r w:rsidRPr="005B1ADC">
              <w:rPr>
                <w:sz w:val="14"/>
              </w:rPr>
              <w:t>6.5</w:t>
            </w:r>
          </w:p>
        </w:tc>
        <w:tc>
          <w:tcPr>
            <w:tcW w:w="776" w:type="dxa"/>
            <w:vAlign w:val="bottom"/>
          </w:tcPr>
          <w:p w:rsidR="00092431" w:rsidRPr="005B1ADC" w:rsidRDefault="00092431" w:rsidP="00092431">
            <w:pPr>
              <w:tabs>
                <w:tab w:val="decimal" w:pos="433"/>
              </w:tabs>
              <w:jc w:val="left"/>
              <w:rPr>
                <w:sz w:val="14"/>
              </w:rPr>
            </w:pPr>
            <w:r w:rsidRPr="005B1ADC">
              <w:rPr>
                <w:sz w:val="14"/>
              </w:rPr>
              <w:t>9,474.1</w:t>
            </w:r>
          </w:p>
        </w:tc>
        <w:tc>
          <w:tcPr>
            <w:tcW w:w="676" w:type="dxa"/>
            <w:vAlign w:val="bottom"/>
          </w:tcPr>
          <w:p w:rsidR="00092431" w:rsidRPr="005B1ADC" w:rsidRDefault="00092431" w:rsidP="00092431">
            <w:pPr>
              <w:tabs>
                <w:tab w:val="decimal" w:pos="222"/>
              </w:tabs>
              <w:jc w:val="left"/>
              <w:rPr>
                <w:sz w:val="14"/>
              </w:rPr>
            </w:pPr>
            <w:r w:rsidRPr="005B1ADC">
              <w:rPr>
                <w:sz w:val="14"/>
              </w:rPr>
              <w:t>6.7</w:t>
            </w:r>
          </w:p>
        </w:tc>
        <w:tc>
          <w:tcPr>
            <w:tcW w:w="776" w:type="dxa"/>
            <w:vAlign w:val="bottom"/>
          </w:tcPr>
          <w:p w:rsidR="00092431" w:rsidRPr="005B1ADC" w:rsidRDefault="00092431" w:rsidP="00092431">
            <w:pPr>
              <w:tabs>
                <w:tab w:val="decimal" w:pos="422"/>
              </w:tabs>
              <w:jc w:val="left"/>
              <w:rPr>
                <w:sz w:val="14"/>
              </w:rPr>
            </w:pPr>
            <w:r w:rsidRPr="005B1ADC">
              <w:rPr>
                <w:sz w:val="14"/>
              </w:rPr>
              <w:t>9,976.8</w:t>
            </w:r>
          </w:p>
        </w:tc>
        <w:tc>
          <w:tcPr>
            <w:tcW w:w="675" w:type="dxa"/>
            <w:vAlign w:val="bottom"/>
          </w:tcPr>
          <w:p w:rsidR="00092431" w:rsidRPr="005B1ADC" w:rsidRDefault="00092431" w:rsidP="00092431">
            <w:pPr>
              <w:tabs>
                <w:tab w:val="decimal" w:pos="192"/>
              </w:tabs>
              <w:jc w:val="left"/>
              <w:rPr>
                <w:sz w:val="14"/>
              </w:rPr>
            </w:pPr>
            <w:r w:rsidRPr="005B1ADC">
              <w:rPr>
                <w:sz w:val="14"/>
              </w:rPr>
              <w:t>5.3</w:t>
            </w:r>
          </w:p>
        </w:tc>
        <w:tc>
          <w:tcPr>
            <w:tcW w:w="776" w:type="dxa"/>
            <w:vAlign w:val="bottom"/>
          </w:tcPr>
          <w:p w:rsidR="00092431" w:rsidRPr="005B1ADC" w:rsidRDefault="006F0A69" w:rsidP="00092431">
            <w:pPr>
              <w:tabs>
                <w:tab w:val="decimal" w:pos="411"/>
              </w:tabs>
              <w:jc w:val="left"/>
              <w:rPr>
                <w:sz w:val="14"/>
              </w:rPr>
            </w:pPr>
            <w:r>
              <w:rPr>
                <w:sz w:val="14"/>
              </w:rPr>
              <w:t>10,858.9</w:t>
            </w:r>
          </w:p>
        </w:tc>
        <w:tc>
          <w:tcPr>
            <w:tcW w:w="675" w:type="dxa"/>
            <w:vAlign w:val="bottom"/>
          </w:tcPr>
          <w:p w:rsidR="00092431" w:rsidRPr="005B1ADC" w:rsidRDefault="006F0A69" w:rsidP="00092431">
            <w:pPr>
              <w:tabs>
                <w:tab w:val="decimal" w:pos="189"/>
              </w:tabs>
              <w:jc w:val="left"/>
              <w:rPr>
                <w:sz w:val="14"/>
              </w:rPr>
            </w:pPr>
            <w:r>
              <w:rPr>
                <w:sz w:val="14"/>
              </w:rPr>
              <w:t>8.8</w:t>
            </w:r>
          </w:p>
        </w:tc>
        <w:tc>
          <w:tcPr>
            <w:tcW w:w="776" w:type="dxa"/>
            <w:vAlign w:val="bottom"/>
          </w:tcPr>
          <w:p w:rsidR="00092431" w:rsidRPr="005B1ADC" w:rsidRDefault="00BC40B9" w:rsidP="00092431">
            <w:pPr>
              <w:tabs>
                <w:tab w:val="decimal" w:pos="411"/>
              </w:tabs>
              <w:jc w:val="left"/>
              <w:rPr>
                <w:sz w:val="14"/>
              </w:rPr>
            </w:pPr>
            <w:r>
              <w:rPr>
                <w:sz w:val="14"/>
              </w:rPr>
              <w:t>11,615.6</w:t>
            </w:r>
          </w:p>
        </w:tc>
        <w:tc>
          <w:tcPr>
            <w:tcW w:w="675" w:type="dxa"/>
            <w:vAlign w:val="bottom"/>
          </w:tcPr>
          <w:p w:rsidR="00092431" w:rsidRPr="005B1ADC" w:rsidRDefault="00BC40B9" w:rsidP="00092431">
            <w:pPr>
              <w:tabs>
                <w:tab w:val="decimal" w:pos="189"/>
              </w:tabs>
              <w:jc w:val="left"/>
              <w:rPr>
                <w:sz w:val="14"/>
              </w:rPr>
            </w:pPr>
            <w:r>
              <w:rPr>
                <w:sz w:val="14"/>
              </w:rPr>
              <w:t>7.0</w:t>
            </w:r>
          </w:p>
        </w:tc>
        <w:tc>
          <w:tcPr>
            <w:tcW w:w="755" w:type="dxa"/>
            <w:vAlign w:val="bottom"/>
          </w:tcPr>
          <w:p w:rsidR="00092431" w:rsidRPr="005B1ADC" w:rsidRDefault="001E391C" w:rsidP="00092431">
            <w:pPr>
              <w:tabs>
                <w:tab w:val="decimal" w:pos="418"/>
              </w:tabs>
              <w:jc w:val="left"/>
              <w:rPr>
                <w:sz w:val="14"/>
              </w:rPr>
            </w:pPr>
            <w:r>
              <w:rPr>
                <w:sz w:val="14"/>
              </w:rPr>
              <w:t>1,785.0</w:t>
            </w:r>
          </w:p>
        </w:tc>
        <w:tc>
          <w:tcPr>
            <w:tcW w:w="761" w:type="dxa"/>
            <w:vAlign w:val="bottom"/>
          </w:tcPr>
          <w:p w:rsidR="00092431" w:rsidRPr="005B1ADC" w:rsidRDefault="001E391C" w:rsidP="00092431">
            <w:pPr>
              <w:tabs>
                <w:tab w:val="decimal" w:pos="414"/>
              </w:tabs>
              <w:jc w:val="left"/>
              <w:rPr>
                <w:sz w:val="14"/>
              </w:rPr>
            </w:pPr>
            <w:r>
              <w:rPr>
                <w:sz w:val="14"/>
              </w:rPr>
              <w:t>1,902.3</w:t>
            </w:r>
          </w:p>
        </w:tc>
        <w:tc>
          <w:tcPr>
            <w:tcW w:w="675" w:type="dxa"/>
            <w:vAlign w:val="bottom"/>
          </w:tcPr>
          <w:p w:rsidR="00092431" w:rsidRPr="005B1ADC" w:rsidRDefault="00BC40B9" w:rsidP="00092431">
            <w:pPr>
              <w:tabs>
                <w:tab w:val="decimal" w:pos="187"/>
              </w:tabs>
              <w:ind w:right="-2"/>
              <w:jc w:val="left"/>
              <w:rPr>
                <w:sz w:val="14"/>
              </w:rPr>
            </w:pPr>
            <w:r>
              <w:rPr>
                <w:sz w:val="14"/>
              </w:rPr>
              <w:t>6.6</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Other Services</w:t>
            </w:r>
          </w:p>
        </w:tc>
        <w:tc>
          <w:tcPr>
            <w:tcW w:w="776" w:type="dxa"/>
            <w:vAlign w:val="bottom"/>
          </w:tcPr>
          <w:p w:rsidR="00092431" w:rsidRPr="005B1ADC" w:rsidRDefault="00092431" w:rsidP="00092431">
            <w:pPr>
              <w:tabs>
                <w:tab w:val="decimal" w:pos="448"/>
              </w:tabs>
              <w:jc w:val="left"/>
              <w:rPr>
                <w:sz w:val="14"/>
              </w:rPr>
            </w:pPr>
            <w:r w:rsidRPr="005B1ADC">
              <w:rPr>
                <w:sz w:val="14"/>
              </w:rPr>
              <w:t>3,763.6</w:t>
            </w:r>
          </w:p>
        </w:tc>
        <w:tc>
          <w:tcPr>
            <w:tcW w:w="678" w:type="dxa"/>
            <w:vAlign w:val="bottom"/>
          </w:tcPr>
          <w:p w:rsidR="00092431" w:rsidRPr="005B1ADC" w:rsidRDefault="00092431" w:rsidP="00092431">
            <w:pPr>
              <w:tabs>
                <w:tab w:val="decimal" w:pos="240"/>
              </w:tabs>
              <w:jc w:val="left"/>
              <w:rPr>
                <w:sz w:val="14"/>
              </w:rPr>
            </w:pPr>
            <w:r w:rsidRPr="005B1ADC">
              <w:rPr>
                <w:sz w:val="14"/>
              </w:rPr>
              <w:t>5.5</w:t>
            </w:r>
          </w:p>
        </w:tc>
        <w:tc>
          <w:tcPr>
            <w:tcW w:w="776" w:type="dxa"/>
            <w:vAlign w:val="bottom"/>
          </w:tcPr>
          <w:p w:rsidR="00092431" w:rsidRPr="005B1ADC" w:rsidRDefault="00092431" w:rsidP="00092431">
            <w:pPr>
              <w:tabs>
                <w:tab w:val="decimal" w:pos="433"/>
              </w:tabs>
              <w:jc w:val="left"/>
              <w:rPr>
                <w:sz w:val="14"/>
              </w:rPr>
            </w:pPr>
            <w:r w:rsidRPr="005B1ADC">
              <w:rPr>
                <w:sz w:val="14"/>
              </w:rPr>
              <w:t>3,867.8</w:t>
            </w:r>
          </w:p>
        </w:tc>
        <w:tc>
          <w:tcPr>
            <w:tcW w:w="676" w:type="dxa"/>
            <w:vAlign w:val="bottom"/>
          </w:tcPr>
          <w:p w:rsidR="00092431" w:rsidRPr="005B1ADC" w:rsidRDefault="00092431" w:rsidP="00092431">
            <w:pPr>
              <w:tabs>
                <w:tab w:val="decimal" w:pos="222"/>
              </w:tabs>
              <w:jc w:val="left"/>
              <w:rPr>
                <w:sz w:val="14"/>
              </w:rPr>
            </w:pPr>
            <w:r w:rsidRPr="005B1ADC">
              <w:rPr>
                <w:sz w:val="14"/>
              </w:rPr>
              <w:t>2.8</w:t>
            </w:r>
          </w:p>
        </w:tc>
        <w:tc>
          <w:tcPr>
            <w:tcW w:w="776" w:type="dxa"/>
            <w:vAlign w:val="bottom"/>
          </w:tcPr>
          <w:p w:rsidR="00092431" w:rsidRPr="005B1ADC" w:rsidRDefault="00092431" w:rsidP="00092431">
            <w:pPr>
              <w:tabs>
                <w:tab w:val="decimal" w:pos="422"/>
              </w:tabs>
              <w:jc w:val="left"/>
              <w:rPr>
                <w:sz w:val="14"/>
              </w:rPr>
            </w:pPr>
            <w:r w:rsidRPr="005B1ADC">
              <w:rPr>
                <w:sz w:val="14"/>
              </w:rPr>
              <w:t>4,359.0</w:t>
            </w:r>
          </w:p>
        </w:tc>
        <w:tc>
          <w:tcPr>
            <w:tcW w:w="675" w:type="dxa"/>
            <w:vAlign w:val="bottom"/>
          </w:tcPr>
          <w:p w:rsidR="00092431" w:rsidRPr="005B1ADC" w:rsidRDefault="00092431" w:rsidP="00092431">
            <w:pPr>
              <w:tabs>
                <w:tab w:val="decimal" w:pos="192"/>
              </w:tabs>
              <w:jc w:val="left"/>
              <w:rPr>
                <w:sz w:val="14"/>
              </w:rPr>
            </w:pPr>
            <w:r w:rsidRPr="005B1ADC">
              <w:rPr>
                <w:sz w:val="14"/>
              </w:rPr>
              <w:t>12.7</w:t>
            </w:r>
          </w:p>
        </w:tc>
        <w:tc>
          <w:tcPr>
            <w:tcW w:w="776" w:type="dxa"/>
            <w:vAlign w:val="bottom"/>
          </w:tcPr>
          <w:p w:rsidR="00092431" w:rsidRPr="005B1ADC" w:rsidRDefault="006F0A69" w:rsidP="00092431">
            <w:pPr>
              <w:tabs>
                <w:tab w:val="decimal" w:pos="411"/>
              </w:tabs>
              <w:jc w:val="left"/>
              <w:rPr>
                <w:sz w:val="14"/>
              </w:rPr>
            </w:pPr>
            <w:r>
              <w:rPr>
                <w:sz w:val="14"/>
              </w:rPr>
              <w:t>4,926.4</w:t>
            </w:r>
          </w:p>
        </w:tc>
        <w:tc>
          <w:tcPr>
            <w:tcW w:w="675" w:type="dxa"/>
            <w:vAlign w:val="bottom"/>
          </w:tcPr>
          <w:p w:rsidR="00092431" w:rsidRPr="005B1ADC" w:rsidRDefault="006F0A69" w:rsidP="00092431">
            <w:pPr>
              <w:tabs>
                <w:tab w:val="decimal" w:pos="189"/>
              </w:tabs>
              <w:jc w:val="left"/>
              <w:rPr>
                <w:sz w:val="14"/>
              </w:rPr>
            </w:pPr>
            <w:r>
              <w:rPr>
                <w:sz w:val="14"/>
              </w:rPr>
              <w:t>13.0</w:t>
            </w:r>
          </w:p>
        </w:tc>
        <w:tc>
          <w:tcPr>
            <w:tcW w:w="776" w:type="dxa"/>
            <w:vAlign w:val="bottom"/>
          </w:tcPr>
          <w:p w:rsidR="00092431" w:rsidRPr="005B1ADC" w:rsidRDefault="00BC40B9" w:rsidP="00092431">
            <w:pPr>
              <w:tabs>
                <w:tab w:val="decimal" w:pos="411"/>
              </w:tabs>
              <w:jc w:val="left"/>
              <w:rPr>
                <w:sz w:val="14"/>
              </w:rPr>
            </w:pPr>
            <w:r>
              <w:rPr>
                <w:sz w:val="14"/>
              </w:rPr>
              <w:t>5,441.9</w:t>
            </w:r>
          </w:p>
        </w:tc>
        <w:tc>
          <w:tcPr>
            <w:tcW w:w="675" w:type="dxa"/>
            <w:vAlign w:val="bottom"/>
          </w:tcPr>
          <w:p w:rsidR="00092431" w:rsidRPr="005B1ADC" w:rsidRDefault="00BC40B9" w:rsidP="00092431">
            <w:pPr>
              <w:tabs>
                <w:tab w:val="decimal" w:pos="189"/>
              </w:tabs>
              <w:jc w:val="left"/>
              <w:rPr>
                <w:sz w:val="14"/>
              </w:rPr>
            </w:pPr>
            <w:r>
              <w:rPr>
                <w:sz w:val="14"/>
              </w:rPr>
              <w:t>10.5</w:t>
            </w:r>
          </w:p>
        </w:tc>
        <w:tc>
          <w:tcPr>
            <w:tcW w:w="755" w:type="dxa"/>
            <w:vAlign w:val="bottom"/>
          </w:tcPr>
          <w:p w:rsidR="00092431" w:rsidRPr="005B1ADC" w:rsidRDefault="001E391C" w:rsidP="00092431">
            <w:pPr>
              <w:tabs>
                <w:tab w:val="decimal" w:pos="418"/>
              </w:tabs>
              <w:jc w:val="left"/>
              <w:rPr>
                <w:sz w:val="14"/>
              </w:rPr>
            </w:pPr>
            <w:r>
              <w:rPr>
                <w:sz w:val="14"/>
              </w:rPr>
              <w:t>699.6</w:t>
            </w:r>
          </w:p>
        </w:tc>
        <w:tc>
          <w:tcPr>
            <w:tcW w:w="761" w:type="dxa"/>
            <w:vAlign w:val="bottom"/>
          </w:tcPr>
          <w:p w:rsidR="00092431" w:rsidRPr="005B1ADC" w:rsidRDefault="001E391C" w:rsidP="00092431">
            <w:pPr>
              <w:tabs>
                <w:tab w:val="decimal" w:pos="414"/>
              </w:tabs>
              <w:jc w:val="left"/>
              <w:rPr>
                <w:sz w:val="14"/>
              </w:rPr>
            </w:pPr>
            <w:r>
              <w:rPr>
                <w:sz w:val="14"/>
              </w:rPr>
              <w:t>726.7</w:t>
            </w:r>
          </w:p>
        </w:tc>
        <w:tc>
          <w:tcPr>
            <w:tcW w:w="675" w:type="dxa"/>
            <w:vAlign w:val="bottom"/>
          </w:tcPr>
          <w:p w:rsidR="00092431" w:rsidRPr="005B1ADC" w:rsidRDefault="00BC40B9" w:rsidP="00092431">
            <w:pPr>
              <w:tabs>
                <w:tab w:val="decimal" w:pos="187"/>
              </w:tabs>
              <w:ind w:right="-2"/>
              <w:jc w:val="left"/>
              <w:rPr>
                <w:sz w:val="14"/>
              </w:rPr>
            </w:pPr>
            <w:r>
              <w:rPr>
                <w:sz w:val="14"/>
              </w:rPr>
              <w:t>3.9</w:t>
            </w:r>
          </w:p>
        </w:tc>
      </w:tr>
      <w:tr w:rsidR="009D59B8" w:rsidRPr="005B1ADC" w:rsidTr="009D59B8">
        <w:trPr>
          <w:jc w:val="center"/>
        </w:trPr>
        <w:tc>
          <w:tcPr>
            <w:tcW w:w="2231" w:type="dxa"/>
            <w:vAlign w:val="bottom"/>
          </w:tcPr>
          <w:p w:rsidR="00092431" w:rsidRPr="005B1ADC" w:rsidRDefault="00092431" w:rsidP="00092431">
            <w:pPr>
              <w:jc w:val="left"/>
              <w:rPr>
                <w:sz w:val="14"/>
              </w:rPr>
            </w:pPr>
            <w:r w:rsidRPr="005B1ADC">
              <w:rPr>
                <w:sz w:val="14"/>
              </w:rPr>
              <w:t>Government</w:t>
            </w:r>
          </w:p>
        </w:tc>
        <w:tc>
          <w:tcPr>
            <w:tcW w:w="776" w:type="dxa"/>
            <w:vAlign w:val="bottom"/>
          </w:tcPr>
          <w:p w:rsidR="00092431" w:rsidRPr="005B1ADC" w:rsidRDefault="00092431" w:rsidP="00092431">
            <w:pPr>
              <w:tabs>
                <w:tab w:val="decimal" w:pos="448"/>
              </w:tabs>
              <w:jc w:val="left"/>
              <w:rPr>
                <w:sz w:val="14"/>
                <w:u w:val="single"/>
              </w:rPr>
            </w:pPr>
            <w:r w:rsidRPr="005B1ADC">
              <w:rPr>
                <w:sz w:val="14"/>
                <w:u w:val="single"/>
              </w:rPr>
              <w:t xml:space="preserve">    268.2</w:t>
            </w:r>
          </w:p>
        </w:tc>
        <w:tc>
          <w:tcPr>
            <w:tcW w:w="678" w:type="dxa"/>
            <w:vAlign w:val="bottom"/>
          </w:tcPr>
          <w:p w:rsidR="00092431" w:rsidRPr="005B1ADC" w:rsidRDefault="00092431" w:rsidP="00092431">
            <w:pPr>
              <w:tabs>
                <w:tab w:val="decimal" w:pos="240"/>
              </w:tabs>
              <w:jc w:val="left"/>
              <w:rPr>
                <w:sz w:val="14"/>
                <w:u w:val="single"/>
              </w:rPr>
            </w:pPr>
            <w:r w:rsidRPr="005B1ADC">
              <w:rPr>
                <w:sz w:val="14"/>
                <w:u w:val="single"/>
              </w:rPr>
              <w:t xml:space="preserve">   2.2</w:t>
            </w:r>
          </w:p>
        </w:tc>
        <w:tc>
          <w:tcPr>
            <w:tcW w:w="776" w:type="dxa"/>
            <w:vAlign w:val="bottom"/>
          </w:tcPr>
          <w:p w:rsidR="00092431" w:rsidRPr="005B1ADC" w:rsidRDefault="00092431" w:rsidP="00092431">
            <w:pPr>
              <w:tabs>
                <w:tab w:val="decimal" w:pos="433"/>
              </w:tabs>
              <w:jc w:val="left"/>
              <w:rPr>
                <w:sz w:val="14"/>
                <w:u w:val="single"/>
              </w:rPr>
            </w:pPr>
            <w:r w:rsidRPr="005B1ADC">
              <w:rPr>
                <w:sz w:val="14"/>
                <w:u w:val="single"/>
              </w:rPr>
              <w:t xml:space="preserve">      244.5</w:t>
            </w:r>
          </w:p>
        </w:tc>
        <w:tc>
          <w:tcPr>
            <w:tcW w:w="676" w:type="dxa"/>
            <w:vAlign w:val="bottom"/>
          </w:tcPr>
          <w:p w:rsidR="00092431" w:rsidRPr="005B1ADC" w:rsidRDefault="00092431" w:rsidP="00092431">
            <w:pPr>
              <w:tabs>
                <w:tab w:val="decimal" w:pos="222"/>
              </w:tabs>
              <w:jc w:val="left"/>
              <w:rPr>
                <w:sz w:val="14"/>
                <w:u w:val="single"/>
              </w:rPr>
            </w:pPr>
            <w:r w:rsidRPr="005B1ADC">
              <w:rPr>
                <w:sz w:val="14"/>
                <w:u w:val="single"/>
              </w:rPr>
              <w:t xml:space="preserve"> -8.8</w:t>
            </w:r>
          </w:p>
        </w:tc>
        <w:tc>
          <w:tcPr>
            <w:tcW w:w="776" w:type="dxa"/>
            <w:vAlign w:val="bottom"/>
          </w:tcPr>
          <w:p w:rsidR="00092431" w:rsidRPr="005B1ADC" w:rsidRDefault="006F0A69" w:rsidP="00092431">
            <w:pPr>
              <w:tabs>
                <w:tab w:val="decimal" w:pos="422"/>
              </w:tabs>
              <w:jc w:val="left"/>
              <w:rPr>
                <w:sz w:val="14"/>
                <w:u w:val="single"/>
              </w:rPr>
            </w:pPr>
            <w:r>
              <w:rPr>
                <w:sz w:val="14"/>
                <w:u w:val="single"/>
              </w:rPr>
              <w:t xml:space="preserve">      </w:t>
            </w:r>
            <w:r w:rsidR="00092431" w:rsidRPr="005B1ADC">
              <w:rPr>
                <w:sz w:val="14"/>
                <w:u w:val="single"/>
              </w:rPr>
              <w:t>252.6</w:t>
            </w:r>
          </w:p>
        </w:tc>
        <w:tc>
          <w:tcPr>
            <w:tcW w:w="675" w:type="dxa"/>
            <w:vAlign w:val="bottom"/>
          </w:tcPr>
          <w:p w:rsidR="00092431" w:rsidRPr="005B1ADC" w:rsidRDefault="00092431" w:rsidP="00092431">
            <w:pPr>
              <w:tabs>
                <w:tab w:val="decimal" w:pos="192"/>
              </w:tabs>
              <w:jc w:val="left"/>
              <w:rPr>
                <w:sz w:val="14"/>
                <w:u w:val="single"/>
              </w:rPr>
            </w:pPr>
            <w:r w:rsidRPr="005B1ADC">
              <w:rPr>
                <w:sz w:val="14"/>
                <w:u w:val="single"/>
              </w:rPr>
              <w:t xml:space="preserve">  3.3</w:t>
            </w:r>
          </w:p>
        </w:tc>
        <w:tc>
          <w:tcPr>
            <w:tcW w:w="776" w:type="dxa"/>
            <w:vAlign w:val="bottom"/>
          </w:tcPr>
          <w:p w:rsidR="00092431" w:rsidRPr="005B1ADC" w:rsidRDefault="006F0A69" w:rsidP="00092431">
            <w:pPr>
              <w:tabs>
                <w:tab w:val="decimal" w:pos="411"/>
              </w:tabs>
              <w:jc w:val="left"/>
              <w:rPr>
                <w:sz w:val="14"/>
                <w:u w:val="single"/>
              </w:rPr>
            </w:pPr>
            <w:r>
              <w:rPr>
                <w:sz w:val="14"/>
                <w:u w:val="single"/>
              </w:rPr>
              <w:t xml:space="preserve">     254.8</w:t>
            </w:r>
          </w:p>
        </w:tc>
        <w:tc>
          <w:tcPr>
            <w:tcW w:w="675" w:type="dxa"/>
            <w:vAlign w:val="bottom"/>
          </w:tcPr>
          <w:p w:rsidR="00092431" w:rsidRPr="005B1ADC" w:rsidRDefault="006F0A69" w:rsidP="00092431">
            <w:pPr>
              <w:tabs>
                <w:tab w:val="decimal" w:pos="189"/>
              </w:tabs>
              <w:jc w:val="left"/>
              <w:rPr>
                <w:sz w:val="14"/>
                <w:u w:val="single"/>
              </w:rPr>
            </w:pPr>
            <w:r>
              <w:rPr>
                <w:sz w:val="14"/>
                <w:u w:val="single"/>
              </w:rPr>
              <w:t>0.8</w:t>
            </w:r>
          </w:p>
        </w:tc>
        <w:tc>
          <w:tcPr>
            <w:tcW w:w="776" w:type="dxa"/>
            <w:vAlign w:val="bottom"/>
          </w:tcPr>
          <w:p w:rsidR="00092431" w:rsidRPr="005B1ADC" w:rsidRDefault="00BC40B9" w:rsidP="00092431">
            <w:pPr>
              <w:tabs>
                <w:tab w:val="decimal" w:pos="411"/>
              </w:tabs>
              <w:jc w:val="left"/>
              <w:rPr>
                <w:sz w:val="14"/>
                <w:u w:val="single"/>
              </w:rPr>
            </w:pPr>
            <w:r>
              <w:rPr>
                <w:sz w:val="14"/>
                <w:u w:val="single"/>
              </w:rPr>
              <w:t xml:space="preserve">      273.4</w:t>
            </w:r>
          </w:p>
        </w:tc>
        <w:tc>
          <w:tcPr>
            <w:tcW w:w="675" w:type="dxa"/>
            <w:vAlign w:val="bottom"/>
          </w:tcPr>
          <w:p w:rsidR="00092431" w:rsidRPr="005B1ADC" w:rsidRDefault="00BC40B9" w:rsidP="00092431">
            <w:pPr>
              <w:tabs>
                <w:tab w:val="decimal" w:pos="189"/>
              </w:tabs>
              <w:jc w:val="left"/>
              <w:rPr>
                <w:sz w:val="14"/>
                <w:u w:val="single"/>
              </w:rPr>
            </w:pPr>
            <w:r>
              <w:rPr>
                <w:sz w:val="14"/>
                <w:u w:val="single"/>
              </w:rPr>
              <w:t>7.3</w:t>
            </w:r>
          </w:p>
        </w:tc>
        <w:tc>
          <w:tcPr>
            <w:tcW w:w="755" w:type="dxa"/>
            <w:vAlign w:val="bottom"/>
          </w:tcPr>
          <w:p w:rsidR="00092431" w:rsidRPr="005B1ADC" w:rsidRDefault="001E391C" w:rsidP="00092431">
            <w:pPr>
              <w:tabs>
                <w:tab w:val="decimal" w:pos="418"/>
              </w:tabs>
              <w:jc w:val="left"/>
              <w:rPr>
                <w:sz w:val="14"/>
                <w:u w:val="single"/>
              </w:rPr>
            </w:pPr>
            <w:r>
              <w:rPr>
                <w:sz w:val="14"/>
                <w:u w:val="single"/>
              </w:rPr>
              <w:t xml:space="preserve">       38.4</w:t>
            </w:r>
          </w:p>
        </w:tc>
        <w:tc>
          <w:tcPr>
            <w:tcW w:w="761" w:type="dxa"/>
            <w:vAlign w:val="bottom"/>
          </w:tcPr>
          <w:p w:rsidR="00092431" w:rsidRPr="005B1ADC" w:rsidRDefault="001E391C" w:rsidP="00092431">
            <w:pPr>
              <w:tabs>
                <w:tab w:val="decimal" w:pos="414"/>
              </w:tabs>
              <w:jc w:val="left"/>
              <w:rPr>
                <w:sz w:val="14"/>
                <w:u w:val="single"/>
              </w:rPr>
            </w:pPr>
            <w:r>
              <w:rPr>
                <w:sz w:val="14"/>
                <w:u w:val="single"/>
              </w:rPr>
              <w:t xml:space="preserve">       39.6</w:t>
            </w:r>
          </w:p>
        </w:tc>
        <w:tc>
          <w:tcPr>
            <w:tcW w:w="675" w:type="dxa"/>
            <w:vAlign w:val="bottom"/>
          </w:tcPr>
          <w:p w:rsidR="00092431" w:rsidRPr="005B1ADC" w:rsidRDefault="00BC40B9" w:rsidP="00092431">
            <w:pPr>
              <w:tabs>
                <w:tab w:val="decimal" w:pos="187"/>
              </w:tabs>
              <w:ind w:right="-2"/>
              <w:jc w:val="left"/>
              <w:rPr>
                <w:sz w:val="14"/>
                <w:u w:val="single"/>
              </w:rPr>
            </w:pPr>
            <w:r>
              <w:rPr>
                <w:sz w:val="14"/>
                <w:u w:val="single"/>
              </w:rPr>
              <w:t>3.0</w:t>
            </w:r>
          </w:p>
        </w:tc>
      </w:tr>
      <w:tr w:rsidR="009D59B8" w:rsidRPr="005B1ADC" w:rsidTr="009D59B8">
        <w:trPr>
          <w:jc w:val="center"/>
        </w:trPr>
        <w:tc>
          <w:tcPr>
            <w:tcW w:w="2231" w:type="dxa"/>
            <w:vAlign w:val="bottom"/>
          </w:tcPr>
          <w:p w:rsidR="00092431" w:rsidRPr="005B1ADC" w:rsidRDefault="00092431" w:rsidP="00092431">
            <w:pPr>
              <w:ind w:left="584"/>
              <w:jc w:val="left"/>
              <w:rPr>
                <w:sz w:val="14"/>
              </w:rPr>
            </w:pPr>
            <w:r w:rsidRPr="005B1ADC">
              <w:rPr>
                <w:sz w:val="14"/>
              </w:rPr>
              <w:t>Total All Industries</w:t>
            </w:r>
          </w:p>
        </w:tc>
        <w:tc>
          <w:tcPr>
            <w:tcW w:w="776" w:type="dxa"/>
            <w:vAlign w:val="bottom"/>
          </w:tcPr>
          <w:p w:rsidR="00092431" w:rsidRPr="005B1ADC" w:rsidRDefault="00092431" w:rsidP="00092431">
            <w:pPr>
              <w:tabs>
                <w:tab w:val="decimal" w:pos="448"/>
              </w:tabs>
              <w:jc w:val="left"/>
              <w:rPr>
                <w:sz w:val="14"/>
                <w:u w:val="double"/>
              </w:rPr>
            </w:pPr>
            <w:r w:rsidRPr="005B1ADC">
              <w:rPr>
                <w:sz w:val="14"/>
                <w:u w:val="double"/>
              </w:rPr>
              <w:t>155,054.2</w:t>
            </w:r>
          </w:p>
        </w:tc>
        <w:tc>
          <w:tcPr>
            <w:tcW w:w="678" w:type="dxa"/>
            <w:vAlign w:val="bottom"/>
          </w:tcPr>
          <w:p w:rsidR="00092431" w:rsidRPr="005B1ADC" w:rsidRDefault="00092431" w:rsidP="00092431">
            <w:pPr>
              <w:tabs>
                <w:tab w:val="decimal" w:pos="240"/>
              </w:tabs>
              <w:jc w:val="left"/>
              <w:rPr>
                <w:sz w:val="14"/>
                <w:u w:val="double"/>
              </w:rPr>
            </w:pPr>
            <w:r w:rsidRPr="005B1ADC">
              <w:rPr>
                <w:sz w:val="14"/>
                <w:u w:val="double"/>
              </w:rPr>
              <w:t xml:space="preserve">  7.0</w:t>
            </w:r>
            <w:r w:rsidRPr="005B1ADC">
              <w:rPr>
                <w:sz w:val="14"/>
              </w:rPr>
              <w:t>%</w:t>
            </w:r>
          </w:p>
        </w:tc>
        <w:tc>
          <w:tcPr>
            <w:tcW w:w="776" w:type="dxa"/>
            <w:vAlign w:val="bottom"/>
          </w:tcPr>
          <w:p w:rsidR="00092431" w:rsidRPr="005B1ADC" w:rsidRDefault="00092431" w:rsidP="00092431">
            <w:pPr>
              <w:tabs>
                <w:tab w:val="decimal" w:pos="433"/>
              </w:tabs>
              <w:jc w:val="left"/>
              <w:rPr>
                <w:sz w:val="14"/>
                <w:u w:val="double"/>
              </w:rPr>
            </w:pPr>
            <w:r w:rsidRPr="005B1ADC">
              <w:rPr>
                <w:sz w:val="14"/>
                <w:u w:val="double"/>
              </w:rPr>
              <w:t>164,568.4</w:t>
            </w:r>
          </w:p>
        </w:tc>
        <w:tc>
          <w:tcPr>
            <w:tcW w:w="676" w:type="dxa"/>
            <w:vAlign w:val="bottom"/>
          </w:tcPr>
          <w:p w:rsidR="00092431" w:rsidRPr="005B1ADC" w:rsidRDefault="00092431" w:rsidP="00092431">
            <w:pPr>
              <w:tabs>
                <w:tab w:val="decimal" w:pos="222"/>
              </w:tabs>
              <w:jc w:val="left"/>
              <w:rPr>
                <w:sz w:val="14"/>
                <w:u w:val="double"/>
              </w:rPr>
            </w:pPr>
            <w:r w:rsidRPr="005B1ADC">
              <w:rPr>
                <w:sz w:val="14"/>
                <w:u w:val="double"/>
              </w:rPr>
              <w:t xml:space="preserve">   6.1</w:t>
            </w:r>
            <w:r w:rsidRPr="005B1ADC">
              <w:rPr>
                <w:sz w:val="14"/>
              </w:rPr>
              <w:t>%</w:t>
            </w:r>
          </w:p>
        </w:tc>
        <w:tc>
          <w:tcPr>
            <w:tcW w:w="776" w:type="dxa"/>
            <w:vAlign w:val="bottom"/>
          </w:tcPr>
          <w:p w:rsidR="00092431" w:rsidRPr="005B1ADC" w:rsidRDefault="00092431" w:rsidP="00092431">
            <w:pPr>
              <w:tabs>
                <w:tab w:val="decimal" w:pos="422"/>
              </w:tabs>
              <w:jc w:val="left"/>
              <w:rPr>
                <w:sz w:val="14"/>
                <w:u w:val="double"/>
              </w:rPr>
            </w:pPr>
            <w:r w:rsidRPr="005B1ADC">
              <w:rPr>
                <w:sz w:val="14"/>
                <w:u w:val="double"/>
              </w:rPr>
              <w:t>172,784.0</w:t>
            </w:r>
          </w:p>
        </w:tc>
        <w:tc>
          <w:tcPr>
            <w:tcW w:w="675" w:type="dxa"/>
            <w:vAlign w:val="bottom"/>
          </w:tcPr>
          <w:p w:rsidR="00092431" w:rsidRPr="005B1ADC" w:rsidRDefault="00092431" w:rsidP="00092431">
            <w:pPr>
              <w:tabs>
                <w:tab w:val="decimal" w:pos="192"/>
              </w:tabs>
              <w:jc w:val="left"/>
              <w:rPr>
                <w:sz w:val="14"/>
                <w:u w:val="double"/>
              </w:rPr>
            </w:pPr>
            <w:r w:rsidRPr="005B1ADC">
              <w:rPr>
                <w:sz w:val="14"/>
                <w:u w:val="double"/>
              </w:rPr>
              <w:t xml:space="preserve">  5.0</w:t>
            </w:r>
            <w:r w:rsidRPr="005B1ADC">
              <w:rPr>
                <w:sz w:val="14"/>
              </w:rPr>
              <w:t>%</w:t>
            </w:r>
          </w:p>
        </w:tc>
        <w:tc>
          <w:tcPr>
            <w:tcW w:w="776" w:type="dxa"/>
            <w:vAlign w:val="bottom"/>
          </w:tcPr>
          <w:p w:rsidR="00092431" w:rsidRPr="005B1ADC" w:rsidRDefault="006F0A69" w:rsidP="00092431">
            <w:pPr>
              <w:tabs>
                <w:tab w:val="decimal" w:pos="411"/>
              </w:tabs>
              <w:jc w:val="left"/>
              <w:rPr>
                <w:sz w:val="14"/>
                <w:u w:val="double"/>
              </w:rPr>
            </w:pPr>
            <w:r>
              <w:rPr>
                <w:sz w:val="14"/>
                <w:u w:val="double"/>
              </w:rPr>
              <w:t>182,710.0</w:t>
            </w:r>
          </w:p>
        </w:tc>
        <w:tc>
          <w:tcPr>
            <w:tcW w:w="675" w:type="dxa"/>
            <w:vAlign w:val="bottom"/>
          </w:tcPr>
          <w:p w:rsidR="00092431" w:rsidRPr="005B1ADC" w:rsidRDefault="006F0A69" w:rsidP="00092431">
            <w:pPr>
              <w:tabs>
                <w:tab w:val="decimal" w:pos="189"/>
              </w:tabs>
              <w:jc w:val="left"/>
              <w:rPr>
                <w:sz w:val="14"/>
                <w:u w:val="double"/>
              </w:rPr>
            </w:pPr>
            <w:r>
              <w:rPr>
                <w:sz w:val="14"/>
                <w:u w:val="double"/>
              </w:rPr>
              <w:t>5.7</w:t>
            </w:r>
            <w:r w:rsidRPr="006F0A69">
              <w:rPr>
                <w:sz w:val="14"/>
              </w:rPr>
              <w:t>%</w:t>
            </w:r>
          </w:p>
        </w:tc>
        <w:tc>
          <w:tcPr>
            <w:tcW w:w="776" w:type="dxa"/>
            <w:vAlign w:val="bottom"/>
          </w:tcPr>
          <w:p w:rsidR="00092431" w:rsidRPr="005B1ADC" w:rsidRDefault="00BC40B9" w:rsidP="00092431">
            <w:pPr>
              <w:tabs>
                <w:tab w:val="decimal" w:pos="411"/>
              </w:tabs>
              <w:jc w:val="left"/>
              <w:rPr>
                <w:sz w:val="14"/>
                <w:u w:val="double"/>
              </w:rPr>
            </w:pPr>
            <w:r>
              <w:rPr>
                <w:sz w:val="14"/>
                <w:u w:val="double"/>
              </w:rPr>
              <w:t>182,845.3</w:t>
            </w:r>
          </w:p>
        </w:tc>
        <w:tc>
          <w:tcPr>
            <w:tcW w:w="675" w:type="dxa"/>
            <w:vAlign w:val="bottom"/>
          </w:tcPr>
          <w:p w:rsidR="00092431" w:rsidRPr="005B1ADC" w:rsidRDefault="00BC40B9" w:rsidP="00092431">
            <w:pPr>
              <w:tabs>
                <w:tab w:val="decimal" w:pos="189"/>
              </w:tabs>
              <w:jc w:val="left"/>
              <w:rPr>
                <w:sz w:val="14"/>
                <w:u w:val="double"/>
              </w:rPr>
            </w:pPr>
            <w:r>
              <w:rPr>
                <w:sz w:val="14"/>
                <w:u w:val="double"/>
              </w:rPr>
              <w:t>0.1</w:t>
            </w:r>
            <w:r w:rsidRPr="00BC40B9">
              <w:rPr>
                <w:sz w:val="14"/>
              </w:rPr>
              <w:t>%</w:t>
            </w:r>
          </w:p>
        </w:tc>
        <w:tc>
          <w:tcPr>
            <w:tcW w:w="755" w:type="dxa"/>
            <w:vAlign w:val="bottom"/>
          </w:tcPr>
          <w:p w:rsidR="00092431" w:rsidRPr="005B1ADC" w:rsidRDefault="001E391C" w:rsidP="00092431">
            <w:pPr>
              <w:tabs>
                <w:tab w:val="decimal" w:pos="418"/>
              </w:tabs>
              <w:jc w:val="left"/>
              <w:rPr>
                <w:sz w:val="14"/>
                <w:u w:val="double"/>
              </w:rPr>
            </w:pPr>
            <w:r>
              <w:rPr>
                <w:sz w:val="14"/>
                <w:u w:val="double"/>
              </w:rPr>
              <w:t>25,944.3</w:t>
            </w:r>
          </w:p>
        </w:tc>
        <w:tc>
          <w:tcPr>
            <w:tcW w:w="761" w:type="dxa"/>
            <w:vAlign w:val="bottom"/>
          </w:tcPr>
          <w:p w:rsidR="00092431" w:rsidRPr="005B1ADC" w:rsidRDefault="001E391C" w:rsidP="00092431">
            <w:pPr>
              <w:tabs>
                <w:tab w:val="decimal" w:pos="414"/>
              </w:tabs>
              <w:jc w:val="left"/>
              <w:rPr>
                <w:sz w:val="14"/>
                <w:u w:val="double"/>
              </w:rPr>
            </w:pPr>
            <w:r>
              <w:rPr>
                <w:sz w:val="14"/>
                <w:u w:val="double"/>
              </w:rPr>
              <w:t>24,957.1</w:t>
            </w:r>
          </w:p>
        </w:tc>
        <w:tc>
          <w:tcPr>
            <w:tcW w:w="675" w:type="dxa"/>
            <w:vAlign w:val="bottom"/>
          </w:tcPr>
          <w:p w:rsidR="00092431" w:rsidRPr="005B1ADC" w:rsidRDefault="00BC40B9" w:rsidP="00092431">
            <w:pPr>
              <w:tabs>
                <w:tab w:val="decimal" w:pos="187"/>
              </w:tabs>
              <w:ind w:right="-2"/>
              <w:jc w:val="left"/>
              <w:rPr>
                <w:sz w:val="14"/>
                <w:u w:val="double"/>
              </w:rPr>
            </w:pPr>
            <w:r>
              <w:rPr>
                <w:sz w:val="14"/>
                <w:u w:val="double"/>
              </w:rPr>
              <w:t>-3.8</w:t>
            </w:r>
            <w:r w:rsidRPr="00BC40B9">
              <w:rPr>
                <w:sz w:val="14"/>
              </w:rPr>
              <w:t>%</w:t>
            </w:r>
          </w:p>
        </w:tc>
      </w:tr>
      <w:tr w:rsidR="00C76115" w:rsidRPr="005B1ADC" w:rsidTr="00C76115">
        <w:trPr>
          <w:jc w:val="center"/>
        </w:trPr>
        <w:tc>
          <w:tcPr>
            <w:tcW w:w="11681" w:type="dxa"/>
            <w:gridSpan w:val="14"/>
            <w:vAlign w:val="bottom"/>
          </w:tcPr>
          <w:p w:rsidR="00C76115" w:rsidRPr="005B1ADC" w:rsidRDefault="00C76115" w:rsidP="00C76115">
            <w:pPr>
              <w:rPr>
                <w:sz w:val="14"/>
                <w:szCs w:val="14"/>
              </w:rPr>
            </w:pPr>
            <w:r w:rsidRPr="005B1ADC">
              <w:rPr>
                <w:sz w:val="14"/>
                <w:szCs w:val="14"/>
              </w:rPr>
              <w:t>____________________</w:t>
            </w:r>
          </w:p>
          <w:p w:rsidR="00C76115" w:rsidRPr="005B1ADC" w:rsidRDefault="00C76115" w:rsidP="00C76115">
            <w:pPr>
              <w:rPr>
                <w:sz w:val="14"/>
                <w:szCs w:val="14"/>
              </w:rPr>
            </w:pPr>
            <w:r w:rsidRPr="005B1ADC">
              <w:rPr>
                <w:sz w:val="14"/>
                <w:szCs w:val="14"/>
              </w:rPr>
              <w:t>Source: Colorado Department of Revenue</w:t>
            </w:r>
          </w:p>
        </w:tc>
      </w:tr>
    </w:tbl>
    <w:p w:rsidR="00365EBF" w:rsidRPr="00D11BE9" w:rsidRDefault="00365EBF" w:rsidP="00365EBF"/>
    <w:p w:rsidR="00365EBF" w:rsidRDefault="00365EBF" w:rsidP="00365EBF">
      <w:pPr>
        <w:pStyle w:val="BodyText"/>
        <w:sectPr w:rsidR="00365EBF" w:rsidSect="00365EBF">
          <w:pgSz w:w="15840" w:h="12240" w:orient="landscape"/>
          <w:pgMar w:top="1440" w:right="1440" w:bottom="1440" w:left="1440" w:header="720" w:footer="720" w:gutter="0"/>
          <w:cols w:space="720"/>
          <w:docGrid w:linePitch="360"/>
        </w:sectPr>
      </w:pPr>
    </w:p>
    <w:p w:rsidR="00126B9D" w:rsidRPr="005B1ADC" w:rsidRDefault="00126B9D" w:rsidP="00126B9D">
      <w:pPr>
        <w:pStyle w:val="LeftHeading"/>
        <w:rPr>
          <w:szCs w:val="22"/>
        </w:rPr>
      </w:pPr>
      <w:r w:rsidRPr="005B1ADC">
        <w:rPr>
          <w:szCs w:val="22"/>
        </w:rPr>
        <w:t>Tourism</w:t>
      </w:r>
    </w:p>
    <w:p w:rsidR="00126B9D" w:rsidRPr="005B1ADC" w:rsidRDefault="00126B9D" w:rsidP="00126B9D">
      <w:pPr>
        <w:pStyle w:val="BodyText"/>
        <w:rPr>
          <w:szCs w:val="22"/>
        </w:rPr>
      </w:pPr>
      <w:r w:rsidRPr="005B1ADC">
        <w:rPr>
          <w:szCs w:val="22"/>
        </w:rPr>
        <w:t>The following table provides visitor counts for the State’s national parks and major recreation areas, Denver area convention attendance figures, and visitor counts for Colorado ski areas:</w:t>
      </w:r>
    </w:p>
    <w:tbl>
      <w:tblPr>
        <w:tblStyle w:val="TableGrid"/>
        <w:tblW w:w="11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1109"/>
        <w:gridCol w:w="938"/>
        <w:gridCol w:w="999"/>
        <w:gridCol w:w="938"/>
        <w:gridCol w:w="1317"/>
        <w:gridCol w:w="1049"/>
        <w:gridCol w:w="1109"/>
        <w:gridCol w:w="938"/>
        <w:gridCol w:w="1109"/>
        <w:gridCol w:w="938"/>
      </w:tblGrid>
      <w:tr w:rsidR="00126B9D" w:rsidRPr="005B1ADC" w:rsidTr="00490ED2">
        <w:trPr>
          <w:jc w:val="center"/>
        </w:trPr>
        <w:tc>
          <w:tcPr>
            <w:tcW w:w="11100" w:type="dxa"/>
            <w:gridSpan w:val="11"/>
            <w:vAlign w:val="bottom"/>
          </w:tcPr>
          <w:p w:rsidR="00126B9D" w:rsidRPr="005B1ADC" w:rsidRDefault="00126B9D" w:rsidP="002710F6">
            <w:pPr>
              <w:spacing w:after="240"/>
              <w:jc w:val="center"/>
              <w:rPr>
                <w:b/>
                <w:szCs w:val="22"/>
              </w:rPr>
            </w:pPr>
            <w:r w:rsidRPr="005B1ADC">
              <w:rPr>
                <w:b/>
                <w:szCs w:val="22"/>
              </w:rPr>
              <w:t>Colorado Tourism Statistics</w:t>
            </w:r>
            <w:r w:rsidR="002710F6">
              <w:rPr>
                <w:b/>
                <w:szCs w:val="22"/>
              </w:rPr>
              <w:br/>
            </w:r>
            <w:r w:rsidRPr="005B1ADC">
              <w:rPr>
                <w:b/>
                <w:szCs w:val="22"/>
              </w:rPr>
              <w:t>Conventions</w:t>
            </w:r>
            <w:r w:rsidRPr="005B1ADC">
              <w:rPr>
                <w:b/>
                <w:szCs w:val="22"/>
                <w:vertAlign w:val="superscript"/>
              </w:rPr>
              <w:t>1</w:t>
            </w:r>
          </w:p>
        </w:tc>
      </w:tr>
      <w:tr w:rsidR="00126B9D" w:rsidRPr="005B1ADC" w:rsidTr="00490ED2">
        <w:trPr>
          <w:jc w:val="center"/>
        </w:trPr>
        <w:tc>
          <w:tcPr>
            <w:tcW w:w="656" w:type="dxa"/>
            <w:vAlign w:val="bottom"/>
          </w:tcPr>
          <w:p w:rsidR="00126B9D" w:rsidRPr="005B1ADC" w:rsidRDefault="00126B9D" w:rsidP="00490ED2">
            <w:pPr>
              <w:spacing w:after="60"/>
              <w:jc w:val="center"/>
              <w:rPr>
                <w:szCs w:val="22"/>
              </w:rPr>
            </w:pPr>
          </w:p>
        </w:tc>
        <w:tc>
          <w:tcPr>
            <w:tcW w:w="2047" w:type="dxa"/>
            <w:gridSpan w:val="2"/>
            <w:vAlign w:val="bottom"/>
          </w:tcPr>
          <w:p w:rsidR="00126B9D" w:rsidRPr="005B1ADC" w:rsidRDefault="00126B9D" w:rsidP="00490ED2">
            <w:pPr>
              <w:pBdr>
                <w:bottom w:val="single" w:sz="4" w:space="1" w:color="auto"/>
              </w:pBdr>
              <w:spacing w:after="60"/>
              <w:jc w:val="center"/>
              <w:rPr>
                <w:b/>
                <w:szCs w:val="22"/>
              </w:rPr>
            </w:pPr>
            <w:r w:rsidRPr="005B1ADC">
              <w:rPr>
                <w:b/>
                <w:szCs w:val="22"/>
              </w:rPr>
              <w:t>National Parks Visits</w:t>
            </w:r>
            <w:r w:rsidRPr="005B1ADC">
              <w:rPr>
                <w:b/>
                <w:szCs w:val="22"/>
                <w:vertAlign w:val="superscript"/>
              </w:rPr>
              <w:t>2</w:t>
            </w:r>
          </w:p>
        </w:tc>
        <w:tc>
          <w:tcPr>
            <w:tcW w:w="1937" w:type="dxa"/>
            <w:gridSpan w:val="2"/>
            <w:vAlign w:val="bottom"/>
          </w:tcPr>
          <w:p w:rsidR="00126B9D" w:rsidRPr="005B1ADC" w:rsidRDefault="00126B9D" w:rsidP="00490ED2">
            <w:pPr>
              <w:pBdr>
                <w:bottom w:val="single" w:sz="4" w:space="1" w:color="auto"/>
              </w:pBdr>
              <w:spacing w:after="60"/>
              <w:jc w:val="center"/>
              <w:rPr>
                <w:b/>
                <w:szCs w:val="22"/>
              </w:rPr>
            </w:pPr>
            <w:r w:rsidRPr="005B1ADC">
              <w:rPr>
                <w:b/>
                <w:szCs w:val="22"/>
              </w:rPr>
              <w:t>Conventions</w:t>
            </w:r>
          </w:p>
        </w:tc>
        <w:tc>
          <w:tcPr>
            <w:tcW w:w="2366" w:type="dxa"/>
            <w:gridSpan w:val="2"/>
            <w:vAlign w:val="bottom"/>
          </w:tcPr>
          <w:p w:rsidR="00126B9D" w:rsidRPr="005B1ADC" w:rsidRDefault="00126B9D" w:rsidP="00490ED2">
            <w:pPr>
              <w:pBdr>
                <w:bottom w:val="single" w:sz="4" w:space="1" w:color="auto"/>
              </w:pBdr>
              <w:spacing w:after="60"/>
              <w:jc w:val="center"/>
              <w:rPr>
                <w:b/>
                <w:szCs w:val="22"/>
              </w:rPr>
            </w:pPr>
            <w:r w:rsidRPr="005B1ADC">
              <w:rPr>
                <w:b/>
                <w:szCs w:val="22"/>
              </w:rPr>
              <w:t>Delegates</w:t>
            </w:r>
          </w:p>
        </w:tc>
        <w:tc>
          <w:tcPr>
            <w:tcW w:w="2047" w:type="dxa"/>
            <w:gridSpan w:val="2"/>
            <w:vAlign w:val="bottom"/>
          </w:tcPr>
          <w:p w:rsidR="00126B9D" w:rsidRPr="005B1ADC" w:rsidRDefault="00126B9D" w:rsidP="00490ED2">
            <w:pPr>
              <w:pBdr>
                <w:bottom w:val="single" w:sz="4" w:space="1" w:color="auto"/>
              </w:pBdr>
              <w:spacing w:after="60"/>
              <w:jc w:val="center"/>
              <w:rPr>
                <w:b/>
                <w:szCs w:val="22"/>
              </w:rPr>
            </w:pPr>
            <w:r w:rsidRPr="005B1ADC">
              <w:rPr>
                <w:b/>
                <w:szCs w:val="22"/>
              </w:rPr>
              <w:t>Spending</w:t>
            </w:r>
          </w:p>
        </w:tc>
        <w:tc>
          <w:tcPr>
            <w:tcW w:w="2047" w:type="dxa"/>
            <w:gridSpan w:val="2"/>
            <w:vAlign w:val="bottom"/>
          </w:tcPr>
          <w:p w:rsidR="00126B9D" w:rsidRPr="005B1ADC" w:rsidRDefault="00126B9D" w:rsidP="00490ED2">
            <w:pPr>
              <w:pBdr>
                <w:bottom w:val="single" w:sz="4" w:space="1" w:color="auto"/>
              </w:pBdr>
              <w:spacing w:after="60"/>
              <w:jc w:val="center"/>
              <w:rPr>
                <w:b/>
                <w:szCs w:val="22"/>
              </w:rPr>
            </w:pPr>
            <w:r w:rsidRPr="005B1ADC">
              <w:rPr>
                <w:b/>
                <w:szCs w:val="22"/>
              </w:rPr>
              <w:t>Skier Visits</w:t>
            </w:r>
            <w:r w:rsidRPr="005B1ADC">
              <w:rPr>
                <w:b/>
                <w:szCs w:val="22"/>
                <w:vertAlign w:val="superscript"/>
              </w:rPr>
              <w:t>3</w:t>
            </w:r>
          </w:p>
        </w:tc>
      </w:tr>
      <w:tr w:rsidR="00126B9D" w:rsidRPr="005B1ADC" w:rsidTr="00490ED2">
        <w:trPr>
          <w:jc w:val="center"/>
        </w:trPr>
        <w:tc>
          <w:tcPr>
            <w:tcW w:w="656" w:type="dxa"/>
            <w:vAlign w:val="bottom"/>
          </w:tcPr>
          <w:p w:rsidR="00126B9D" w:rsidRPr="005B1ADC" w:rsidRDefault="00126B9D" w:rsidP="00490ED2">
            <w:pPr>
              <w:spacing w:after="120"/>
              <w:jc w:val="center"/>
              <w:rPr>
                <w:b/>
                <w:szCs w:val="22"/>
              </w:rPr>
            </w:pPr>
          </w:p>
        </w:tc>
        <w:tc>
          <w:tcPr>
            <w:tcW w:w="1109"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Number (millions)</w:t>
            </w:r>
          </w:p>
        </w:tc>
        <w:tc>
          <w:tcPr>
            <w:tcW w:w="938"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 Change</w:t>
            </w:r>
          </w:p>
        </w:tc>
        <w:tc>
          <w:tcPr>
            <w:tcW w:w="999"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Number</w:t>
            </w:r>
          </w:p>
        </w:tc>
        <w:tc>
          <w:tcPr>
            <w:tcW w:w="938"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 Change</w:t>
            </w:r>
          </w:p>
        </w:tc>
        <w:tc>
          <w:tcPr>
            <w:tcW w:w="1317"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Number (thousands)</w:t>
            </w:r>
          </w:p>
        </w:tc>
        <w:tc>
          <w:tcPr>
            <w:tcW w:w="1049"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 Change</w:t>
            </w:r>
          </w:p>
        </w:tc>
        <w:tc>
          <w:tcPr>
            <w:tcW w:w="1109"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Amount (millions)</w:t>
            </w:r>
          </w:p>
        </w:tc>
        <w:tc>
          <w:tcPr>
            <w:tcW w:w="938"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 Change</w:t>
            </w:r>
          </w:p>
        </w:tc>
        <w:tc>
          <w:tcPr>
            <w:tcW w:w="1109"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Number (millions)</w:t>
            </w:r>
          </w:p>
        </w:tc>
        <w:tc>
          <w:tcPr>
            <w:tcW w:w="938"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 Change</w:t>
            </w:r>
          </w:p>
        </w:tc>
      </w:tr>
      <w:tr w:rsidR="00126B9D" w:rsidRPr="005B1ADC" w:rsidTr="00490ED2">
        <w:trPr>
          <w:jc w:val="center"/>
        </w:trPr>
        <w:tc>
          <w:tcPr>
            <w:tcW w:w="656" w:type="dxa"/>
            <w:vAlign w:val="bottom"/>
          </w:tcPr>
          <w:p w:rsidR="00126B9D" w:rsidRPr="005B1ADC" w:rsidRDefault="00126B9D" w:rsidP="00126B9D">
            <w:pPr>
              <w:jc w:val="center"/>
              <w:rPr>
                <w:szCs w:val="22"/>
              </w:rPr>
            </w:pPr>
            <w:r w:rsidRPr="005B1ADC">
              <w:rPr>
                <w:szCs w:val="22"/>
              </w:rPr>
              <w:t>2014</w:t>
            </w:r>
          </w:p>
        </w:tc>
        <w:tc>
          <w:tcPr>
            <w:tcW w:w="1109" w:type="dxa"/>
            <w:vAlign w:val="bottom"/>
          </w:tcPr>
          <w:p w:rsidR="00126B9D" w:rsidRPr="005B1ADC" w:rsidRDefault="00126B9D" w:rsidP="00126B9D">
            <w:pPr>
              <w:tabs>
                <w:tab w:val="decimal" w:pos="321"/>
              </w:tabs>
              <w:jc w:val="left"/>
              <w:rPr>
                <w:szCs w:val="22"/>
              </w:rPr>
            </w:pPr>
            <w:r w:rsidRPr="005B1ADC">
              <w:rPr>
                <w:szCs w:val="22"/>
              </w:rPr>
              <w:t>6.03</w:t>
            </w:r>
          </w:p>
        </w:tc>
        <w:tc>
          <w:tcPr>
            <w:tcW w:w="938" w:type="dxa"/>
            <w:vAlign w:val="bottom"/>
          </w:tcPr>
          <w:p w:rsidR="00126B9D" w:rsidRPr="005B1ADC" w:rsidRDefault="00126B9D" w:rsidP="00126B9D">
            <w:pPr>
              <w:tabs>
                <w:tab w:val="decimal" w:pos="347"/>
              </w:tabs>
              <w:jc w:val="left"/>
              <w:rPr>
                <w:szCs w:val="22"/>
              </w:rPr>
            </w:pPr>
            <w:r>
              <w:rPr>
                <w:szCs w:val="22"/>
              </w:rPr>
              <w:t>–</w:t>
            </w:r>
          </w:p>
        </w:tc>
        <w:tc>
          <w:tcPr>
            <w:tcW w:w="999" w:type="dxa"/>
            <w:vAlign w:val="bottom"/>
          </w:tcPr>
          <w:p w:rsidR="00126B9D" w:rsidRPr="005B1ADC" w:rsidRDefault="00126B9D" w:rsidP="00126B9D">
            <w:pPr>
              <w:jc w:val="center"/>
              <w:rPr>
                <w:szCs w:val="22"/>
              </w:rPr>
            </w:pPr>
            <w:r w:rsidRPr="005B1ADC">
              <w:rPr>
                <w:szCs w:val="22"/>
              </w:rPr>
              <w:t>76</w:t>
            </w:r>
          </w:p>
        </w:tc>
        <w:tc>
          <w:tcPr>
            <w:tcW w:w="938" w:type="dxa"/>
            <w:vAlign w:val="bottom"/>
          </w:tcPr>
          <w:p w:rsidR="00126B9D" w:rsidRPr="005B1ADC" w:rsidRDefault="00126B9D" w:rsidP="00126B9D">
            <w:pPr>
              <w:tabs>
                <w:tab w:val="decimal" w:pos="362"/>
              </w:tabs>
              <w:jc w:val="left"/>
              <w:rPr>
                <w:szCs w:val="22"/>
              </w:rPr>
            </w:pPr>
            <w:r>
              <w:rPr>
                <w:szCs w:val="22"/>
              </w:rPr>
              <w:t>–</w:t>
            </w:r>
          </w:p>
        </w:tc>
        <w:tc>
          <w:tcPr>
            <w:tcW w:w="1317" w:type="dxa"/>
            <w:vAlign w:val="bottom"/>
          </w:tcPr>
          <w:p w:rsidR="00126B9D" w:rsidRPr="005B1ADC" w:rsidRDefault="00126B9D" w:rsidP="00126B9D">
            <w:pPr>
              <w:tabs>
                <w:tab w:val="decimal" w:pos="567"/>
              </w:tabs>
              <w:jc w:val="left"/>
              <w:rPr>
                <w:szCs w:val="22"/>
              </w:rPr>
            </w:pPr>
            <w:r w:rsidRPr="005B1ADC">
              <w:rPr>
                <w:szCs w:val="22"/>
              </w:rPr>
              <w:t>289.3</w:t>
            </w:r>
          </w:p>
        </w:tc>
        <w:tc>
          <w:tcPr>
            <w:tcW w:w="1049" w:type="dxa"/>
            <w:vAlign w:val="bottom"/>
          </w:tcPr>
          <w:p w:rsidR="00126B9D" w:rsidRPr="005B1ADC" w:rsidRDefault="00126B9D" w:rsidP="00126B9D">
            <w:pPr>
              <w:tabs>
                <w:tab w:val="decimal" w:pos="374"/>
              </w:tabs>
              <w:jc w:val="left"/>
              <w:rPr>
                <w:szCs w:val="22"/>
              </w:rPr>
            </w:pPr>
            <w:r>
              <w:rPr>
                <w:szCs w:val="22"/>
              </w:rPr>
              <w:t>–</w:t>
            </w:r>
          </w:p>
        </w:tc>
        <w:tc>
          <w:tcPr>
            <w:tcW w:w="1109" w:type="dxa"/>
            <w:vAlign w:val="bottom"/>
          </w:tcPr>
          <w:p w:rsidR="00126B9D" w:rsidRPr="005B1ADC" w:rsidRDefault="00126B9D" w:rsidP="00126B9D">
            <w:pPr>
              <w:tabs>
                <w:tab w:val="decimal" w:pos="506"/>
              </w:tabs>
              <w:jc w:val="left"/>
              <w:rPr>
                <w:szCs w:val="22"/>
              </w:rPr>
            </w:pPr>
            <w:r>
              <w:rPr>
                <w:szCs w:val="22"/>
              </w:rPr>
              <w:t>$</w:t>
            </w:r>
            <w:r w:rsidRPr="005B1ADC">
              <w:rPr>
                <w:szCs w:val="22"/>
              </w:rPr>
              <w:t>576.3</w:t>
            </w:r>
          </w:p>
        </w:tc>
        <w:tc>
          <w:tcPr>
            <w:tcW w:w="938" w:type="dxa"/>
            <w:vAlign w:val="bottom"/>
          </w:tcPr>
          <w:p w:rsidR="00126B9D" w:rsidRPr="005B1ADC" w:rsidRDefault="00126B9D" w:rsidP="00126B9D">
            <w:pPr>
              <w:tabs>
                <w:tab w:val="decimal" w:pos="315"/>
              </w:tabs>
              <w:jc w:val="left"/>
              <w:rPr>
                <w:szCs w:val="22"/>
              </w:rPr>
            </w:pPr>
            <w:r>
              <w:rPr>
                <w:szCs w:val="22"/>
              </w:rPr>
              <w:t>–</w:t>
            </w:r>
          </w:p>
        </w:tc>
        <w:tc>
          <w:tcPr>
            <w:tcW w:w="1109" w:type="dxa"/>
            <w:vAlign w:val="bottom"/>
          </w:tcPr>
          <w:p w:rsidR="00126B9D" w:rsidRPr="005B1ADC" w:rsidRDefault="00126B9D" w:rsidP="00126B9D">
            <w:pPr>
              <w:tabs>
                <w:tab w:val="decimal" w:pos="412"/>
              </w:tabs>
              <w:jc w:val="left"/>
              <w:rPr>
                <w:szCs w:val="22"/>
              </w:rPr>
            </w:pPr>
            <w:r w:rsidRPr="005B1ADC">
              <w:rPr>
                <w:szCs w:val="22"/>
              </w:rPr>
              <w:t>12.60</w:t>
            </w:r>
          </w:p>
        </w:tc>
        <w:tc>
          <w:tcPr>
            <w:tcW w:w="938" w:type="dxa"/>
            <w:vAlign w:val="bottom"/>
          </w:tcPr>
          <w:p w:rsidR="00126B9D" w:rsidRPr="005B1ADC" w:rsidRDefault="00126B9D" w:rsidP="00126B9D">
            <w:pPr>
              <w:tabs>
                <w:tab w:val="decimal" w:pos="329"/>
              </w:tabs>
              <w:jc w:val="left"/>
              <w:rPr>
                <w:szCs w:val="22"/>
              </w:rPr>
            </w:pPr>
            <w:r>
              <w:rPr>
                <w:szCs w:val="22"/>
              </w:rPr>
              <w:t>–</w:t>
            </w:r>
          </w:p>
        </w:tc>
      </w:tr>
      <w:tr w:rsidR="00126B9D" w:rsidRPr="005B1ADC" w:rsidTr="00490ED2">
        <w:trPr>
          <w:jc w:val="center"/>
        </w:trPr>
        <w:tc>
          <w:tcPr>
            <w:tcW w:w="656" w:type="dxa"/>
            <w:vAlign w:val="bottom"/>
          </w:tcPr>
          <w:p w:rsidR="00126B9D" w:rsidRPr="005B1ADC" w:rsidRDefault="00126B9D" w:rsidP="00126B9D">
            <w:pPr>
              <w:jc w:val="center"/>
              <w:rPr>
                <w:szCs w:val="22"/>
              </w:rPr>
            </w:pPr>
            <w:r w:rsidRPr="005B1ADC">
              <w:rPr>
                <w:szCs w:val="22"/>
              </w:rPr>
              <w:t>2015</w:t>
            </w:r>
          </w:p>
        </w:tc>
        <w:tc>
          <w:tcPr>
            <w:tcW w:w="1109" w:type="dxa"/>
            <w:vAlign w:val="bottom"/>
          </w:tcPr>
          <w:p w:rsidR="00126B9D" w:rsidRPr="005B1ADC" w:rsidRDefault="00126B9D" w:rsidP="00126B9D">
            <w:pPr>
              <w:tabs>
                <w:tab w:val="decimal" w:pos="321"/>
              </w:tabs>
              <w:jc w:val="left"/>
              <w:rPr>
                <w:szCs w:val="22"/>
              </w:rPr>
            </w:pPr>
            <w:r w:rsidRPr="005B1ADC">
              <w:rPr>
                <w:szCs w:val="22"/>
              </w:rPr>
              <w:t>7.08</w:t>
            </w:r>
          </w:p>
        </w:tc>
        <w:tc>
          <w:tcPr>
            <w:tcW w:w="938" w:type="dxa"/>
            <w:vAlign w:val="bottom"/>
          </w:tcPr>
          <w:p w:rsidR="00126B9D" w:rsidRPr="005B1ADC" w:rsidRDefault="00126B9D" w:rsidP="00126B9D">
            <w:pPr>
              <w:tabs>
                <w:tab w:val="decimal" w:pos="347"/>
              </w:tabs>
              <w:jc w:val="left"/>
              <w:rPr>
                <w:szCs w:val="22"/>
              </w:rPr>
            </w:pPr>
            <w:r w:rsidRPr="005B1ADC">
              <w:rPr>
                <w:szCs w:val="22"/>
              </w:rPr>
              <w:t>17.3</w:t>
            </w:r>
            <w:r>
              <w:rPr>
                <w:szCs w:val="22"/>
              </w:rPr>
              <w:t>%</w:t>
            </w:r>
          </w:p>
        </w:tc>
        <w:tc>
          <w:tcPr>
            <w:tcW w:w="999" w:type="dxa"/>
            <w:vAlign w:val="bottom"/>
          </w:tcPr>
          <w:p w:rsidR="00126B9D" w:rsidRPr="005B1ADC" w:rsidRDefault="00126B9D" w:rsidP="00126B9D">
            <w:pPr>
              <w:jc w:val="center"/>
              <w:rPr>
                <w:szCs w:val="22"/>
              </w:rPr>
            </w:pPr>
            <w:r w:rsidRPr="005B1ADC">
              <w:rPr>
                <w:szCs w:val="22"/>
              </w:rPr>
              <w:t>73</w:t>
            </w:r>
          </w:p>
        </w:tc>
        <w:tc>
          <w:tcPr>
            <w:tcW w:w="938" w:type="dxa"/>
            <w:vAlign w:val="bottom"/>
          </w:tcPr>
          <w:p w:rsidR="00126B9D" w:rsidRPr="005B1ADC" w:rsidRDefault="00126B9D" w:rsidP="00126B9D">
            <w:pPr>
              <w:tabs>
                <w:tab w:val="decimal" w:pos="362"/>
              </w:tabs>
              <w:jc w:val="left"/>
              <w:rPr>
                <w:szCs w:val="22"/>
              </w:rPr>
            </w:pPr>
            <w:r w:rsidRPr="005B1ADC">
              <w:rPr>
                <w:szCs w:val="22"/>
              </w:rPr>
              <w:t>-3.9</w:t>
            </w:r>
            <w:r>
              <w:rPr>
                <w:szCs w:val="22"/>
              </w:rPr>
              <w:t>%</w:t>
            </w:r>
          </w:p>
        </w:tc>
        <w:tc>
          <w:tcPr>
            <w:tcW w:w="1317" w:type="dxa"/>
            <w:vAlign w:val="bottom"/>
          </w:tcPr>
          <w:p w:rsidR="00126B9D" w:rsidRPr="005B1ADC" w:rsidRDefault="00126B9D" w:rsidP="00126B9D">
            <w:pPr>
              <w:tabs>
                <w:tab w:val="decimal" w:pos="567"/>
              </w:tabs>
              <w:jc w:val="left"/>
              <w:rPr>
                <w:szCs w:val="22"/>
              </w:rPr>
            </w:pPr>
            <w:r w:rsidRPr="005B1ADC">
              <w:rPr>
                <w:szCs w:val="22"/>
              </w:rPr>
              <w:t>236.8</w:t>
            </w:r>
          </w:p>
        </w:tc>
        <w:tc>
          <w:tcPr>
            <w:tcW w:w="1049" w:type="dxa"/>
            <w:vAlign w:val="bottom"/>
          </w:tcPr>
          <w:p w:rsidR="00126B9D" w:rsidRPr="005B1ADC" w:rsidRDefault="00126B9D" w:rsidP="00126B9D">
            <w:pPr>
              <w:tabs>
                <w:tab w:val="decimal" w:pos="374"/>
              </w:tabs>
              <w:jc w:val="left"/>
              <w:rPr>
                <w:szCs w:val="22"/>
              </w:rPr>
            </w:pPr>
            <w:r w:rsidRPr="005B1ADC">
              <w:rPr>
                <w:szCs w:val="22"/>
              </w:rPr>
              <w:t>-18.1</w:t>
            </w:r>
            <w:r>
              <w:rPr>
                <w:szCs w:val="22"/>
              </w:rPr>
              <w:t>%</w:t>
            </w:r>
          </w:p>
        </w:tc>
        <w:tc>
          <w:tcPr>
            <w:tcW w:w="1109" w:type="dxa"/>
            <w:vAlign w:val="bottom"/>
          </w:tcPr>
          <w:p w:rsidR="00126B9D" w:rsidRPr="005B1ADC" w:rsidRDefault="00126B9D" w:rsidP="00126B9D">
            <w:pPr>
              <w:tabs>
                <w:tab w:val="decimal" w:pos="506"/>
              </w:tabs>
              <w:jc w:val="left"/>
              <w:rPr>
                <w:szCs w:val="22"/>
              </w:rPr>
            </w:pPr>
            <w:r w:rsidRPr="005B1ADC">
              <w:rPr>
                <w:szCs w:val="22"/>
              </w:rPr>
              <w:t>546.6</w:t>
            </w:r>
          </w:p>
        </w:tc>
        <w:tc>
          <w:tcPr>
            <w:tcW w:w="938" w:type="dxa"/>
            <w:vAlign w:val="bottom"/>
          </w:tcPr>
          <w:p w:rsidR="00126B9D" w:rsidRPr="005B1ADC" w:rsidRDefault="00126B9D" w:rsidP="00126B9D">
            <w:pPr>
              <w:tabs>
                <w:tab w:val="decimal" w:pos="315"/>
              </w:tabs>
              <w:jc w:val="left"/>
              <w:rPr>
                <w:szCs w:val="22"/>
              </w:rPr>
            </w:pPr>
            <w:r w:rsidRPr="005B1ADC">
              <w:rPr>
                <w:szCs w:val="22"/>
              </w:rPr>
              <w:t>-5.2</w:t>
            </w:r>
            <w:r>
              <w:rPr>
                <w:szCs w:val="22"/>
              </w:rPr>
              <w:t>%</w:t>
            </w:r>
          </w:p>
        </w:tc>
        <w:tc>
          <w:tcPr>
            <w:tcW w:w="1109" w:type="dxa"/>
            <w:vAlign w:val="bottom"/>
          </w:tcPr>
          <w:p w:rsidR="00126B9D" w:rsidRPr="005B1ADC" w:rsidRDefault="00126B9D" w:rsidP="00126B9D">
            <w:pPr>
              <w:tabs>
                <w:tab w:val="decimal" w:pos="412"/>
              </w:tabs>
              <w:jc w:val="left"/>
              <w:rPr>
                <w:szCs w:val="22"/>
              </w:rPr>
            </w:pPr>
            <w:r w:rsidRPr="005B1ADC">
              <w:rPr>
                <w:szCs w:val="22"/>
              </w:rPr>
              <w:t>12.5</w:t>
            </w:r>
            <w:r>
              <w:rPr>
                <w:szCs w:val="22"/>
              </w:rPr>
              <w:t>4</w:t>
            </w:r>
          </w:p>
        </w:tc>
        <w:tc>
          <w:tcPr>
            <w:tcW w:w="938" w:type="dxa"/>
            <w:vAlign w:val="bottom"/>
          </w:tcPr>
          <w:p w:rsidR="00126B9D" w:rsidRPr="005B1ADC" w:rsidRDefault="00126B9D" w:rsidP="00126B9D">
            <w:pPr>
              <w:tabs>
                <w:tab w:val="decimal" w:pos="329"/>
              </w:tabs>
              <w:jc w:val="left"/>
              <w:rPr>
                <w:szCs w:val="22"/>
              </w:rPr>
            </w:pPr>
            <w:r w:rsidRPr="005B1ADC">
              <w:rPr>
                <w:szCs w:val="22"/>
              </w:rPr>
              <w:t>-0.4</w:t>
            </w:r>
            <w:r>
              <w:rPr>
                <w:szCs w:val="22"/>
              </w:rPr>
              <w:t>%</w:t>
            </w:r>
          </w:p>
        </w:tc>
      </w:tr>
      <w:tr w:rsidR="00126B9D" w:rsidRPr="005B1ADC" w:rsidTr="00490ED2">
        <w:trPr>
          <w:jc w:val="center"/>
        </w:trPr>
        <w:tc>
          <w:tcPr>
            <w:tcW w:w="656" w:type="dxa"/>
            <w:vAlign w:val="bottom"/>
          </w:tcPr>
          <w:p w:rsidR="00126B9D" w:rsidRPr="005B1ADC" w:rsidRDefault="00126B9D" w:rsidP="00490ED2">
            <w:pPr>
              <w:jc w:val="center"/>
              <w:rPr>
                <w:szCs w:val="22"/>
              </w:rPr>
            </w:pPr>
            <w:r>
              <w:rPr>
                <w:szCs w:val="22"/>
              </w:rPr>
              <w:t>2016</w:t>
            </w:r>
          </w:p>
        </w:tc>
        <w:tc>
          <w:tcPr>
            <w:tcW w:w="1109" w:type="dxa"/>
            <w:vAlign w:val="bottom"/>
          </w:tcPr>
          <w:p w:rsidR="00126B9D" w:rsidRPr="005B1ADC" w:rsidRDefault="00126B9D" w:rsidP="00490ED2">
            <w:pPr>
              <w:tabs>
                <w:tab w:val="decimal" w:pos="321"/>
              </w:tabs>
              <w:jc w:val="left"/>
              <w:rPr>
                <w:szCs w:val="22"/>
              </w:rPr>
            </w:pPr>
            <w:r>
              <w:rPr>
                <w:szCs w:val="22"/>
              </w:rPr>
              <w:t>7.46</w:t>
            </w:r>
          </w:p>
        </w:tc>
        <w:tc>
          <w:tcPr>
            <w:tcW w:w="938" w:type="dxa"/>
            <w:vAlign w:val="bottom"/>
          </w:tcPr>
          <w:p w:rsidR="00126B9D" w:rsidRPr="005B1ADC" w:rsidRDefault="00126B9D" w:rsidP="00490ED2">
            <w:pPr>
              <w:tabs>
                <w:tab w:val="decimal" w:pos="347"/>
              </w:tabs>
              <w:jc w:val="left"/>
              <w:rPr>
                <w:szCs w:val="22"/>
              </w:rPr>
            </w:pPr>
            <w:r>
              <w:rPr>
                <w:szCs w:val="22"/>
              </w:rPr>
              <w:t>5.4</w:t>
            </w:r>
          </w:p>
        </w:tc>
        <w:tc>
          <w:tcPr>
            <w:tcW w:w="999" w:type="dxa"/>
            <w:vAlign w:val="bottom"/>
          </w:tcPr>
          <w:p w:rsidR="00126B9D" w:rsidRPr="005B1ADC" w:rsidRDefault="00126B9D" w:rsidP="00490ED2">
            <w:pPr>
              <w:jc w:val="center"/>
              <w:rPr>
                <w:szCs w:val="22"/>
              </w:rPr>
            </w:pPr>
            <w:r>
              <w:rPr>
                <w:szCs w:val="22"/>
              </w:rPr>
              <w:t>66</w:t>
            </w:r>
          </w:p>
        </w:tc>
        <w:tc>
          <w:tcPr>
            <w:tcW w:w="938" w:type="dxa"/>
            <w:vAlign w:val="bottom"/>
          </w:tcPr>
          <w:p w:rsidR="00126B9D" w:rsidRPr="005B1ADC" w:rsidRDefault="00126B9D" w:rsidP="00490ED2">
            <w:pPr>
              <w:tabs>
                <w:tab w:val="decimal" w:pos="362"/>
              </w:tabs>
              <w:jc w:val="left"/>
              <w:rPr>
                <w:szCs w:val="22"/>
              </w:rPr>
            </w:pPr>
            <w:r>
              <w:rPr>
                <w:szCs w:val="22"/>
              </w:rPr>
              <w:t>-9.6</w:t>
            </w:r>
          </w:p>
        </w:tc>
        <w:tc>
          <w:tcPr>
            <w:tcW w:w="1317" w:type="dxa"/>
            <w:vAlign w:val="bottom"/>
          </w:tcPr>
          <w:p w:rsidR="00126B9D" w:rsidRPr="005B1ADC" w:rsidRDefault="00126B9D" w:rsidP="00490ED2">
            <w:pPr>
              <w:tabs>
                <w:tab w:val="decimal" w:pos="567"/>
              </w:tabs>
              <w:jc w:val="left"/>
              <w:rPr>
                <w:szCs w:val="22"/>
              </w:rPr>
            </w:pPr>
            <w:r>
              <w:rPr>
                <w:szCs w:val="22"/>
              </w:rPr>
              <w:t>242.7</w:t>
            </w:r>
          </w:p>
        </w:tc>
        <w:tc>
          <w:tcPr>
            <w:tcW w:w="1049" w:type="dxa"/>
            <w:vAlign w:val="bottom"/>
          </w:tcPr>
          <w:p w:rsidR="00126B9D" w:rsidRPr="005B1ADC" w:rsidRDefault="00126B9D" w:rsidP="00490ED2">
            <w:pPr>
              <w:tabs>
                <w:tab w:val="decimal" w:pos="374"/>
              </w:tabs>
              <w:jc w:val="left"/>
              <w:rPr>
                <w:szCs w:val="22"/>
              </w:rPr>
            </w:pPr>
            <w:r>
              <w:rPr>
                <w:szCs w:val="22"/>
              </w:rPr>
              <w:t>2.5</w:t>
            </w:r>
          </w:p>
        </w:tc>
        <w:tc>
          <w:tcPr>
            <w:tcW w:w="1109" w:type="dxa"/>
            <w:vAlign w:val="bottom"/>
          </w:tcPr>
          <w:p w:rsidR="00126B9D" w:rsidRPr="005B1ADC" w:rsidRDefault="00126B9D" w:rsidP="00490ED2">
            <w:pPr>
              <w:tabs>
                <w:tab w:val="decimal" w:pos="506"/>
              </w:tabs>
              <w:jc w:val="left"/>
              <w:rPr>
                <w:szCs w:val="22"/>
              </w:rPr>
            </w:pPr>
            <w:r>
              <w:rPr>
                <w:szCs w:val="22"/>
              </w:rPr>
              <w:t>543.4</w:t>
            </w:r>
          </w:p>
        </w:tc>
        <w:tc>
          <w:tcPr>
            <w:tcW w:w="938" w:type="dxa"/>
            <w:vAlign w:val="bottom"/>
          </w:tcPr>
          <w:p w:rsidR="00126B9D" w:rsidRPr="005B1ADC" w:rsidRDefault="00126B9D" w:rsidP="00490ED2">
            <w:pPr>
              <w:tabs>
                <w:tab w:val="decimal" w:pos="315"/>
              </w:tabs>
              <w:jc w:val="left"/>
              <w:rPr>
                <w:szCs w:val="22"/>
              </w:rPr>
            </w:pPr>
            <w:r>
              <w:rPr>
                <w:szCs w:val="22"/>
              </w:rPr>
              <w:t>-0.6</w:t>
            </w:r>
          </w:p>
        </w:tc>
        <w:tc>
          <w:tcPr>
            <w:tcW w:w="1109" w:type="dxa"/>
            <w:vAlign w:val="bottom"/>
          </w:tcPr>
          <w:p w:rsidR="00126B9D" w:rsidRPr="005B1ADC" w:rsidRDefault="00126B9D" w:rsidP="00490ED2">
            <w:pPr>
              <w:tabs>
                <w:tab w:val="decimal" w:pos="412"/>
              </w:tabs>
              <w:jc w:val="left"/>
              <w:rPr>
                <w:szCs w:val="22"/>
              </w:rPr>
            </w:pPr>
            <w:r>
              <w:rPr>
                <w:szCs w:val="22"/>
              </w:rPr>
              <w:t>13.39</w:t>
            </w:r>
          </w:p>
        </w:tc>
        <w:tc>
          <w:tcPr>
            <w:tcW w:w="938" w:type="dxa"/>
            <w:vAlign w:val="bottom"/>
          </w:tcPr>
          <w:p w:rsidR="00126B9D" w:rsidRPr="005B1ADC" w:rsidRDefault="00126B9D" w:rsidP="00490ED2">
            <w:pPr>
              <w:tabs>
                <w:tab w:val="decimal" w:pos="329"/>
              </w:tabs>
              <w:jc w:val="left"/>
              <w:rPr>
                <w:szCs w:val="22"/>
              </w:rPr>
            </w:pPr>
            <w:r>
              <w:rPr>
                <w:szCs w:val="22"/>
              </w:rPr>
              <w:t>6.8</w:t>
            </w:r>
          </w:p>
        </w:tc>
      </w:tr>
      <w:tr w:rsidR="00126B9D" w:rsidRPr="005B1ADC" w:rsidTr="00490ED2">
        <w:trPr>
          <w:jc w:val="center"/>
        </w:trPr>
        <w:tc>
          <w:tcPr>
            <w:tcW w:w="656" w:type="dxa"/>
            <w:vAlign w:val="bottom"/>
          </w:tcPr>
          <w:p w:rsidR="00126B9D" w:rsidRPr="005B1ADC" w:rsidRDefault="00126B9D" w:rsidP="00490ED2">
            <w:pPr>
              <w:jc w:val="center"/>
              <w:rPr>
                <w:szCs w:val="22"/>
              </w:rPr>
            </w:pPr>
            <w:r>
              <w:rPr>
                <w:szCs w:val="22"/>
              </w:rPr>
              <w:t>2017</w:t>
            </w:r>
          </w:p>
        </w:tc>
        <w:tc>
          <w:tcPr>
            <w:tcW w:w="1109" w:type="dxa"/>
            <w:vAlign w:val="bottom"/>
          </w:tcPr>
          <w:p w:rsidR="00126B9D" w:rsidRPr="005B1ADC" w:rsidRDefault="00126B9D" w:rsidP="00490ED2">
            <w:pPr>
              <w:tabs>
                <w:tab w:val="decimal" w:pos="321"/>
              </w:tabs>
              <w:jc w:val="left"/>
              <w:rPr>
                <w:szCs w:val="22"/>
              </w:rPr>
            </w:pPr>
            <w:r>
              <w:rPr>
                <w:szCs w:val="22"/>
              </w:rPr>
              <w:t>7.61</w:t>
            </w:r>
          </w:p>
        </w:tc>
        <w:tc>
          <w:tcPr>
            <w:tcW w:w="938" w:type="dxa"/>
            <w:vAlign w:val="bottom"/>
          </w:tcPr>
          <w:p w:rsidR="00126B9D" w:rsidRPr="005B1ADC" w:rsidRDefault="00126B9D" w:rsidP="00490ED2">
            <w:pPr>
              <w:tabs>
                <w:tab w:val="decimal" w:pos="347"/>
              </w:tabs>
              <w:jc w:val="left"/>
              <w:rPr>
                <w:szCs w:val="22"/>
              </w:rPr>
            </w:pPr>
            <w:r>
              <w:rPr>
                <w:szCs w:val="22"/>
              </w:rPr>
              <w:t>2.0</w:t>
            </w:r>
          </w:p>
        </w:tc>
        <w:tc>
          <w:tcPr>
            <w:tcW w:w="999" w:type="dxa"/>
            <w:vAlign w:val="bottom"/>
          </w:tcPr>
          <w:p w:rsidR="00126B9D" w:rsidRPr="005B1ADC" w:rsidRDefault="00126B9D" w:rsidP="00490ED2">
            <w:pPr>
              <w:jc w:val="center"/>
              <w:rPr>
                <w:szCs w:val="22"/>
              </w:rPr>
            </w:pPr>
            <w:r>
              <w:rPr>
                <w:szCs w:val="22"/>
              </w:rPr>
              <w:t>84</w:t>
            </w:r>
          </w:p>
        </w:tc>
        <w:tc>
          <w:tcPr>
            <w:tcW w:w="938" w:type="dxa"/>
            <w:vAlign w:val="bottom"/>
          </w:tcPr>
          <w:p w:rsidR="00126B9D" w:rsidRPr="005B1ADC" w:rsidRDefault="00126B9D" w:rsidP="00490ED2">
            <w:pPr>
              <w:tabs>
                <w:tab w:val="decimal" w:pos="362"/>
              </w:tabs>
              <w:jc w:val="left"/>
              <w:rPr>
                <w:szCs w:val="22"/>
              </w:rPr>
            </w:pPr>
            <w:r>
              <w:rPr>
                <w:szCs w:val="22"/>
              </w:rPr>
              <w:t>27.3</w:t>
            </w:r>
          </w:p>
        </w:tc>
        <w:tc>
          <w:tcPr>
            <w:tcW w:w="1317" w:type="dxa"/>
            <w:vAlign w:val="bottom"/>
          </w:tcPr>
          <w:p w:rsidR="00126B9D" w:rsidRPr="005B1ADC" w:rsidRDefault="00126B9D" w:rsidP="00490ED2">
            <w:pPr>
              <w:tabs>
                <w:tab w:val="decimal" w:pos="567"/>
              </w:tabs>
              <w:jc w:val="left"/>
              <w:rPr>
                <w:szCs w:val="22"/>
              </w:rPr>
            </w:pPr>
            <w:r>
              <w:rPr>
                <w:szCs w:val="22"/>
              </w:rPr>
              <w:t>235.6</w:t>
            </w:r>
          </w:p>
        </w:tc>
        <w:tc>
          <w:tcPr>
            <w:tcW w:w="1049" w:type="dxa"/>
            <w:vAlign w:val="bottom"/>
          </w:tcPr>
          <w:p w:rsidR="00126B9D" w:rsidRPr="005B1ADC" w:rsidRDefault="00126B9D" w:rsidP="00490ED2">
            <w:pPr>
              <w:tabs>
                <w:tab w:val="decimal" w:pos="374"/>
              </w:tabs>
              <w:jc w:val="left"/>
              <w:rPr>
                <w:szCs w:val="22"/>
              </w:rPr>
            </w:pPr>
            <w:r>
              <w:rPr>
                <w:szCs w:val="22"/>
              </w:rPr>
              <w:t>-2.9</w:t>
            </w:r>
          </w:p>
        </w:tc>
        <w:tc>
          <w:tcPr>
            <w:tcW w:w="1109" w:type="dxa"/>
            <w:vAlign w:val="bottom"/>
          </w:tcPr>
          <w:p w:rsidR="00126B9D" w:rsidRPr="005B1ADC" w:rsidRDefault="00126B9D" w:rsidP="00490ED2">
            <w:pPr>
              <w:tabs>
                <w:tab w:val="decimal" w:pos="506"/>
              </w:tabs>
              <w:jc w:val="left"/>
              <w:rPr>
                <w:szCs w:val="22"/>
              </w:rPr>
            </w:pPr>
            <w:r>
              <w:rPr>
                <w:szCs w:val="22"/>
              </w:rPr>
              <w:t>518.6</w:t>
            </w:r>
          </w:p>
        </w:tc>
        <w:tc>
          <w:tcPr>
            <w:tcW w:w="938" w:type="dxa"/>
            <w:vAlign w:val="bottom"/>
          </w:tcPr>
          <w:p w:rsidR="00126B9D" w:rsidRPr="005B1ADC" w:rsidRDefault="00126B9D" w:rsidP="00490ED2">
            <w:pPr>
              <w:tabs>
                <w:tab w:val="decimal" w:pos="315"/>
              </w:tabs>
              <w:jc w:val="left"/>
              <w:rPr>
                <w:szCs w:val="22"/>
              </w:rPr>
            </w:pPr>
            <w:r>
              <w:rPr>
                <w:szCs w:val="22"/>
              </w:rPr>
              <w:t>-4.6</w:t>
            </w:r>
          </w:p>
        </w:tc>
        <w:tc>
          <w:tcPr>
            <w:tcW w:w="1109" w:type="dxa"/>
            <w:vAlign w:val="bottom"/>
          </w:tcPr>
          <w:p w:rsidR="00126B9D" w:rsidRPr="005B1ADC" w:rsidRDefault="00126B9D" w:rsidP="00490ED2">
            <w:pPr>
              <w:tabs>
                <w:tab w:val="decimal" w:pos="412"/>
              </w:tabs>
              <w:jc w:val="left"/>
              <w:rPr>
                <w:szCs w:val="22"/>
              </w:rPr>
            </w:pPr>
            <w:r>
              <w:rPr>
                <w:szCs w:val="22"/>
              </w:rPr>
              <w:t>13.12</w:t>
            </w:r>
          </w:p>
        </w:tc>
        <w:tc>
          <w:tcPr>
            <w:tcW w:w="938" w:type="dxa"/>
            <w:vAlign w:val="bottom"/>
          </w:tcPr>
          <w:p w:rsidR="00126B9D" w:rsidRPr="005B1ADC" w:rsidRDefault="00126B9D" w:rsidP="00490ED2">
            <w:pPr>
              <w:tabs>
                <w:tab w:val="decimal" w:pos="329"/>
              </w:tabs>
              <w:jc w:val="left"/>
              <w:rPr>
                <w:szCs w:val="22"/>
              </w:rPr>
            </w:pPr>
            <w:r>
              <w:rPr>
                <w:szCs w:val="22"/>
              </w:rPr>
              <w:t>-2.0</w:t>
            </w:r>
          </w:p>
        </w:tc>
      </w:tr>
      <w:tr w:rsidR="00126B9D" w:rsidRPr="005B1ADC" w:rsidTr="00490ED2">
        <w:trPr>
          <w:jc w:val="center"/>
        </w:trPr>
        <w:tc>
          <w:tcPr>
            <w:tcW w:w="656" w:type="dxa"/>
            <w:vAlign w:val="bottom"/>
          </w:tcPr>
          <w:p w:rsidR="00126B9D" w:rsidRPr="005B1ADC" w:rsidRDefault="00126B9D" w:rsidP="00490ED2">
            <w:pPr>
              <w:jc w:val="center"/>
              <w:rPr>
                <w:szCs w:val="22"/>
              </w:rPr>
            </w:pPr>
            <w:r>
              <w:rPr>
                <w:szCs w:val="22"/>
              </w:rPr>
              <w:t>2018</w:t>
            </w:r>
          </w:p>
        </w:tc>
        <w:tc>
          <w:tcPr>
            <w:tcW w:w="1109" w:type="dxa"/>
            <w:vAlign w:val="bottom"/>
          </w:tcPr>
          <w:p w:rsidR="00126B9D" w:rsidRPr="005B1ADC" w:rsidRDefault="00126B9D" w:rsidP="00490ED2">
            <w:pPr>
              <w:tabs>
                <w:tab w:val="decimal" w:pos="321"/>
              </w:tabs>
              <w:jc w:val="left"/>
              <w:rPr>
                <w:szCs w:val="22"/>
              </w:rPr>
            </w:pPr>
            <w:r>
              <w:rPr>
                <w:szCs w:val="22"/>
              </w:rPr>
              <w:t>7.67</w:t>
            </w:r>
          </w:p>
        </w:tc>
        <w:tc>
          <w:tcPr>
            <w:tcW w:w="938" w:type="dxa"/>
            <w:vAlign w:val="bottom"/>
          </w:tcPr>
          <w:p w:rsidR="00126B9D" w:rsidRPr="005B1ADC" w:rsidRDefault="00126B9D" w:rsidP="00490ED2">
            <w:pPr>
              <w:tabs>
                <w:tab w:val="decimal" w:pos="347"/>
              </w:tabs>
              <w:jc w:val="left"/>
              <w:rPr>
                <w:szCs w:val="22"/>
              </w:rPr>
            </w:pPr>
            <w:r>
              <w:rPr>
                <w:szCs w:val="22"/>
              </w:rPr>
              <w:t>0.9</w:t>
            </w:r>
          </w:p>
        </w:tc>
        <w:tc>
          <w:tcPr>
            <w:tcW w:w="999" w:type="dxa"/>
            <w:vAlign w:val="bottom"/>
          </w:tcPr>
          <w:p w:rsidR="00126B9D" w:rsidRPr="005B1ADC" w:rsidRDefault="00126B9D" w:rsidP="00490ED2">
            <w:pPr>
              <w:jc w:val="center"/>
              <w:rPr>
                <w:szCs w:val="22"/>
              </w:rPr>
            </w:pPr>
            <w:r>
              <w:rPr>
                <w:szCs w:val="22"/>
              </w:rPr>
              <w:t>67</w:t>
            </w:r>
          </w:p>
        </w:tc>
        <w:tc>
          <w:tcPr>
            <w:tcW w:w="938" w:type="dxa"/>
            <w:vAlign w:val="bottom"/>
          </w:tcPr>
          <w:p w:rsidR="00126B9D" w:rsidRPr="005B1ADC" w:rsidRDefault="00126B9D" w:rsidP="00490ED2">
            <w:pPr>
              <w:tabs>
                <w:tab w:val="decimal" w:pos="362"/>
              </w:tabs>
              <w:jc w:val="left"/>
              <w:rPr>
                <w:szCs w:val="22"/>
              </w:rPr>
            </w:pPr>
            <w:r>
              <w:rPr>
                <w:szCs w:val="22"/>
              </w:rPr>
              <w:t>-20.2</w:t>
            </w:r>
          </w:p>
        </w:tc>
        <w:tc>
          <w:tcPr>
            <w:tcW w:w="1317" w:type="dxa"/>
            <w:vAlign w:val="bottom"/>
          </w:tcPr>
          <w:p w:rsidR="00126B9D" w:rsidRPr="005B1ADC" w:rsidRDefault="00126B9D" w:rsidP="00490ED2">
            <w:pPr>
              <w:tabs>
                <w:tab w:val="decimal" w:pos="567"/>
              </w:tabs>
              <w:jc w:val="left"/>
              <w:rPr>
                <w:szCs w:val="22"/>
              </w:rPr>
            </w:pPr>
            <w:r>
              <w:rPr>
                <w:szCs w:val="22"/>
              </w:rPr>
              <w:t>269.4</w:t>
            </w:r>
          </w:p>
        </w:tc>
        <w:tc>
          <w:tcPr>
            <w:tcW w:w="1049" w:type="dxa"/>
            <w:vAlign w:val="bottom"/>
          </w:tcPr>
          <w:p w:rsidR="00126B9D" w:rsidRPr="005B1ADC" w:rsidRDefault="00126B9D" w:rsidP="00490ED2">
            <w:pPr>
              <w:tabs>
                <w:tab w:val="decimal" w:pos="374"/>
              </w:tabs>
              <w:jc w:val="left"/>
              <w:rPr>
                <w:szCs w:val="22"/>
              </w:rPr>
            </w:pPr>
            <w:r>
              <w:rPr>
                <w:szCs w:val="22"/>
              </w:rPr>
              <w:t>14.4</w:t>
            </w:r>
          </w:p>
        </w:tc>
        <w:tc>
          <w:tcPr>
            <w:tcW w:w="1109" w:type="dxa"/>
            <w:vAlign w:val="bottom"/>
          </w:tcPr>
          <w:p w:rsidR="00126B9D" w:rsidRPr="005B1ADC" w:rsidRDefault="00126B9D" w:rsidP="00490ED2">
            <w:pPr>
              <w:tabs>
                <w:tab w:val="decimal" w:pos="506"/>
              </w:tabs>
              <w:jc w:val="left"/>
              <w:rPr>
                <w:szCs w:val="22"/>
              </w:rPr>
            </w:pPr>
            <w:r>
              <w:rPr>
                <w:szCs w:val="22"/>
              </w:rPr>
              <w:t>560.6</w:t>
            </w:r>
          </w:p>
        </w:tc>
        <w:tc>
          <w:tcPr>
            <w:tcW w:w="938" w:type="dxa"/>
            <w:vAlign w:val="bottom"/>
          </w:tcPr>
          <w:p w:rsidR="00126B9D" w:rsidRPr="005B1ADC" w:rsidRDefault="00126B9D" w:rsidP="00490ED2">
            <w:pPr>
              <w:tabs>
                <w:tab w:val="decimal" w:pos="315"/>
              </w:tabs>
              <w:jc w:val="left"/>
              <w:rPr>
                <w:szCs w:val="22"/>
              </w:rPr>
            </w:pPr>
            <w:r>
              <w:rPr>
                <w:szCs w:val="22"/>
              </w:rPr>
              <w:t>8.1</w:t>
            </w:r>
          </w:p>
        </w:tc>
        <w:tc>
          <w:tcPr>
            <w:tcW w:w="1109" w:type="dxa"/>
            <w:vAlign w:val="bottom"/>
          </w:tcPr>
          <w:p w:rsidR="00126B9D" w:rsidRPr="005B1ADC" w:rsidRDefault="00126B9D" w:rsidP="00490ED2">
            <w:pPr>
              <w:tabs>
                <w:tab w:val="decimal" w:pos="412"/>
              </w:tabs>
              <w:jc w:val="left"/>
              <w:rPr>
                <w:szCs w:val="22"/>
              </w:rPr>
            </w:pPr>
            <w:r>
              <w:rPr>
                <w:szCs w:val="22"/>
              </w:rPr>
              <w:t>12.81</w:t>
            </w:r>
          </w:p>
        </w:tc>
        <w:tc>
          <w:tcPr>
            <w:tcW w:w="938" w:type="dxa"/>
            <w:vAlign w:val="bottom"/>
          </w:tcPr>
          <w:p w:rsidR="00126B9D" w:rsidRPr="005B1ADC" w:rsidRDefault="00126B9D" w:rsidP="00490ED2">
            <w:pPr>
              <w:tabs>
                <w:tab w:val="decimal" w:pos="329"/>
              </w:tabs>
              <w:jc w:val="left"/>
              <w:rPr>
                <w:szCs w:val="22"/>
              </w:rPr>
            </w:pPr>
            <w:r>
              <w:rPr>
                <w:szCs w:val="22"/>
              </w:rPr>
              <w:t>-2.4</w:t>
            </w:r>
          </w:p>
        </w:tc>
      </w:tr>
      <w:tr w:rsidR="00126B9D" w:rsidRPr="005B1ADC" w:rsidTr="00490ED2">
        <w:trPr>
          <w:jc w:val="center"/>
        </w:trPr>
        <w:tc>
          <w:tcPr>
            <w:tcW w:w="11100" w:type="dxa"/>
            <w:gridSpan w:val="11"/>
            <w:vAlign w:val="bottom"/>
          </w:tcPr>
          <w:p w:rsidR="00126B9D" w:rsidRPr="005B1ADC" w:rsidRDefault="00126B9D" w:rsidP="00490ED2">
            <w:pPr>
              <w:rPr>
                <w:sz w:val="20"/>
              </w:rPr>
            </w:pPr>
            <w:r w:rsidRPr="005B1ADC">
              <w:rPr>
                <w:sz w:val="20"/>
              </w:rPr>
              <w:t>____________________</w:t>
            </w:r>
          </w:p>
          <w:p w:rsidR="00126B9D" w:rsidRPr="005B1ADC" w:rsidRDefault="00126B9D" w:rsidP="00490ED2">
            <w:pPr>
              <w:rPr>
                <w:sz w:val="20"/>
              </w:rPr>
            </w:pPr>
            <w:r w:rsidRPr="005B1ADC">
              <w:rPr>
                <w:sz w:val="20"/>
                <w:vertAlign w:val="superscript"/>
              </w:rPr>
              <w:t>1</w:t>
            </w:r>
            <w:r w:rsidRPr="005B1ADC">
              <w:rPr>
                <w:sz w:val="20"/>
              </w:rPr>
              <w:t xml:space="preserve"> Includes only those conventions booked by VISIT DENVER and held at the Colorado Convention Center.</w:t>
            </w:r>
          </w:p>
          <w:p w:rsidR="00126B9D" w:rsidRPr="005B1ADC" w:rsidRDefault="00126B9D" w:rsidP="00490ED2">
            <w:pPr>
              <w:rPr>
                <w:sz w:val="20"/>
              </w:rPr>
            </w:pPr>
            <w:r w:rsidRPr="005B1ADC">
              <w:rPr>
                <w:sz w:val="20"/>
                <w:vertAlign w:val="superscript"/>
              </w:rPr>
              <w:t>2</w:t>
            </w:r>
            <w:r w:rsidRPr="005B1ADC">
              <w:rPr>
                <w:sz w:val="20"/>
              </w:rPr>
              <w:t xml:space="preserve"> Count of recreational visitors for all of the State’s National Parks Service territories, which include national parks, monuments, historic sites, and recreation areas.</w:t>
            </w:r>
          </w:p>
          <w:p w:rsidR="00126B9D" w:rsidRPr="005B1ADC" w:rsidRDefault="00126B9D" w:rsidP="00490ED2">
            <w:pPr>
              <w:rPr>
                <w:sz w:val="20"/>
              </w:rPr>
            </w:pPr>
            <w:r w:rsidRPr="005B1ADC">
              <w:rPr>
                <w:sz w:val="20"/>
                <w:vertAlign w:val="superscript"/>
              </w:rPr>
              <w:t>3</w:t>
            </w:r>
            <w:r w:rsidRPr="005B1ADC">
              <w:rPr>
                <w:sz w:val="20"/>
              </w:rPr>
              <w:t xml:space="preserve"> Count of skier visits for the season ending in the referenced year.</w:t>
            </w:r>
          </w:p>
          <w:p w:rsidR="00126B9D" w:rsidRPr="005B1ADC" w:rsidRDefault="00126B9D" w:rsidP="00490ED2">
            <w:pPr>
              <w:rPr>
                <w:sz w:val="20"/>
              </w:rPr>
            </w:pPr>
            <w:r w:rsidRPr="005B1ADC">
              <w:rPr>
                <w:sz w:val="20"/>
              </w:rPr>
              <w:t>Sources: National Parks Service; VISIT DENVER, The Convention and Visitor’s Bureau; Colorado Ski Country USA; Vail Resorts, Inc.</w:t>
            </w:r>
          </w:p>
        </w:tc>
      </w:tr>
    </w:tbl>
    <w:p w:rsidR="00126B9D" w:rsidRPr="005B1ADC" w:rsidRDefault="00126B9D" w:rsidP="00126B9D">
      <w:pPr>
        <w:rPr>
          <w:szCs w:val="22"/>
        </w:rPr>
      </w:pPr>
    </w:p>
    <w:p w:rsidR="00126B9D" w:rsidRPr="005B1ADC" w:rsidRDefault="00126B9D" w:rsidP="00126B9D">
      <w:pPr>
        <w:pStyle w:val="LeftHeading"/>
        <w:rPr>
          <w:szCs w:val="22"/>
        </w:rPr>
      </w:pPr>
      <w:r w:rsidRPr="005B1ADC">
        <w:rPr>
          <w:szCs w:val="22"/>
        </w:rPr>
        <w:t>Residential Housing Starts</w:t>
      </w:r>
    </w:p>
    <w:p w:rsidR="00126B9D" w:rsidRPr="005B1ADC" w:rsidRDefault="00126B9D" w:rsidP="00126B9D">
      <w:pPr>
        <w:pStyle w:val="BodyText"/>
        <w:rPr>
          <w:szCs w:val="22"/>
        </w:rPr>
      </w:pPr>
      <w:r w:rsidRPr="005B1ADC">
        <w:rPr>
          <w:szCs w:val="22"/>
        </w:rPr>
        <w:t>The following table provides a five-year history of the State’s residential building permit issuance:</w:t>
      </w:r>
    </w:p>
    <w:tbl>
      <w:tblPr>
        <w:tblStyle w:val="TableGrid"/>
        <w:tblW w:w="86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1195"/>
        <w:gridCol w:w="1124"/>
        <w:gridCol w:w="1124"/>
        <w:gridCol w:w="1139"/>
        <w:gridCol w:w="1706"/>
        <w:gridCol w:w="1178"/>
      </w:tblGrid>
      <w:tr w:rsidR="00126B9D" w:rsidRPr="005B1ADC" w:rsidTr="00490ED2">
        <w:trPr>
          <w:jc w:val="center"/>
        </w:trPr>
        <w:tc>
          <w:tcPr>
            <w:tcW w:w="8602" w:type="dxa"/>
            <w:gridSpan w:val="7"/>
            <w:vAlign w:val="bottom"/>
          </w:tcPr>
          <w:p w:rsidR="00126B9D" w:rsidRPr="005B1ADC" w:rsidRDefault="00126B9D" w:rsidP="00490ED2">
            <w:pPr>
              <w:spacing w:after="240"/>
              <w:jc w:val="center"/>
              <w:rPr>
                <w:b/>
                <w:szCs w:val="22"/>
              </w:rPr>
            </w:pPr>
            <w:r w:rsidRPr="005B1ADC">
              <w:rPr>
                <w:b/>
                <w:szCs w:val="22"/>
              </w:rPr>
              <w:t>New Privately Owned Housing Units Authorized in Colorado</w:t>
            </w:r>
          </w:p>
        </w:tc>
      </w:tr>
      <w:tr w:rsidR="00126B9D" w:rsidRPr="005B1ADC" w:rsidTr="00490ED2">
        <w:trPr>
          <w:jc w:val="center"/>
        </w:trPr>
        <w:tc>
          <w:tcPr>
            <w:tcW w:w="1136" w:type="dxa"/>
            <w:vAlign w:val="bottom"/>
          </w:tcPr>
          <w:p w:rsidR="00126B9D" w:rsidRPr="005B1ADC" w:rsidRDefault="00126B9D" w:rsidP="00490ED2">
            <w:pPr>
              <w:spacing w:after="120"/>
              <w:jc w:val="center"/>
              <w:rPr>
                <w:b/>
                <w:szCs w:val="22"/>
              </w:rPr>
            </w:pPr>
          </w:p>
        </w:tc>
        <w:tc>
          <w:tcPr>
            <w:tcW w:w="1195"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1 Unit</w:t>
            </w:r>
          </w:p>
        </w:tc>
        <w:tc>
          <w:tcPr>
            <w:tcW w:w="1124"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2 Units</w:t>
            </w:r>
          </w:p>
        </w:tc>
        <w:tc>
          <w:tcPr>
            <w:tcW w:w="1124"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3 &amp; 4 Units</w:t>
            </w:r>
          </w:p>
        </w:tc>
        <w:tc>
          <w:tcPr>
            <w:tcW w:w="1139"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5+ Units</w:t>
            </w:r>
          </w:p>
        </w:tc>
        <w:tc>
          <w:tcPr>
            <w:tcW w:w="1706"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Total Building Permits</w:t>
            </w:r>
          </w:p>
        </w:tc>
        <w:tc>
          <w:tcPr>
            <w:tcW w:w="1178"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w:t>
            </w:r>
            <w:r w:rsidRPr="005B1ADC">
              <w:rPr>
                <w:b/>
                <w:szCs w:val="22"/>
              </w:rPr>
              <w:br/>
              <w:t>Change</w:t>
            </w:r>
          </w:p>
        </w:tc>
      </w:tr>
      <w:tr w:rsidR="00126B9D" w:rsidRPr="005B1ADC" w:rsidTr="00490ED2">
        <w:trPr>
          <w:jc w:val="center"/>
        </w:trPr>
        <w:tc>
          <w:tcPr>
            <w:tcW w:w="1136" w:type="dxa"/>
            <w:vAlign w:val="bottom"/>
          </w:tcPr>
          <w:p w:rsidR="00126B9D" w:rsidRPr="005B1ADC" w:rsidRDefault="00126B9D" w:rsidP="00126B9D">
            <w:pPr>
              <w:jc w:val="center"/>
              <w:rPr>
                <w:szCs w:val="22"/>
              </w:rPr>
            </w:pPr>
            <w:r w:rsidRPr="005B1ADC">
              <w:rPr>
                <w:szCs w:val="22"/>
              </w:rPr>
              <w:t>2014</w:t>
            </w:r>
          </w:p>
        </w:tc>
        <w:tc>
          <w:tcPr>
            <w:tcW w:w="1195" w:type="dxa"/>
            <w:vAlign w:val="bottom"/>
          </w:tcPr>
          <w:p w:rsidR="00126B9D" w:rsidRPr="005B1ADC" w:rsidRDefault="00126B9D" w:rsidP="00126B9D">
            <w:pPr>
              <w:tabs>
                <w:tab w:val="decimal" w:pos="807"/>
              </w:tabs>
              <w:jc w:val="left"/>
              <w:rPr>
                <w:szCs w:val="22"/>
              </w:rPr>
            </w:pPr>
            <w:r w:rsidRPr="005B1ADC">
              <w:rPr>
                <w:szCs w:val="22"/>
              </w:rPr>
              <w:t>17,104</w:t>
            </w:r>
          </w:p>
        </w:tc>
        <w:tc>
          <w:tcPr>
            <w:tcW w:w="1124" w:type="dxa"/>
            <w:vAlign w:val="bottom"/>
          </w:tcPr>
          <w:p w:rsidR="00126B9D" w:rsidRPr="005B1ADC" w:rsidRDefault="00126B9D" w:rsidP="00126B9D">
            <w:pPr>
              <w:tabs>
                <w:tab w:val="decimal" w:pos="599"/>
              </w:tabs>
              <w:jc w:val="left"/>
              <w:rPr>
                <w:szCs w:val="22"/>
              </w:rPr>
            </w:pPr>
            <w:r w:rsidRPr="005B1ADC">
              <w:rPr>
                <w:szCs w:val="22"/>
              </w:rPr>
              <w:t>532</w:t>
            </w:r>
          </w:p>
        </w:tc>
        <w:tc>
          <w:tcPr>
            <w:tcW w:w="1124" w:type="dxa"/>
            <w:vAlign w:val="bottom"/>
          </w:tcPr>
          <w:p w:rsidR="00126B9D" w:rsidRPr="005B1ADC" w:rsidRDefault="00126B9D" w:rsidP="00126B9D">
            <w:pPr>
              <w:tabs>
                <w:tab w:val="decimal" w:pos="591"/>
              </w:tabs>
              <w:jc w:val="left"/>
              <w:rPr>
                <w:szCs w:val="22"/>
              </w:rPr>
            </w:pPr>
            <w:r w:rsidRPr="005B1ADC">
              <w:rPr>
                <w:szCs w:val="22"/>
              </w:rPr>
              <w:t>146</w:t>
            </w:r>
          </w:p>
        </w:tc>
        <w:tc>
          <w:tcPr>
            <w:tcW w:w="1139" w:type="dxa"/>
            <w:vAlign w:val="bottom"/>
          </w:tcPr>
          <w:p w:rsidR="00126B9D" w:rsidRPr="005B1ADC" w:rsidRDefault="00126B9D" w:rsidP="00126B9D">
            <w:pPr>
              <w:tabs>
                <w:tab w:val="decimal" w:pos="709"/>
              </w:tabs>
              <w:jc w:val="left"/>
              <w:rPr>
                <w:szCs w:val="22"/>
              </w:rPr>
            </w:pPr>
            <w:r w:rsidRPr="005B1ADC">
              <w:rPr>
                <w:szCs w:val="22"/>
              </w:rPr>
              <w:t>10,916</w:t>
            </w:r>
          </w:p>
        </w:tc>
        <w:tc>
          <w:tcPr>
            <w:tcW w:w="1706" w:type="dxa"/>
            <w:vAlign w:val="bottom"/>
          </w:tcPr>
          <w:p w:rsidR="00126B9D" w:rsidRPr="005B1ADC" w:rsidRDefault="00126B9D" w:rsidP="00126B9D">
            <w:pPr>
              <w:tabs>
                <w:tab w:val="decimal" w:pos="1010"/>
              </w:tabs>
              <w:jc w:val="left"/>
              <w:rPr>
                <w:szCs w:val="22"/>
              </w:rPr>
            </w:pPr>
            <w:r w:rsidRPr="005B1ADC">
              <w:rPr>
                <w:szCs w:val="22"/>
              </w:rPr>
              <w:t>28,698</w:t>
            </w:r>
          </w:p>
        </w:tc>
        <w:tc>
          <w:tcPr>
            <w:tcW w:w="1178" w:type="dxa"/>
            <w:vAlign w:val="bottom"/>
          </w:tcPr>
          <w:p w:rsidR="00126B9D" w:rsidRPr="005B1ADC" w:rsidRDefault="00126B9D" w:rsidP="00126B9D">
            <w:pPr>
              <w:tabs>
                <w:tab w:val="decimal" w:pos="465"/>
              </w:tabs>
              <w:jc w:val="left"/>
              <w:rPr>
                <w:szCs w:val="22"/>
              </w:rPr>
            </w:pPr>
            <w:r w:rsidRPr="005B1ADC">
              <w:rPr>
                <w:szCs w:val="22"/>
              </w:rPr>
              <w:t>4.3</w:t>
            </w:r>
            <w:r w:rsidR="00116900">
              <w:rPr>
                <w:szCs w:val="22"/>
              </w:rPr>
              <w:t>%</w:t>
            </w:r>
          </w:p>
        </w:tc>
      </w:tr>
      <w:tr w:rsidR="00126B9D" w:rsidRPr="005B1ADC" w:rsidTr="00490ED2">
        <w:trPr>
          <w:jc w:val="center"/>
        </w:trPr>
        <w:tc>
          <w:tcPr>
            <w:tcW w:w="1136" w:type="dxa"/>
            <w:vAlign w:val="bottom"/>
          </w:tcPr>
          <w:p w:rsidR="00126B9D" w:rsidRPr="005B1ADC" w:rsidRDefault="00126B9D" w:rsidP="00126B9D">
            <w:pPr>
              <w:jc w:val="center"/>
              <w:rPr>
                <w:szCs w:val="22"/>
              </w:rPr>
            </w:pPr>
            <w:r w:rsidRPr="005B1ADC">
              <w:rPr>
                <w:szCs w:val="22"/>
              </w:rPr>
              <w:t>2015</w:t>
            </w:r>
          </w:p>
        </w:tc>
        <w:tc>
          <w:tcPr>
            <w:tcW w:w="1195" w:type="dxa"/>
            <w:vAlign w:val="bottom"/>
          </w:tcPr>
          <w:p w:rsidR="00126B9D" w:rsidRPr="005B1ADC" w:rsidRDefault="00126B9D" w:rsidP="00126B9D">
            <w:pPr>
              <w:tabs>
                <w:tab w:val="decimal" w:pos="807"/>
              </w:tabs>
              <w:jc w:val="left"/>
              <w:rPr>
                <w:szCs w:val="22"/>
              </w:rPr>
            </w:pPr>
            <w:r w:rsidRPr="005B1ADC">
              <w:rPr>
                <w:szCs w:val="22"/>
              </w:rPr>
              <w:t>20,025</w:t>
            </w:r>
          </w:p>
        </w:tc>
        <w:tc>
          <w:tcPr>
            <w:tcW w:w="1124" w:type="dxa"/>
            <w:vAlign w:val="bottom"/>
          </w:tcPr>
          <w:p w:rsidR="00126B9D" w:rsidRPr="005B1ADC" w:rsidRDefault="00126B9D" w:rsidP="00126B9D">
            <w:pPr>
              <w:tabs>
                <w:tab w:val="decimal" w:pos="599"/>
              </w:tabs>
              <w:jc w:val="left"/>
              <w:rPr>
                <w:szCs w:val="22"/>
              </w:rPr>
            </w:pPr>
            <w:r w:rsidRPr="005B1ADC">
              <w:rPr>
                <w:szCs w:val="22"/>
              </w:rPr>
              <w:t>334</w:t>
            </w:r>
          </w:p>
        </w:tc>
        <w:tc>
          <w:tcPr>
            <w:tcW w:w="1124" w:type="dxa"/>
            <w:vAlign w:val="bottom"/>
          </w:tcPr>
          <w:p w:rsidR="00126B9D" w:rsidRPr="005B1ADC" w:rsidRDefault="00126B9D" w:rsidP="00126B9D">
            <w:pPr>
              <w:tabs>
                <w:tab w:val="decimal" w:pos="591"/>
              </w:tabs>
              <w:jc w:val="left"/>
              <w:rPr>
                <w:szCs w:val="22"/>
              </w:rPr>
            </w:pPr>
            <w:r w:rsidRPr="005B1ADC">
              <w:rPr>
                <w:szCs w:val="22"/>
              </w:rPr>
              <w:t>287</w:t>
            </w:r>
          </w:p>
        </w:tc>
        <w:tc>
          <w:tcPr>
            <w:tcW w:w="1139" w:type="dxa"/>
            <w:vAlign w:val="bottom"/>
          </w:tcPr>
          <w:p w:rsidR="00126B9D" w:rsidRPr="005B1ADC" w:rsidRDefault="00126B9D" w:rsidP="00126B9D">
            <w:pPr>
              <w:tabs>
                <w:tab w:val="decimal" w:pos="709"/>
              </w:tabs>
              <w:jc w:val="left"/>
              <w:rPr>
                <w:szCs w:val="22"/>
              </w:rPr>
            </w:pPr>
            <w:r w:rsidRPr="005B1ADC">
              <w:rPr>
                <w:szCs w:val="22"/>
              </w:rPr>
              <w:t>11,225</w:t>
            </w:r>
          </w:p>
        </w:tc>
        <w:tc>
          <w:tcPr>
            <w:tcW w:w="1706" w:type="dxa"/>
            <w:vAlign w:val="bottom"/>
          </w:tcPr>
          <w:p w:rsidR="00126B9D" w:rsidRPr="005B1ADC" w:rsidRDefault="00126B9D" w:rsidP="00126B9D">
            <w:pPr>
              <w:tabs>
                <w:tab w:val="decimal" w:pos="1010"/>
              </w:tabs>
              <w:jc w:val="left"/>
              <w:rPr>
                <w:szCs w:val="22"/>
              </w:rPr>
            </w:pPr>
            <w:r w:rsidRPr="005B1ADC">
              <w:rPr>
                <w:szCs w:val="22"/>
              </w:rPr>
              <w:t>31,871</w:t>
            </w:r>
          </w:p>
        </w:tc>
        <w:tc>
          <w:tcPr>
            <w:tcW w:w="1178" w:type="dxa"/>
            <w:vAlign w:val="bottom"/>
          </w:tcPr>
          <w:p w:rsidR="00126B9D" w:rsidRPr="005B1ADC" w:rsidRDefault="00126B9D" w:rsidP="00126B9D">
            <w:pPr>
              <w:tabs>
                <w:tab w:val="decimal" w:pos="465"/>
              </w:tabs>
              <w:jc w:val="left"/>
              <w:rPr>
                <w:szCs w:val="22"/>
              </w:rPr>
            </w:pPr>
            <w:r w:rsidRPr="005B1ADC">
              <w:rPr>
                <w:szCs w:val="22"/>
              </w:rPr>
              <w:t>11.1</w:t>
            </w:r>
          </w:p>
        </w:tc>
      </w:tr>
      <w:tr w:rsidR="00126B9D" w:rsidRPr="005B1ADC" w:rsidTr="00490ED2">
        <w:trPr>
          <w:jc w:val="center"/>
        </w:trPr>
        <w:tc>
          <w:tcPr>
            <w:tcW w:w="1136" w:type="dxa"/>
            <w:vAlign w:val="bottom"/>
          </w:tcPr>
          <w:p w:rsidR="00126B9D" w:rsidRPr="005B1ADC" w:rsidRDefault="00126B9D" w:rsidP="00490ED2">
            <w:pPr>
              <w:jc w:val="center"/>
              <w:rPr>
                <w:szCs w:val="22"/>
              </w:rPr>
            </w:pPr>
            <w:r>
              <w:rPr>
                <w:szCs w:val="22"/>
              </w:rPr>
              <w:t>2016</w:t>
            </w:r>
          </w:p>
        </w:tc>
        <w:tc>
          <w:tcPr>
            <w:tcW w:w="1195" w:type="dxa"/>
            <w:vAlign w:val="bottom"/>
          </w:tcPr>
          <w:p w:rsidR="00126B9D" w:rsidRPr="005B1ADC" w:rsidRDefault="00116900" w:rsidP="00490ED2">
            <w:pPr>
              <w:tabs>
                <w:tab w:val="decimal" w:pos="807"/>
              </w:tabs>
              <w:jc w:val="left"/>
              <w:rPr>
                <w:szCs w:val="22"/>
              </w:rPr>
            </w:pPr>
            <w:r>
              <w:rPr>
                <w:szCs w:val="22"/>
              </w:rPr>
              <w:t>21,577</w:t>
            </w:r>
          </w:p>
        </w:tc>
        <w:tc>
          <w:tcPr>
            <w:tcW w:w="1124" w:type="dxa"/>
            <w:vAlign w:val="bottom"/>
          </w:tcPr>
          <w:p w:rsidR="00126B9D" w:rsidRPr="005B1ADC" w:rsidRDefault="00116900" w:rsidP="00490ED2">
            <w:pPr>
              <w:tabs>
                <w:tab w:val="decimal" w:pos="599"/>
              </w:tabs>
              <w:jc w:val="left"/>
              <w:rPr>
                <w:szCs w:val="22"/>
              </w:rPr>
            </w:pPr>
            <w:r>
              <w:rPr>
                <w:szCs w:val="22"/>
              </w:rPr>
              <w:t>556</w:t>
            </w:r>
          </w:p>
        </w:tc>
        <w:tc>
          <w:tcPr>
            <w:tcW w:w="1124" w:type="dxa"/>
            <w:vAlign w:val="bottom"/>
          </w:tcPr>
          <w:p w:rsidR="00126B9D" w:rsidRPr="005B1ADC" w:rsidRDefault="00116900" w:rsidP="00490ED2">
            <w:pPr>
              <w:tabs>
                <w:tab w:val="decimal" w:pos="591"/>
              </w:tabs>
              <w:jc w:val="left"/>
              <w:rPr>
                <w:szCs w:val="22"/>
              </w:rPr>
            </w:pPr>
            <w:r>
              <w:rPr>
                <w:szCs w:val="22"/>
              </w:rPr>
              <w:t>242</w:t>
            </w:r>
          </w:p>
        </w:tc>
        <w:tc>
          <w:tcPr>
            <w:tcW w:w="1139" w:type="dxa"/>
            <w:vAlign w:val="bottom"/>
          </w:tcPr>
          <w:p w:rsidR="00126B9D" w:rsidRPr="005B1ADC" w:rsidRDefault="00116900" w:rsidP="00490ED2">
            <w:pPr>
              <w:tabs>
                <w:tab w:val="decimal" w:pos="709"/>
              </w:tabs>
              <w:jc w:val="left"/>
              <w:rPr>
                <w:szCs w:val="22"/>
              </w:rPr>
            </w:pPr>
            <w:r>
              <w:rPr>
                <w:szCs w:val="22"/>
              </w:rPr>
              <w:t>16,599</w:t>
            </w:r>
          </w:p>
        </w:tc>
        <w:tc>
          <w:tcPr>
            <w:tcW w:w="1706" w:type="dxa"/>
            <w:vAlign w:val="bottom"/>
          </w:tcPr>
          <w:p w:rsidR="00126B9D" w:rsidRPr="005B1ADC" w:rsidRDefault="00116900" w:rsidP="00490ED2">
            <w:pPr>
              <w:tabs>
                <w:tab w:val="decimal" w:pos="1010"/>
              </w:tabs>
              <w:jc w:val="left"/>
              <w:rPr>
                <w:szCs w:val="22"/>
              </w:rPr>
            </w:pPr>
            <w:r>
              <w:rPr>
                <w:szCs w:val="22"/>
              </w:rPr>
              <w:t>38,974</w:t>
            </w:r>
          </w:p>
        </w:tc>
        <w:tc>
          <w:tcPr>
            <w:tcW w:w="1178" w:type="dxa"/>
            <w:vAlign w:val="bottom"/>
          </w:tcPr>
          <w:p w:rsidR="00126B9D" w:rsidRPr="005B1ADC" w:rsidRDefault="00116900" w:rsidP="00490ED2">
            <w:pPr>
              <w:tabs>
                <w:tab w:val="decimal" w:pos="465"/>
              </w:tabs>
              <w:jc w:val="left"/>
              <w:rPr>
                <w:szCs w:val="22"/>
              </w:rPr>
            </w:pPr>
            <w:r>
              <w:rPr>
                <w:szCs w:val="22"/>
              </w:rPr>
              <w:t>22.3</w:t>
            </w:r>
          </w:p>
        </w:tc>
      </w:tr>
      <w:tr w:rsidR="00126B9D" w:rsidRPr="005B1ADC" w:rsidTr="00490ED2">
        <w:trPr>
          <w:jc w:val="center"/>
        </w:trPr>
        <w:tc>
          <w:tcPr>
            <w:tcW w:w="1136" w:type="dxa"/>
            <w:vAlign w:val="bottom"/>
          </w:tcPr>
          <w:p w:rsidR="00126B9D" w:rsidRPr="005B1ADC" w:rsidRDefault="00126B9D" w:rsidP="00490ED2">
            <w:pPr>
              <w:jc w:val="center"/>
              <w:rPr>
                <w:szCs w:val="22"/>
              </w:rPr>
            </w:pPr>
            <w:r>
              <w:rPr>
                <w:szCs w:val="22"/>
              </w:rPr>
              <w:t>2017</w:t>
            </w:r>
          </w:p>
        </w:tc>
        <w:tc>
          <w:tcPr>
            <w:tcW w:w="1195" w:type="dxa"/>
            <w:vAlign w:val="bottom"/>
          </w:tcPr>
          <w:p w:rsidR="00126B9D" w:rsidRPr="005B1ADC" w:rsidRDefault="00116900" w:rsidP="00490ED2">
            <w:pPr>
              <w:tabs>
                <w:tab w:val="decimal" w:pos="807"/>
              </w:tabs>
              <w:jc w:val="left"/>
              <w:rPr>
                <w:szCs w:val="22"/>
              </w:rPr>
            </w:pPr>
            <w:r>
              <w:rPr>
                <w:szCs w:val="22"/>
              </w:rPr>
              <w:t>24,338</w:t>
            </w:r>
          </w:p>
        </w:tc>
        <w:tc>
          <w:tcPr>
            <w:tcW w:w="1124" w:type="dxa"/>
            <w:vAlign w:val="bottom"/>
          </w:tcPr>
          <w:p w:rsidR="00126B9D" w:rsidRPr="005B1ADC" w:rsidRDefault="00116900" w:rsidP="00490ED2">
            <w:pPr>
              <w:tabs>
                <w:tab w:val="decimal" w:pos="599"/>
              </w:tabs>
              <w:jc w:val="left"/>
              <w:rPr>
                <w:szCs w:val="22"/>
              </w:rPr>
            </w:pPr>
            <w:r>
              <w:rPr>
                <w:szCs w:val="22"/>
              </w:rPr>
              <w:t>344</w:t>
            </w:r>
          </w:p>
        </w:tc>
        <w:tc>
          <w:tcPr>
            <w:tcW w:w="1124" w:type="dxa"/>
            <w:vAlign w:val="bottom"/>
          </w:tcPr>
          <w:p w:rsidR="00126B9D" w:rsidRPr="005B1ADC" w:rsidRDefault="00116900" w:rsidP="00490ED2">
            <w:pPr>
              <w:tabs>
                <w:tab w:val="decimal" w:pos="591"/>
              </w:tabs>
              <w:jc w:val="left"/>
              <w:rPr>
                <w:szCs w:val="22"/>
              </w:rPr>
            </w:pPr>
            <w:r>
              <w:rPr>
                <w:szCs w:val="22"/>
              </w:rPr>
              <w:t>415</w:t>
            </w:r>
          </w:p>
        </w:tc>
        <w:tc>
          <w:tcPr>
            <w:tcW w:w="1139" w:type="dxa"/>
            <w:vAlign w:val="bottom"/>
          </w:tcPr>
          <w:p w:rsidR="00126B9D" w:rsidRPr="005B1ADC" w:rsidRDefault="00116900" w:rsidP="00490ED2">
            <w:pPr>
              <w:tabs>
                <w:tab w:val="decimal" w:pos="709"/>
              </w:tabs>
              <w:jc w:val="left"/>
              <w:rPr>
                <w:szCs w:val="22"/>
              </w:rPr>
            </w:pPr>
            <w:r>
              <w:rPr>
                <w:szCs w:val="22"/>
              </w:rPr>
              <w:t>15,576</w:t>
            </w:r>
          </w:p>
        </w:tc>
        <w:tc>
          <w:tcPr>
            <w:tcW w:w="1706" w:type="dxa"/>
            <w:vAlign w:val="bottom"/>
          </w:tcPr>
          <w:p w:rsidR="00126B9D" w:rsidRPr="005B1ADC" w:rsidRDefault="00116900" w:rsidP="00490ED2">
            <w:pPr>
              <w:tabs>
                <w:tab w:val="decimal" w:pos="1010"/>
              </w:tabs>
              <w:jc w:val="left"/>
              <w:rPr>
                <w:szCs w:val="22"/>
              </w:rPr>
            </w:pPr>
            <w:r>
              <w:rPr>
                <w:szCs w:val="22"/>
              </w:rPr>
              <w:t>40,673</w:t>
            </w:r>
          </w:p>
        </w:tc>
        <w:tc>
          <w:tcPr>
            <w:tcW w:w="1178" w:type="dxa"/>
            <w:vAlign w:val="bottom"/>
          </w:tcPr>
          <w:p w:rsidR="00126B9D" w:rsidRPr="005B1ADC" w:rsidRDefault="00116900" w:rsidP="00490ED2">
            <w:pPr>
              <w:tabs>
                <w:tab w:val="decimal" w:pos="465"/>
              </w:tabs>
              <w:jc w:val="left"/>
              <w:rPr>
                <w:szCs w:val="22"/>
              </w:rPr>
            </w:pPr>
            <w:r>
              <w:rPr>
                <w:szCs w:val="22"/>
              </w:rPr>
              <w:t>4.4</w:t>
            </w:r>
          </w:p>
        </w:tc>
      </w:tr>
      <w:tr w:rsidR="00126B9D" w:rsidRPr="005B1ADC" w:rsidTr="00490ED2">
        <w:trPr>
          <w:jc w:val="center"/>
        </w:trPr>
        <w:tc>
          <w:tcPr>
            <w:tcW w:w="1136" w:type="dxa"/>
            <w:vAlign w:val="bottom"/>
          </w:tcPr>
          <w:p w:rsidR="00126B9D" w:rsidRPr="005B1ADC" w:rsidRDefault="00126B9D" w:rsidP="00490ED2">
            <w:pPr>
              <w:jc w:val="center"/>
              <w:rPr>
                <w:szCs w:val="22"/>
              </w:rPr>
            </w:pPr>
            <w:r>
              <w:rPr>
                <w:szCs w:val="22"/>
              </w:rPr>
              <w:t>2018</w:t>
            </w:r>
          </w:p>
        </w:tc>
        <w:tc>
          <w:tcPr>
            <w:tcW w:w="1195" w:type="dxa"/>
            <w:vAlign w:val="bottom"/>
          </w:tcPr>
          <w:p w:rsidR="00126B9D" w:rsidRPr="005B1ADC" w:rsidRDefault="00116900" w:rsidP="00490ED2">
            <w:pPr>
              <w:tabs>
                <w:tab w:val="decimal" w:pos="807"/>
              </w:tabs>
              <w:jc w:val="left"/>
              <w:rPr>
                <w:szCs w:val="22"/>
              </w:rPr>
            </w:pPr>
            <w:r>
              <w:rPr>
                <w:szCs w:val="22"/>
              </w:rPr>
              <w:t>29,061</w:t>
            </w:r>
          </w:p>
        </w:tc>
        <w:tc>
          <w:tcPr>
            <w:tcW w:w="1124" w:type="dxa"/>
            <w:vAlign w:val="bottom"/>
          </w:tcPr>
          <w:p w:rsidR="00126B9D" w:rsidRPr="005B1ADC" w:rsidRDefault="00116900" w:rsidP="00490ED2">
            <w:pPr>
              <w:tabs>
                <w:tab w:val="decimal" w:pos="599"/>
              </w:tabs>
              <w:jc w:val="left"/>
              <w:rPr>
                <w:szCs w:val="22"/>
              </w:rPr>
            </w:pPr>
            <w:r>
              <w:rPr>
                <w:szCs w:val="22"/>
              </w:rPr>
              <w:t>452</w:t>
            </w:r>
          </w:p>
        </w:tc>
        <w:tc>
          <w:tcPr>
            <w:tcW w:w="1124" w:type="dxa"/>
            <w:vAlign w:val="bottom"/>
          </w:tcPr>
          <w:p w:rsidR="00126B9D" w:rsidRPr="005B1ADC" w:rsidRDefault="00116900" w:rsidP="00490ED2">
            <w:pPr>
              <w:tabs>
                <w:tab w:val="decimal" w:pos="591"/>
              </w:tabs>
              <w:jc w:val="left"/>
              <w:rPr>
                <w:szCs w:val="22"/>
              </w:rPr>
            </w:pPr>
            <w:r>
              <w:rPr>
                <w:szCs w:val="22"/>
              </w:rPr>
              <w:t>520</w:t>
            </w:r>
          </w:p>
        </w:tc>
        <w:tc>
          <w:tcPr>
            <w:tcW w:w="1139" w:type="dxa"/>
            <w:vAlign w:val="bottom"/>
          </w:tcPr>
          <w:p w:rsidR="00126B9D" w:rsidRPr="005B1ADC" w:rsidRDefault="00116900" w:rsidP="00490ED2">
            <w:pPr>
              <w:tabs>
                <w:tab w:val="decimal" w:pos="709"/>
              </w:tabs>
              <w:jc w:val="left"/>
              <w:rPr>
                <w:szCs w:val="22"/>
              </w:rPr>
            </w:pPr>
            <w:r>
              <w:rPr>
                <w:szCs w:val="22"/>
              </w:rPr>
              <w:t>15,448</w:t>
            </w:r>
          </w:p>
        </w:tc>
        <w:tc>
          <w:tcPr>
            <w:tcW w:w="1706" w:type="dxa"/>
            <w:vAlign w:val="bottom"/>
          </w:tcPr>
          <w:p w:rsidR="00126B9D" w:rsidRPr="005B1ADC" w:rsidRDefault="00116900" w:rsidP="00490ED2">
            <w:pPr>
              <w:tabs>
                <w:tab w:val="decimal" w:pos="1010"/>
              </w:tabs>
              <w:jc w:val="left"/>
              <w:rPr>
                <w:szCs w:val="22"/>
              </w:rPr>
            </w:pPr>
            <w:r>
              <w:rPr>
                <w:szCs w:val="22"/>
              </w:rPr>
              <w:t>45,481</w:t>
            </w:r>
          </w:p>
        </w:tc>
        <w:tc>
          <w:tcPr>
            <w:tcW w:w="1178" w:type="dxa"/>
            <w:vAlign w:val="bottom"/>
          </w:tcPr>
          <w:p w:rsidR="00126B9D" w:rsidRPr="005B1ADC" w:rsidRDefault="00116900" w:rsidP="00490ED2">
            <w:pPr>
              <w:tabs>
                <w:tab w:val="decimal" w:pos="465"/>
              </w:tabs>
              <w:jc w:val="left"/>
              <w:rPr>
                <w:szCs w:val="22"/>
              </w:rPr>
            </w:pPr>
            <w:r>
              <w:rPr>
                <w:szCs w:val="22"/>
              </w:rPr>
              <w:t>11.8</w:t>
            </w:r>
          </w:p>
        </w:tc>
      </w:tr>
      <w:tr w:rsidR="00126B9D" w:rsidRPr="005B1ADC" w:rsidTr="00490ED2">
        <w:trPr>
          <w:jc w:val="center"/>
        </w:trPr>
        <w:tc>
          <w:tcPr>
            <w:tcW w:w="8602" w:type="dxa"/>
            <w:gridSpan w:val="7"/>
            <w:vAlign w:val="bottom"/>
          </w:tcPr>
          <w:p w:rsidR="00126B9D" w:rsidRPr="005B1ADC" w:rsidRDefault="00126B9D" w:rsidP="00490ED2">
            <w:pPr>
              <w:jc w:val="left"/>
              <w:rPr>
                <w:szCs w:val="22"/>
              </w:rPr>
            </w:pPr>
          </w:p>
        </w:tc>
      </w:tr>
      <w:tr w:rsidR="00126B9D" w:rsidRPr="005B1ADC" w:rsidTr="00490ED2">
        <w:trPr>
          <w:jc w:val="center"/>
        </w:trPr>
        <w:tc>
          <w:tcPr>
            <w:tcW w:w="8602" w:type="dxa"/>
            <w:gridSpan w:val="7"/>
            <w:vAlign w:val="bottom"/>
          </w:tcPr>
          <w:p w:rsidR="00126B9D" w:rsidRPr="005B1ADC" w:rsidRDefault="00116900" w:rsidP="00126B9D">
            <w:pPr>
              <w:jc w:val="left"/>
              <w:rPr>
                <w:szCs w:val="22"/>
              </w:rPr>
            </w:pPr>
            <w:r>
              <w:rPr>
                <w:szCs w:val="22"/>
              </w:rPr>
              <w:t>Year-to-Date Totals Through April</w:t>
            </w:r>
            <w:r w:rsidR="00126B9D" w:rsidRPr="005B1ADC">
              <w:rPr>
                <w:szCs w:val="22"/>
              </w:rPr>
              <w:t>:</w:t>
            </w:r>
          </w:p>
        </w:tc>
      </w:tr>
      <w:tr w:rsidR="00126B9D" w:rsidRPr="005B1ADC" w:rsidTr="00490ED2">
        <w:trPr>
          <w:jc w:val="center"/>
        </w:trPr>
        <w:tc>
          <w:tcPr>
            <w:tcW w:w="1136" w:type="dxa"/>
            <w:vAlign w:val="bottom"/>
          </w:tcPr>
          <w:p w:rsidR="00126B9D" w:rsidRPr="005B1ADC" w:rsidRDefault="00126B9D" w:rsidP="00126B9D">
            <w:pPr>
              <w:jc w:val="center"/>
              <w:rPr>
                <w:szCs w:val="22"/>
              </w:rPr>
            </w:pPr>
            <w:r w:rsidRPr="005B1ADC">
              <w:rPr>
                <w:szCs w:val="22"/>
              </w:rPr>
              <w:t>201</w:t>
            </w:r>
            <w:r>
              <w:rPr>
                <w:szCs w:val="22"/>
              </w:rPr>
              <w:t>8</w:t>
            </w:r>
          </w:p>
        </w:tc>
        <w:tc>
          <w:tcPr>
            <w:tcW w:w="1195" w:type="dxa"/>
            <w:vAlign w:val="bottom"/>
          </w:tcPr>
          <w:p w:rsidR="00126B9D" w:rsidRPr="005B1ADC" w:rsidRDefault="00116900" w:rsidP="00490ED2">
            <w:pPr>
              <w:tabs>
                <w:tab w:val="decimal" w:pos="807"/>
              </w:tabs>
              <w:jc w:val="left"/>
              <w:rPr>
                <w:szCs w:val="22"/>
              </w:rPr>
            </w:pPr>
            <w:r>
              <w:rPr>
                <w:szCs w:val="22"/>
              </w:rPr>
              <w:t>10,011</w:t>
            </w:r>
          </w:p>
        </w:tc>
        <w:tc>
          <w:tcPr>
            <w:tcW w:w="1124" w:type="dxa"/>
            <w:vAlign w:val="bottom"/>
          </w:tcPr>
          <w:p w:rsidR="00126B9D" w:rsidRPr="005B1ADC" w:rsidRDefault="00116900" w:rsidP="00490ED2">
            <w:pPr>
              <w:tabs>
                <w:tab w:val="decimal" w:pos="599"/>
              </w:tabs>
              <w:jc w:val="left"/>
              <w:rPr>
                <w:szCs w:val="22"/>
              </w:rPr>
            </w:pPr>
            <w:r>
              <w:rPr>
                <w:szCs w:val="22"/>
              </w:rPr>
              <w:t>52</w:t>
            </w:r>
          </w:p>
        </w:tc>
        <w:tc>
          <w:tcPr>
            <w:tcW w:w="1124" w:type="dxa"/>
            <w:vAlign w:val="bottom"/>
          </w:tcPr>
          <w:p w:rsidR="00126B9D" w:rsidRPr="005B1ADC" w:rsidRDefault="00116900" w:rsidP="00490ED2">
            <w:pPr>
              <w:tabs>
                <w:tab w:val="decimal" w:pos="591"/>
              </w:tabs>
              <w:jc w:val="left"/>
              <w:rPr>
                <w:szCs w:val="22"/>
              </w:rPr>
            </w:pPr>
            <w:r>
              <w:rPr>
                <w:szCs w:val="22"/>
              </w:rPr>
              <w:t>131</w:t>
            </w:r>
          </w:p>
        </w:tc>
        <w:tc>
          <w:tcPr>
            <w:tcW w:w="1139" w:type="dxa"/>
            <w:vAlign w:val="bottom"/>
          </w:tcPr>
          <w:p w:rsidR="00126B9D" w:rsidRPr="005B1ADC" w:rsidRDefault="00116900" w:rsidP="00490ED2">
            <w:pPr>
              <w:tabs>
                <w:tab w:val="decimal" w:pos="709"/>
              </w:tabs>
              <w:jc w:val="left"/>
              <w:rPr>
                <w:szCs w:val="22"/>
              </w:rPr>
            </w:pPr>
            <w:r>
              <w:rPr>
                <w:szCs w:val="22"/>
              </w:rPr>
              <w:t>6,330</w:t>
            </w:r>
          </w:p>
        </w:tc>
        <w:tc>
          <w:tcPr>
            <w:tcW w:w="1706" w:type="dxa"/>
            <w:vAlign w:val="bottom"/>
          </w:tcPr>
          <w:p w:rsidR="00126B9D" w:rsidRPr="005B1ADC" w:rsidRDefault="00116900" w:rsidP="00490ED2">
            <w:pPr>
              <w:tabs>
                <w:tab w:val="decimal" w:pos="1010"/>
              </w:tabs>
              <w:jc w:val="left"/>
              <w:rPr>
                <w:szCs w:val="22"/>
              </w:rPr>
            </w:pPr>
            <w:r>
              <w:rPr>
                <w:szCs w:val="22"/>
              </w:rPr>
              <w:t>16,524</w:t>
            </w:r>
          </w:p>
        </w:tc>
        <w:tc>
          <w:tcPr>
            <w:tcW w:w="1178" w:type="dxa"/>
            <w:vAlign w:val="bottom"/>
          </w:tcPr>
          <w:p w:rsidR="00126B9D" w:rsidRPr="005B1ADC" w:rsidRDefault="00126B9D" w:rsidP="00490ED2">
            <w:pPr>
              <w:tabs>
                <w:tab w:val="decimal" w:pos="465"/>
              </w:tabs>
              <w:jc w:val="left"/>
              <w:rPr>
                <w:szCs w:val="22"/>
              </w:rPr>
            </w:pPr>
          </w:p>
        </w:tc>
      </w:tr>
      <w:tr w:rsidR="00126B9D" w:rsidRPr="005B1ADC" w:rsidTr="00490ED2">
        <w:trPr>
          <w:jc w:val="center"/>
        </w:trPr>
        <w:tc>
          <w:tcPr>
            <w:tcW w:w="1136" w:type="dxa"/>
            <w:vAlign w:val="bottom"/>
          </w:tcPr>
          <w:p w:rsidR="00126B9D" w:rsidRPr="005B1ADC" w:rsidRDefault="00126B9D" w:rsidP="00126B9D">
            <w:pPr>
              <w:jc w:val="center"/>
              <w:rPr>
                <w:szCs w:val="22"/>
              </w:rPr>
            </w:pPr>
            <w:r w:rsidRPr="005B1ADC">
              <w:rPr>
                <w:szCs w:val="22"/>
              </w:rPr>
              <w:t>201</w:t>
            </w:r>
            <w:r>
              <w:rPr>
                <w:szCs w:val="22"/>
              </w:rPr>
              <w:t>9</w:t>
            </w:r>
          </w:p>
        </w:tc>
        <w:tc>
          <w:tcPr>
            <w:tcW w:w="1195" w:type="dxa"/>
            <w:vAlign w:val="bottom"/>
          </w:tcPr>
          <w:p w:rsidR="00126B9D" w:rsidRPr="005B1ADC" w:rsidRDefault="00116900" w:rsidP="00490ED2">
            <w:pPr>
              <w:tabs>
                <w:tab w:val="decimal" w:pos="807"/>
              </w:tabs>
              <w:jc w:val="left"/>
              <w:rPr>
                <w:szCs w:val="22"/>
              </w:rPr>
            </w:pPr>
            <w:r>
              <w:rPr>
                <w:szCs w:val="22"/>
              </w:rPr>
              <w:t>7,754</w:t>
            </w:r>
          </w:p>
        </w:tc>
        <w:tc>
          <w:tcPr>
            <w:tcW w:w="1124" w:type="dxa"/>
            <w:vAlign w:val="bottom"/>
          </w:tcPr>
          <w:p w:rsidR="00126B9D" w:rsidRPr="005B1ADC" w:rsidRDefault="00116900" w:rsidP="00490ED2">
            <w:pPr>
              <w:tabs>
                <w:tab w:val="decimal" w:pos="599"/>
              </w:tabs>
              <w:jc w:val="left"/>
              <w:rPr>
                <w:szCs w:val="22"/>
              </w:rPr>
            </w:pPr>
            <w:r>
              <w:rPr>
                <w:szCs w:val="22"/>
              </w:rPr>
              <w:t>136</w:t>
            </w:r>
          </w:p>
        </w:tc>
        <w:tc>
          <w:tcPr>
            <w:tcW w:w="1124" w:type="dxa"/>
            <w:vAlign w:val="bottom"/>
          </w:tcPr>
          <w:p w:rsidR="00126B9D" w:rsidRPr="005B1ADC" w:rsidRDefault="00116900" w:rsidP="00490ED2">
            <w:pPr>
              <w:tabs>
                <w:tab w:val="decimal" w:pos="591"/>
              </w:tabs>
              <w:jc w:val="left"/>
              <w:rPr>
                <w:szCs w:val="22"/>
              </w:rPr>
            </w:pPr>
            <w:r>
              <w:rPr>
                <w:szCs w:val="22"/>
              </w:rPr>
              <w:t>243</w:t>
            </w:r>
          </w:p>
        </w:tc>
        <w:tc>
          <w:tcPr>
            <w:tcW w:w="1139" w:type="dxa"/>
            <w:vAlign w:val="bottom"/>
          </w:tcPr>
          <w:p w:rsidR="00126B9D" w:rsidRPr="005B1ADC" w:rsidRDefault="00116900" w:rsidP="00490ED2">
            <w:pPr>
              <w:tabs>
                <w:tab w:val="decimal" w:pos="709"/>
              </w:tabs>
              <w:jc w:val="left"/>
              <w:rPr>
                <w:szCs w:val="22"/>
              </w:rPr>
            </w:pPr>
            <w:r>
              <w:rPr>
                <w:szCs w:val="22"/>
              </w:rPr>
              <w:t>4,339</w:t>
            </w:r>
          </w:p>
        </w:tc>
        <w:tc>
          <w:tcPr>
            <w:tcW w:w="1706" w:type="dxa"/>
            <w:vAlign w:val="bottom"/>
          </w:tcPr>
          <w:p w:rsidR="00126B9D" w:rsidRPr="005B1ADC" w:rsidRDefault="00116900" w:rsidP="00490ED2">
            <w:pPr>
              <w:tabs>
                <w:tab w:val="decimal" w:pos="1010"/>
              </w:tabs>
              <w:jc w:val="left"/>
              <w:rPr>
                <w:szCs w:val="22"/>
              </w:rPr>
            </w:pPr>
            <w:r>
              <w:rPr>
                <w:szCs w:val="22"/>
              </w:rPr>
              <w:t>12,472</w:t>
            </w:r>
          </w:p>
        </w:tc>
        <w:tc>
          <w:tcPr>
            <w:tcW w:w="1178" w:type="dxa"/>
            <w:vAlign w:val="bottom"/>
          </w:tcPr>
          <w:p w:rsidR="00126B9D" w:rsidRPr="005B1ADC" w:rsidRDefault="00126B9D" w:rsidP="00490ED2">
            <w:pPr>
              <w:tabs>
                <w:tab w:val="decimal" w:pos="465"/>
              </w:tabs>
              <w:jc w:val="left"/>
              <w:rPr>
                <w:szCs w:val="22"/>
              </w:rPr>
            </w:pPr>
          </w:p>
        </w:tc>
      </w:tr>
      <w:tr w:rsidR="00126B9D" w:rsidRPr="005B1ADC" w:rsidTr="00490ED2">
        <w:trPr>
          <w:jc w:val="center"/>
        </w:trPr>
        <w:tc>
          <w:tcPr>
            <w:tcW w:w="1136" w:type="dxa"/>
            <w:vAlign w:val="bottom"/>
          </w:tcPr>
          <w:p w:rsidR="00126B9D" w:rsidRPr="005B1ADC" w:rsidRDefault="00126B9D" w:rsidP="00490ED2">
            <w:pPr>
              <w:jc w:val="center"/>
              <w:rPr>
                <w:szCs w:val="22"/>
              </w:rPr>
            </w:pPr>
            <w:r w:rsidRPr="005B1ADC">
              <w:rPr>
                <w:szCs w:val="22"/>
              </w:rPr>
              <w:t>% change</w:t>
            </w:r>
          </w:p>
        </w:tc>
        <w:tc>
          <w:tcPr>
            <w:tcW w:w="1195" w:type="dxa"/>
            <w:vAlign w:val="bottom"/>
          </w:tcPr>
          <w:p w:rsidR="00126B9D" w:rsidRPr="005B1ADC" w:rsidRDefault="00116900" w:rsidP="00490ED2">
            <w:pPr>
              <w:tabs>
                <w:tab w:val="decimal" w:pos="627"/>
              </w:tabs>
              <w:jc w:val="left"/>
              <w:rPr>
                <w:szCs w:val="22"/>
              </w:rPr>
            </w:pPr>
            <w:r>
              <w:rPr>
                <w:szCs w:val="22"/>
              </w:rPr>
              <w:t>-22.5%</w:t>
            </w:r>
          </w:p>
        </w:tc>
        <w:tc>
          <w:tcPr>
            <w:tcW w:w="1124" w:type="dxa"/>
            <w:vAlign w:val="bottom"/>
          </w:tcPr>
          <w:p w:rsidR="00126B9D" w:rsidRPr="005B1ADC" w:rsidRDefault="00116900" w:rsidP="00490ED2">
            <w:pPr>
              <w:tabs>
                <w:tab w:val="decimal" w:pos="446"/>
              </w:tabs>
              <w:jc w:val="left"/>
              <w:rPr>
                <w:szCs w:val="22"/>
              </w:rPr>
            </w:pPr>
            <w:r>
              <w:rPr>
                <w:szCs w:val="22"/>
              </w:rPr>
              <w:t>161.5%</w:t>
            </w:r>
          </w:p>
        </w:tc>
        <w:tc>
          <w:tcPr>
            <w:tcW w:w="1124" w:type="dxa"/>
            <w:vAlign w:val="bottom"/>
          </w:tcPr>
          <w:p w:rsidR="00126B9D" w:rsidRPr="005B1ADC" w:rsidRDefault="00116900" w:rsidP="00490ED2">
            <w:pPr>
              <w:tabs>
                <w:tab w:val="decimal" w:pos="411"/>
              </w:tabs>
              <w:jc w:val="left"/>
              <w:rPr>
                <w:szCs w:val="22"/>
              </w:rPr>
            </w:pPr>
            <w:r>
              <w:rPr>
                <w:szCs w:val="22"/>
              </w:rPr>
              <w:t>85.5%</w:t>
            </w:r>
          </w:p>
        </w:tc>
        <w:tc>
          <w:tcPr>
            <w:tcW w:w="1139" w:type="dxa"/>
            <w:vAlign w:val="bottom"/>
          </w:tcPr>
          <w:p w:rsidR="00126B9D" w:rsidRPr="005B1ADC" w:rsidRDefault="00116900" w:rsidP="00490ED2">
            <w:pPr>
              <w:tabs>
                <w:tab w:val="decimal" w:pos="530"/>
              </w:tabs>
              <w:jc w:val="left"/>
              <w:rPr>
                <w:szCs w:val="22"/>
              </w:rPr>
            </w:pPr>
            <w:r>
              <w:rPr>
                <w:szCs w:val="22"/>
              </w:rPr>
              <w:t>-37.5</w:t>
            </w:r>
          </w:p>
        </w:tc>
        <w:tc>
          <w:tcPr>
            <w:tcW w:w="1706" w:type="dxa"/>
            <w:vAlign w:val="bottom"/>
          </w:tcPr>
          <w:p w:rsidR="00126B9D" w:rsidRPr="005B1ADC" w:rsidRDefault="00116900" w:rsidP="00490ED2">
            <w:pPr>
              <w:tabs>
                <w:tab w:val="decimal" w:pos="815"/>
              </w:tabs>
              <w:jc w:val="left"/>
              <w:rPr>
                <w:szCs w:val="22"/>
              </w:rPr>
            </w:pPr>
            <w:r>
              <w:rPr>
                <w:szCs w:val="22"/>
              </w:rPr>
              <w:t>-24.5%</w:t>
            </w:r>
          </w:p>
        </w:tc>
        <w:tc>
          <w:tcPr>
            <w:tcW w:w="1178" w:type="dxa"/>
            <w:vAlign w:val="bottom"/>
          </w:tcPr>
          <w:p w:rsidR="00126B9D" w:rsidRPr="005B1ADC" w:rsidRDefault="00126B9D" w:rsidP="00490ED2">
            <w:pPr>
              <w:jc w:val="left"/>
              <w:rPr>
                <w:szCs w:val="22"/>
              </w:rPr>
            </w:pPr>
          </w:p>
        </w:tc>
      </w:tr>
      <w:tr w:rsidR="00126B9D" w:rsidRPr="005B1ADC" w:rsidTr="00490ED2">
        <w:trPr>
          <w:jc w:val="center"/>
        </w:trPr>
        <w:tc>
          <w:tcPr>
            <w:tcW w:w="8602" w:type="dxa"/>
            <w:gridSpan w:val="7"/>
            <w:vAlign w:val="bottom"/>
          </w:tcPr>
          <w:p w:rsidR="00126B9D" w:rsidRPr="005B1ADC" w:rsidRDefault="00126B9D" w:rsidP="00490ED2">
            <w:pPr>
              <w:rPr>
                <w:sz w:val="20"/>
              </w:rPr>
            </w:pPr>
            <w:r w:rsidRPr="005B1ADC">
              <w:rPr>
                <w:sz w:val="20"/>
              </w:rPr>
              <w:t>____________________</w:t>
            </w:r>
          </w:p>
          <w:p w:rsidR="00126B9D" w:rsidRPr="005B1ADC" w:rsidRDefault="00126B9D" w:rsidP="00490ED2">
            <w:pPr>
              <w:rPr>
                <w:sz w:val="20"/>
              </w:rPr>
            </w:pPr>
            <w:r w:rsidRPr="005B1ADC">
              <w:rPr>
                <w:sz w:val="20"/>
              </w:rPr>
              <w:t>Source: U.S. Census Bureau</w:t>
            </w:r>
          </w:p>
        </w:tc>
      </w:tr>
    </w:tbl>
    <w:p w:rsidR="00126B9D" w:rsidRPr="005B1ADC" w:rsidRDefault="00126B9D" w:rsidP="00126B9D">
      <w:pPr>
        <w:rPr>
          <w:szCs w:val="22"/>
        </w:rPr>
      </w:pPr>
    </w:p>
    <w:p w:rsidR="00126B9D" w:rsidRPr="005B1ADC" w:rsidRDefault="00126B9D" w:rsidP="00126B9D">
      <w:pPr>
        <w:pStyle w:val="LeftHeading"/>
        <w:rPr>
          <w:szCs w:val="22"/>
        </w:rPr>
      </w:pPr>
      <w:r w:rsidRPr="005B1ADC">
        <w:rPr>
          <w:szCs w:val="22"/>
        </w:rPr>
        <w:br w:type="page"/>
      </w:r>
    </w:p>
    <w:p w:rsidR="00126B9D" w:rsidRPr="005B1ADC" w:rsidRDefault="00126B9D" w:rsidP="00126B9D">
      <w:pPr>
        <w:pStyle w:val="LeftHeading"/>
        <w:rPr>
          <w:szCs w:val="22"/>
        </w:rPr>
      </w:pPr>
      <w:r w:rsidRPr="005B1ADC">
        <w:rPr>
          <w:szCs w:val="22"/>
        </w:rPr>
        <w:t>Residential Foreclosures</w:t>
      </w:r>
    </w:p>
    <w:p w:rsidR="00126B9D" w:rsidRPr="005B1ADC" w:rsidRDefault="00126B9D" w:rsidP="00126B9D">
      <w:pPr>
        <w:pStyle w:val="BodyText"/>
        <w:rPr>
          <w:szCs w:val="22"/>
        </w:rPr>
      </w:pPr>
      <w:r w:rsidRPr="005B1ADC">
        <w:rPr>
          <w:szCs w:val="22"/>
        </w:rPr>
        <w:t>The following table provides a five-year history of foreclosure filings and sales in Colorado.  The foreclosure filing is the event that begins the foreclosure process.  In general, a borrower who is at least three months delinquent will receive a filing notice from the Public Trustee for the county in which the property is located.  At this point, the property is in foreclosure.</w:t>
      </w:r>
    </w:p>
    <w:p w:rsidR="00126B9D" w:rsidRPr="005B1ADC" w:rsidRDefault="00126B9D" w:rsidP="00126B9D">
      <w:pPr>
        <w:pStyle w:val="BodyText"/>
        <w:rPr>
          <w:szCs w:val="22"/>
        </w:rPr>
      </w:pPr>
      <w:r w:rsidRPr="005B1ADC">
        <w:rPr>
          <w:szCs w:val="22"/>
        </w:rPr>
        <w:t>Because a foreclosure filing can be cured or withdrawn before the home is sold at auction, not all filings result in foreclosure sales.  Foreclosure sales at auction generally proceed between 110 and 125 days after the initial filing.  Once a foreclosure sale is completed, the eviction process begins.</w:t>
      </w:r>
    </w:p>
    <w:tbl>
      <w:tblPr>
        <w:tblStyle w:val="TableGrid"/>
        <w:tblW w:w="63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1405"/>
        <w:gridCol w:w="1065"/>
        <w:gridCol w:w="2040"/>
        <w:gridCol w:w="1065"/>
      </w:tblGrid>
      <w:tr w:rsidR="00126B9D" w:rsidRPr="005B1ADC" w:rsidTr="00490ED2">
        <w:trPr>
          <w:jc w:val="center"/>
        </w:trPr>
        <w:tc>
          <w:tcPr>
            <w:tcW w:w="6395" w:type="dxa"/>
            <w:gridSpan w:val="5"/>
            <w:vAlign w:val="bottom"/>
          </w:tcPr>
          <w:p w:rsidR="00126B9D" w:rsidRPr="005B1ADC" w:rsidRDefault="00126B9D" w:rsidP="00490ED2">
            <w:pPr>
              <w:spacing w:after="240"/>
              <w:jc w:val="center"/>
              <w:rPr>
                <w:b/>
                <w:szCs w:val="22"/>
              </w:rPr>
            </w:pPr>
            <w:r w:rsidRPr="005B1ADC">
              <w:rPr>
                <w:b/>
                <w:szCs w:val="22"/>
              </w:rPr>
              <w:t>Foreclosure Filings and Sales in Colorado</w:t>
            </w:r>
          </w:p>
        </w:tc>
      </w:tr>
      <w:tr w:rsidR="00126B9D" w:rsidRPr="005B1ADC" w:rsidTr="00490ED2">
        <w:trPr>
          <w:jc w:val="center"/>
        </w:trPr>
        <w:tc>
          <w:tcPr>
            <w:tcW w:w="820" w:type="dxa"/>
            <w:vAlign w:val="bottom"/>
          </w:tcPr>
          <w:p w:rsidR="00126B9D" w:rsidRPr="005B1ADC" w:rsidRDefault="00126B9D" w:rsidP="00490ED2">
            <w:pPr>
              <w:spacing w:after="120"/>
              <w:jc w:val="center"/>
              <w:rPr>
                <w:b/>
                <w:szCs w:val="22"/>
              </w:rPr>
            </w:pPr>
          </w:p>
        </w:tc>
        <w:tc>
          <w:tcPr>
            <w:tcW w:w="1405"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Foreclosure Filings</w:t>
            </w:r>
            <w:r w:rsidRPr="005B1ADC">
              <w:rPr>
                <w:b/>
                <w:szCs w:val="22"/>
                <w:vertAlign w:val="superscript"/>
              </w:rPr>
              <w:t>*</w:t>
            </w:r>
          </w:p>
        </w:tc>
        <w:tc>
          <w:tcPr>
            <w:tcW w:w="1065"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w:t>
            </w:r>
            <w:r w:rsidRPr="005B1ADC">
              <w:rPr>
                <w:b/>
                <w:szCs w:val="22"/>
              </w:rPr>
              <w:br/>
              <w:t>Change</w:t>
            </w:r>
          </w:p>
        </w:tc>
        <w:tc>
          <w:tcPr>
            <w:tcW w:w="2040"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Foreclosure Sales</w:t>
            </w:r>
            <w:r w:rsidRPr="005B1ADC">
              <w:rPr>
                <w:b/>
                <w:szCs w:val="22"/>
              </w:rPr>
              <w:br/>
              <w:t>at Auction</w:t>
            </w:r>
          </w:p>
        </w:tc>
        <w:tc>
          <w:tcPr>
            <w:tcW w:w="1065" w:type="dxa"/>
            <w:vAlign w:val="bottom"/>
          </w:tcPr>
          <w:p w:rsidR="00126B9D" w:rsidRPr="005B1ADC" w:rsidRDefault="00126B9D" w:rsidP="00490ED2">
            <w:pPr>
              <w:pBdr>
                <w:bottom w:val="single" w:sz="4" w:space="1" w:color="auto"/>
              </w:pBdr>
              <w:spacing w:after="120"/>
              <w:jc w:val="center"/>
              <w:rPr>
                <w:b/>
                <w:szCs w:val="22"/>
              </w:rPr>
            </w:pPr>
            <w:r w:rsidRPr="005B1ADC">
              <w:rPr>
                <w:b/>
                <w:szCs w:val="22"/>
              </w:rPr>
              <w:t>%</w:t>
            </w:r>
            <w:r w:rsidRPr="005B1ADC">
              <w:rPr>
                <w:b/>
                <w:szCs w:val="22"/>
              </w:rPr>
              <w:br/>
              <w:t>Change</w:t>
            </w:r>
          </w:p>
        </w:tc>
      </w:tr>
      <w:tr w:rsidR="00116900" w:rsidRPr="005B1ADC" w:rsidTr="00490ED2">
        <w:trPr>
          <w:jc w:val="center"/>
        </w:trPr>
        <w:tc>
          <w:tcPr>
            <w:tcW w:w="820" w:type="dxa"/>
            <w:vAlign w:val="bottom"/>
          </w:tcPr>
          <w:p w:rsidR="00116900" w:rsidRPr="005B1ADC" w:rsidRDefault="00116900" w:rsidP="00116900">
            <w:pPr>
              <w:jc w:val="center"/>
              <w:rPr>
                <w:szCs w:val="22"/>
              </w:rPr>
            </w:pPr>
            <w:r w:rsidRPr="005B1ADC">
              <w:rPr>
                <w:szCs w:val="22"/>
              </w:rPr>
              <w:t>2014</w:t>
            </w:r>
          </w:p>
        </w:tc>
        <w:tc>
          <w:tcPr>
            <w:tcW w:w="1405" w:type="dxa"/>
            <w:vAlign w:val="bottom"/>
          </w:tcPr>
          <w:p w:rsidR="00116900" w:rsidRPr="005B1ADC" w:rsidRDefault="00116900" w:rsidP="00116900">
            <w:pPr>
              <w:tabs>
                <w:tab w:val="decimal" w:pos="863"/>
              </w:tabs>
              <w:jc w:val="left"/>
              <w:rPr>
                <w:szCs w:val="22"/>
              </w:rPr>
            </w:pPr>
            <w:r w:rsidRPr="005B1ADC">
              <w:rPr>
                <w:szCs w:val="22"/>
              </w:rPr>
              <w:t>11,243</w:t>
            </w:r>
          </w:p>
        </w:tc>
        <w:tc>
          <w:tcPr>
            <w:tcW w:w="1065" w:type="dxa"/>
            <w:vAlign w:val="bottom"/>
          </w:tcPr>
          <w:p w:rsidR="00116900" w:rsidRPr="005B1ADC" w:rsidRDefault="00116900" w:rsidP="00116900">
            <w:pPr>
              <w:tabs>
                <w:tab w:val="decimal" w:pos="466"/>
              </w:tabs>
              <w:jc w:val="left"/>
              <w:rPr>
                <w:szCs w:val="22"/>
              </w:rPr>
            </w:pPr>
            <w:r w:rsidRPr="005B1ADC">
              <w:rPr>
                <w:szCs w:val="22"/>
              </w:rPr>
              <w:t>-26.7</w:t>
            </w:r>
          </w:p>
        </w:tc>
        <w:tc>
          <w:tcPr>
            <w:tcW w:w="2040" w:type="dxa"/>
            <w:vAlign w:val="bottom"/>
          </w:tcPr>
          <w:p w:rsidR="00116900" w:rsidRPr="005B1ADC" w:rsidRDefault="00116900" w:rsidP="00116900">
            <w:pPr>
              <w:tabs>
                <w:tab w:val="decimal" w:pos="1150"/>
              </w:tabs>
              <w:jc w:val="left"/>
              <w:rPr>
                <w:szCs w:val="22"/>
              </w:rPr>
            </w:pPr>
            <w:r w:rsidRPr="005B1ADC">
              <w:rPr>
                <w:szCs w:val="22"/>
              </w:rPr>
              <w:t>5,989</w:t>
            </w:r>
          </w:p>
        </w:tc>
        <w:tc>
          <w:tcPr>
            <w:tcW w:w="1065" w:type="dxa"/>
            <w:vAlign w:val="bottom"/>
          </w:tcPr>
          <w:p w:rsidR="00116900" w:rsidRPr="005B1ADC" w:rsidRDefault="00116900" w:rsidP="00116900">
            <w:pPr>
              <w:tabs>
                <w:tab w:val="decimal" w:pos="444"/>
              </w:tabs>
              <w:jc w:val="left"/>
              <w:rPr>
                <w:szCs w:val="22"/>
              </w:rPr>
            </w:pPr>
            <w:r w:rsidRPr="005B1ADC">
              <w:rPr>
                <w:szCs w:val="22"/>
              </w:rPr>
              <w:t>-35.7</w:t>
            </w:r>
          </w:p>
        </w:tc>
      </w:tr>
      <w:tr w:rsidR="00116900" w:rsidRPr="005B1ADC" w:rsidTr="00490ED2">
        <w:trPr>
          <w:jc w:val="center"/>
        </w:trPr>
        <w:tc>
          <w:tcPr>
            <w:tcW w:w="820" w:type="dxa"/>
            <w:vAlign w:val="bottom"/>
          </w:tcPr>
          <w:p w:rsidR="00116900" w:rsidRPr="005B1ADC" w:rsidRDefault="00116900" w:rsidP="00116900">
            <w:pPr>
              <w:jc w:val="center"/>
              <w:rPr>
                <w:szCs w:val="22"/>
              </w:rPr>
            </w:pPr>
            <w:r w:rsidRPr="005B1ADC">
              <w:rPr>
                <w:szCs w:val="22"/>
              </w:rPr>
              <w:t>2015</w:t>
            </w:r>
          </w:p>
        </w:tc>
        <w:tc>
          <w:tcPr>
            <w:tcW w:w="1405" w:type="dxa"/>
            <w:vAlign w:val="bottom"/>
          </w:tcPr>
          <w:p w:rsidR="00116900" w:rsidRPr="005B1ADC" w:rsidRDefault="00116900" w:rsidP="00116900">
            <w:pPr>
              <w:tabs>
                <w:tab w:val="decimal" w:pos="863"/>
              </w:tabs>
              <w:jc w:val="left"/>
              <w:rPr>
                <w:szCs w:val="22"/>
              </w:rPr>
            </w:pPr>
            <w:r w:rsidRPr="005B1ADC">
              <w:rPr>
                <w:szCs w:val="22"/>
              </w:rPr>
              <w:t>8,241</w:t>
            </w:r>
          </w:p>
        </w:tc>
        <w:tc>
          <w:tcPr>
            <w:tcW w:w="1065" w:type="dxa"/>
            <w:vAlign w:val="bottom"/>
          </w:tcPr>
          <w:p w:rsidR="00116900" w:rsidRPr="005B1ADC" w:rsidRDefault="00116900" w:rsidP="00116900">
            <w:pPr>
              <w:tabs>
                <w:tab w:val="decimal" w:pos="466"/>
              </w:tabs>
              <w:jc w:val="left"/>
              <w:rPr>
                <w:szCs w:val="22"/>
              </w:rPr>
            </w:pPr>
            <w:r w:rsidRPr="005B1ADC">
              <w:rPr>
                <w:szCs w:val="22"/>
              </w:rPr>
              <w:t>-26.7</w:t>
            </w:r>
          </w:p>
        </w:tc>
        <w:tc>
          <w:tcPr>
            <w:tcW w:w="2040" w:type="dxa"/>
            <w:vAlign w:val="bottom"/>
          </w:tcPr>
          <w:p w:rsidR="00116900" w:rsidRPr="005B1ADC" w:rsidRDefault="00116900" w:rsidP="00116900">
            <w:pPr>
              <w:tabs>
                <w:tab w:val="decimal" w:pos="1150"/>
              </w:tabs>
              <w:jc w:val="left"/>
              <w:rPr>
                <w:szCs w:val="22"/>
              </w:rPr>
            </w:pPr>
            <w:r w:rsidRPr="005B1ADC">
              <w:rPr>
                <w:szCs w:val="22"/>
              </w:rPr>
              <w:t>4,209</w:t>
            </w:r>
          </w:p>
        </w:tc>
        <w:tc>
          <w:tcPr>
            <w:tcW w:w="1065" w:type="dxa"/>
            <w:vAlign w:val="bottom"/>
          </w:tcPr>
          <w:p w:rsidR="00116900" w:rsidRPr="005B1ADC" w:rsidRDefault="00116900" w:rsidP="00116900">
            <w:pPr>
              <w:tabs>
                <w:tab w:val="decimal" w:pos="444"/>
              </w:tabs>
              <w:jc w:val="left"/>
              <w:rPr>
                <w:szCs w:val="22"/>
              </w:rPr>
            </w:pPr>
            <w:r w:rsidRPr="005B1ADC">
              <w:rPr>
                <w:szCs w:val="22"/>
              </w:rPr>
              <w:t>-29.7</w:t>
            </w:r>
          </w:p>
        </w:tc>
      </w:tr>
      <w:tr w:rsidR="00126B9D" w:rsidRPr="005B1ADC" w:rsidTr="00490ED2">
        <w:trPr>
          <w:jc w:val="center"/>
        </w:trPr>
        <w:tc>
          <w:tcPr>
            <w:tcW w:w="820" w:type="dxa"/>
            <w:vAlign w:val="bottom"/>
          </w:tcPr>
          <w:p w:rsidR="00126B9D" w:rsidRPr="005B1ADC" w:rsidRDefault="00116900" w:rsidP="00490ED2">
            <w:pPr>
              <w:jc w:val="center"/>
              <w:rPr>
                <w:szCs w:val="22"/>
              </w:rPr>
            </w:pPr>
            <w:r>
              <w:rPr>
                <w:szCs w:val="22"/>
              </w:rPr>
              <w:t>2016</w:t>
            </w:r>
          </w:p>
        </w:tc>
        <w:tc>
          <w:tcPr>
            <w:tcW w:w="1405" w:type="dxa"/>
            <w:vAlign w:val="bottom"/>
          </w:tcPr>
          <w:p w:rsidR="00126B9D" w:rsidRPr="005B1ADC" w:rsidRDefault="00116900" w:rsidP="00490ED2">
            <w:pPr>
              <w:tabs>
                <w:tab w:val="decimal" w:pos="863"/>
              </w:tabs>
              <w:jc w:val="left"/>
              <w:rPr>
                <w:szCs w:val="22"/>
              </w:rPr>
            </w:pPr>
            <w:r>
              <w:rPr>
                <w:szCs w:val="22"/>
              </w:rPr>
              <w:t>7,666</w:t>
            </w:r>
          </w:p>
        </w:tc>
        <w:tc>
          <w:tcPr>
            <w:tcW w:w="1065" w:type="dxa"/>
            <w:vAlign w:val="bottom"/>
          </w:tcPr>
          <w:p w:rsidR="00126B9D" w:rsidRPr="005B1ADC" w:rsidRDefault="00116900" w:rsidP="00490ED2">
            <w:pPr>
              <w:tabs>
                <w:tab w:val="decimal" w:pos="466"/>
              </w:tabs>
              <w:jc w:val="left"/>
              <w:rPr>
                <w:szCs w:val="22"/>
              </w:rPr>
            </w:pPr>
            <w:r>
              <w:rPr>
                <w:szCs w:val="22"/>
              </w:rPr>
              <w:t>-7.0</w:t>
            </w:r>
          </w:p>
        </w:tc>
        <w:tc>
          <w:tcPr>
            <w:tcW w:w="2040" w:type="dxa"/>
            <w:vAlign w:val="bottom"/>
          </w:tcPr>
          <w:p w:rsidR="00126B9D" w:rsidRPr="005B1ADC" w:rsidRDefault="00116900" w:rsidP="00490ED2">
            <w:pPr>
              <w:tabs>
                <w:tab w:val="decimal" w:pos="1150"/>
              </w:tabs>
              <w:jc w:val="left"/>
              <w:rPr>
                <w:szCs w:val="22"/>
              </w:rPr>
            </w:pPr>
            <w:r>
              <w:rPr>
                <w:szCs w:val="22"/>
              </w:rPr>
              <w:t>3,128</w:t>
            </w:r>
          </w:p>
        </w:tc>
        <w:tc>
          <w:tcPr>
            <w:tcW w:w="1065" w:type="dxa"/>
            <w:vAlign w:val="bottom"/>
          </w:tcPr>
          <w:p w:rsidR="00126B9D" w:rsidRPr="005B1ADC" w:rsidRDefault="00116900" w:rsidP="00490ED2">
            <w:pPr>
              <w:tabs>
                <w:tab w:val="decimal" w:pos="444"/>
              </w:tabs>
              <w:jc w:val="left"/>
              <w:rPr>
                <w:szCs w:val="22"/>
              </w:rPr>
            </w:pPr>
            <w:r>
              <w:rPr>
                <w:szCs w:val="22"/>
              </w:rPr>
              <w:t>-25.7</w:t>
            </w:r>
          </w:p>
        </w:tc>
      </w:tr>
      <w:tr w:rsidR="00126B9D" w:rsidRPr="005B1ADC" w:rsidTr="00490ED2">
        <w:trPr>
          <w:jc w:val="center"/>
        </w:trPr>
        <w:tc>
          <w:tcPr>
            <w:tcW w:w="820" w:type="dxa"/>
            <w:vAlign w:val="bottom"/>
          </w:tcPr>
          <w:p w:rsidR="00126B9D" w:rsidRPr="005B1ADC" w:rsidRDefault="00116900" w:rsidP="00490ED2">
            <w:pPr>
              <w:jc w:val="center"/>
              <w:rPr>
                <w:szCs w:val="22"/>
              </w:rPr>
            </w:pPr>
            <w:r>
              <w:rPr>
                <w:szCs w:val="22"/>
              </w:rPr>
              <w:t>2017</w:t>
            </w:r>
          </w:p>
        </w:tc>
        <w:tc>
          <w:tcPr>
            <w:tcW w:w="1405" w:type="dxa"/>
            <w:vAlign w:val="bottom"/>
          </w:tcPr>
          <w:p w:rsidR="00126B9D" w:rsidRPr="005B1ADC" w:rsidRDefault="00116900" w:rsidP="00490ED2">
            <w:pPr>
              <w:tabs>
                <w:tab w:val="decimal" w:pos="863"/>
              </w:tabs>
              <w:jc w:val="left"/>
              <w:rPr>
                <w:szCs w:val="22"/>
              </w:rPr>
            </w:pPr>
            <w:r>
              <w:rPr>
                <w:szCs w:val="22"/>
              </w:rPr>
              <w:t>6,680</w:t>
            </w:r>
          </w:p>
        </w:tc>
        <w:tc>
          <w:tcPr>
            <w:tcW w:w="1065" w:type="dxa"/>
            <w:vAlign w:val="bottom"/>
          </w:tcPr>
          <w:p w:rsidR="00126B9D" w:rsidRPr="005B1ADC" w:rsidRDefault="00116900" w:rsidP="00490ED2">
            <w:pPr>
              <w:tabs>
                <w:tab w:val="decimal" w:pos="466"/>
              </w:tabs>
              <w:jc w:val="left"/>
              <w:rPr>
                <w:szCs w:val="22"/>
              </w:rPr>
            </w:pPr>
            <w:r>
              <w:rPr>
                <w:szCs w:val="22"/>
              </w:rPr>
              <w:t>-12.9</w:t>
            </w:r>
          </w:p>
        </w:tc>
        <w:tc>
          <w:tcPr>
            <w:tcW w:w="2040" w:type="dxa"/>
            <w:vAlign w:val="bottom"/>
          </w:tcPr>
          <w:p w:rsidR="00126B9D" w:rsidRPr="005B1ADC" w:rsidRDefault="00116900" w:rsidP="00490ED2">
            <w:pPr>
              <w:tabs>
                <w:tab w:val="decimal" w:pos="1150"/>
              </w:tabs>
              <w:jc w:val="left"/>
              <w:rPr>
                <w:szCs w:val="22"/>
              </w:rPr>
            </w:pPr>
            <w:r>
              <w:rPr>
                <w:szCs w:val="22"/>
              </w:rPr>
              <w:t>2,100</w:t>
            </w:r>
          </w:p>
        </w:tc>
        <w:tc>
          <w:tcPr>
            <w:tcW w:w="1065" w:type="dxa"/>
            <w:vAlign w:val="bottom"/>
          </w:tcPr>
          <w:p w:rsidR="00126B9D" w:rsidRPr="005B1ADC" w:rsidRDefault="00116900" w:rsidP="00490ED2">
            <w:pPr>
              <w:tabs>
                <w:tab w:val="decimal" w:pos="444"/>
              </w:tabs>
              <w:jc w:val="left"/>
              <w:rPr>
                <w:szCs w:val="22"/>
              </w:rPr>
            </w:pPr>
            <w:r>
              <w:rPr>
                <w:szCs w:val="22"/>
              </w:rPr>
              <w:t>-32.9</w:t>
            </w:r>
          </w:p>
        </w:tc>
      </w:tr>
      <w:tr w:rsidR="00126B9D" w:rsidRPr="005B1ADC" w:rsidTr="00490ED2">
        <w:trPr>
          <w:jc w:val="center"/>
        </w:trPr>
        <w:tc>
          <w:tcPr>
            <w:tcW w:w="820" w:type="dxa"/>
            <w:vAlign w:val="bottom"/>
          </w:tcPr>
          <w:p w:rsidR="00126B9D" w:rsidRPr="005B1ADC" w:rsidRDefault="00116900" w:rsidP="00490ED2">
            <w:pPr>
              <w:jc w:val="center"/>
              <w:rPr>
                <w:szCs w:val="22"/>
              </w:rPr>
            </w:pPr>
            <w:r>
              <w:rPr>
                <w:szCs w:val="22"/>
              </w:rPr>
              <w:t>2018</w:t>
            </w:r>
          </w:p>
        </w:tc>
        <w:tc>
          <w:tcPr>
            <w:tcW w:w="1405" w:type="dxa"/>
            <w:vAlign w:val="bottom"/>
          </w:tcPr>
          <w:p w:rsidR="00126B9D" w:rsidRPr="005B1ADC" w:rsidRDefault="00116900" w:rsidP="00490ED2">
            <w:pPr>
              <w:tabs>
                <w:tab w:val="decimal" w:pos="863"/>
              </w:tabs>
              <w:jc w:val="left"/>
              <w:rPr>
                <w:szCs w:val="22"/>
              </w:rPr>
            </w:pPr>
            <w:r>
              <w:rPr>
                <w:szCs w:val="22"/>
              </w:rPr>
              <w:t>5,884</w:t>
            </w:r>
          </w:p>
        </w:tc>
        <w:tc>
          <w:tcPr>
            <w:tcW w:w="1065" w:type="dxa"/>
            <w:vAlign w:val="bottom"/>
          </w:tcPr>
          <w:p w:rsidR="00126B9D" w:rsidRPr="005B1ADC" w:rsidRDefault="00116900" w:rsidP="00490ED2">
            <w:pPr>
              <w:tabs>
                <w:tab w:val="decimal" w:pos="466"/>
              </w:tabs>
              <w:jc w:val="left"/>
              <w:rPr>
                <w:szCs w:val="22"/>
              </w:rPr>
            </w:pPr>
            <w:r>
              <w:rPr>
                <w:szCs w:val="22"/>
              </w:rPr>
              <w:t>-11.9</w:t>
            </w:r>
          </w:p>
        </w:tc>
        <w:tc>
          <w:tcPr>
            <w:tcW w:w="2040" w:type="dxa"/>
            <w:vAlign w:val="bottom"/>
          </w:tcPr>
          <w:p w:rsidR="00126B9D" w:rsidRPr="005B1ADC" w:rsidRDefault="00116900" w:rsidP="00490ED2">
            <w:pPr>
              <w:tabs>
                <w:tab w:val="decimal" w:pos="1150"/>
              </w:tabs>
              <w:jc w:val="left"/>
              <w:rPr>
                <w:szCs w:val="22"/>
              </w:rPr>
            </w:pPr>
            <w:r>
              <w:rPr>
                <w:szCs w:val="22"/>
              </w:rPr>
              <w:t>1,461</w:t>
            </w:r>
          </w:p>
        </w:tc>
        <w:tc>
          <w:tcPr>
            <w:tcW w:w="1065" w:type="dxa"/>
            <w:vAlign w:val="bottom"/>
          </w:tcPr>
          <w:p w:rsidR="00126B9D" w:rsidRPr="005B1ADC" w:rsidRDefault="00116900" w:rsidP="00490ED2">
            <w:pPr>
              <w:tabs>
                <w:tab w:val="decimal" w:pos="444"/>
              </w:tabs>
              <w:jc w:val="left"/>
              <w:rPr>
                <w:szCs w:val="22"/>
              </w:rPr>
            </w:pPr>
            <w:r>
              <w:rPr>
                <w:szCs w:val="22"/>
              </w:rPr>
              <w:t>-30.4</w:t>
            </w:r>
          </w:p>
        </w:tc>
      </w:tr>
      <w:tr w:rsidR="00126B9D" w:rsidRPr="005B1ADC" w:rsidTr="00490ED2">
        <w:trPr>
          <w:jc w:val="center"/>
        </w:trPr>
        <w:tc>
          <w:tcPr>
            <w:tcW w:w="6395" w:type="dxa"/>
            <w:gridSpan w:val="5"/>
            <w:vAlign w:val="bottom"/>
          </w:tcPr>
          <w:p w:rsidR="00126B9D" w:rsidRPr="00116900" w:rsidRDefault="00126B9D" w:rsidP="00490ED2">
            <w:pPr>
              <w:rPr>
                <w:sz w:val="20"/>
              </w:rPr>
            </w:pPr>
            <w:r w:rsidRPr="00116900">
              <w:rPr>
                <w:sz w:val="20"/>
              </w:rPr>
              <w:t>____________________</w:t>
            </w:r>
          </w:p>
          <w:p w:rsidR="00126B9D" w:rsidRPr="00116900" w:rsidRDefault="00126B9D" w:rsidP="00490ED2">
            <w:pPr>
              <w:rPr>
                <w:sz w:val="20"/>
              </w:rPr>
            </w:pPr>
            <w:r w:rsidRPr="00116900">
              <w:rPr>
                <w:sz w:val="20"/>
                <w:vertAlign w:val="superscript"/>
              </w:rPr>
              <w:t>*</w:t>
            </w:r>
            <w:r w:rsidRPr="00116900">
              <w:rPr>
                <w:sz w:val="20"/>
              </w:rPr>
              <w:t xml:space="preserve"> Some filings may have been subsequently cured or withdrawn and may not have resulted in sales at auction.  </w:t>
            </w:r>
          </w:p>
          <w:p w:rsidR="00126B9D" w:rsidRPr="005B1ADC" w:rsidRDefault="00126B9D" w:rsidP="00490ED2">
            <w:pPr>
              <w:rPr>
                <w:szCs w:val="22"/>
              </w:rPr>
            </w:pPr>
            <w:r w:rsidRPr="00116900">
              <w:rPr>
                <w:sz w:val="20"/>
              </w:rPr>
              <w:t>Source: Colorado Division of Housing</w:t>
            </w:r>
          </w:p>
        </w:tc>
      </w:tr>
    </w:tbl>
    <w:p w:rsidR="00126B9D" w:rsidRPr="005B1ADC" w:rsidRDefault="00126B9D" w:rsidP="00126B9D">
      <w:pPr>
        <w:pStyle w:val="BodyText"/>
      </w:pPr>
    </w:p>
    <w:p w:rsidR="00365EBF" w:rsidRDefault="00365EBF" w:rsidP="002E4A0D">
      <w:pPr>
        <w:pStyle w:val="BodyText"/>
      </w:pPr>
    </w:p>
    <w:p w:rsidR="00365EBF" w:rsidRDefault="00365EBF" w:rsidP="002E4A0D">
      <w:pPr>
        <w:pStyle w:val="BodyText"/>
      </w:pPr>
    </w:p>
    <w:p w:rsidR="00F46BAA" w:rsidRDefault="00F46BAA" w:rsidP="002E4A0D">
      <w:pPr>
        <w:pStyle w:val="BodyText"/>
        <w:sectPr w:rsidR="00F46BAA" w:rsidSect="00E222CA">
          <w:headerReference w:type="even" r:id="rId53"/>
          <w:headerReference w:type="default" r:id="rId54"/>
          <w:footerReference w:type="even" r:id="rId55"/>
          <w:footerReference w:type="default" r:id="rId56"/>
          <w:headerReference w:type="first" r:id="rId57"/>
          <w:footerReference w:type="first" r:id="rId58"/>
          <w:footnotePr>
            <w:numFmt w:val="chicago"/>
            <w:numRestart w:val="eachPage"/>
          </w:footnotePr>
          <w:pgSz w:w="12240" w:h="15840" w:code="1"/>
          <w:pgMar w:top="1440" w:right="1440" w:bottom="1440" w:left="1440" w:header="720" w:footer="720" w:gutter="0"/>
          <w:cols w:space="720"/>
          <w:titlePg/>
          <w:docGrid w:linePitch="360"/>
        </w:sectPr>
      </w:pPr>
    </w:p>
    <w:p w:rsidR="002E4A0D" w:rsidRDefault="002E4A0D" w:rsidP="00A02B83">
      <w:pPr>
        <w:pStyle w:val="Heading1"/>
      </w:pPr>
      <w:bookmarkStart w:id="106" w:name="_Toc21694971"/>
      <w:r>
        <w:t xml:space="preserve">APPENDIX </w:t>
      </w:r>
      <w:r w:rsidR="00B72C4C">
        <w:t>d</w:t>
      </w:r>
      <w:r w:rsidR="00A02B83">
        <w:br/>
      </w:r>
      <w:r w:rsidR="00A02B83">
        <w:br/>
      </w:r>
      <w:r w:rsidR="000B3B31">
        <w:t xml:space="preserve">SUMMARY OF CERTAIN PROVISIONS OF THE </w:t>
      </w:r>
      <w:r w:rsidR="001B61D5">
        <w:t>INDENTURE</w:t>
      </w:r>
      <w:bookmarkEnd w:id="106"/>
    </w:p>
    <w:p w:rsidR="002E4A0D" w:rsidRDefault="002E4A0D" w:rsidP="002E4A0D">
      <w:pPr>
        <w:pStyle w:val="BodyText"/>
      </w:pPr>
    </w:p>
    <w:p w:rsidR="00086FB4" w:rsidRDefault="00086FB4" w:rsidP="002E4A0D">
      <w:pPr>
        <w:pStyle w:val="BodyText"/>
        <w:sectPr w:rsidR="00086FB4" w:rsidSect="00086FB4">
          <w:headerReference w:type="even" r:id="rId59"/>
          <w:headerReference w:type="default" r:id="rId60"/>
          <w:footerReference w:type="even" r:id="rId61"/>
          <w:footerReference w:type="default" r:id="rId62"/>
          <w:headerReference w:type="first" r:id="rId63"/>
          <w:footerReference w:type="first" r:id="rId64"/>
          <w:footnotePr>
            <w:numFmt w:val="chicago"/>
            <w:numRestart w:val="eachPage"/>
          </w:footnotePr>
          <w:pgSz w:w="12240" w:h="15840" w:code="1"/>
          <w:pgMar w:top="1440" w:right="1440" w:bottom="1440" w:left="1440" w:header="720" w:footer="720" w:gutter="0"/>
          <w:pgNumType w:start="1"/>
          <w:cols w:space="720"/>
          <w:titlePg/>
          <w:docGrid w:linePitch="360"/>
        </w:sectPr>
      </w:pPr>
    </w:p>
    <w:p w:rsidR="002E4A0D" w:rsidRDefault="002E4A0D" w:rsidP="004761A2">
      <w:pPr>
        <w:pStyle w:val="Heading1"/>
      </w:pPr>
      <w:bookmarkStart w:id="109" w:name="_Toc21694972"/>
      <w:r>
        <w:t>APPENDIX E</w:t>
      </w:r>
      <w:r w:rsidR="004761A2">
        <w:br/>
      </w:r>
      <w:r w:rsidR="004761A2">
        <w:br/>
      </w:r>
      <w:r>
        <w:t>FORM OF CONTINUING DISCLOSURE UNDERTAKING</w:t>
      </w:r>
      <w:bookmarkEnd w:id="109"/>
    </w:p>
    <w:p w:rsidR="00086FB4" w:rsidRDefault="00086FB4" w:rsidP="002E4A0D">
      <w:pPr>
        <w:pStyle w:val="BodyText"/>
        <w:sectPr w:rsidR="00086FB4" w:rsidSect="00086FB4">
          <w:headerReference w:type="even" r:id="rId65"/>
          <w:headerReference w:type="default" r:id="rId66"/>
          <w:footerReference w:type="even" r:id="rId67"/>
          <w:footerReference w:type="default" r:id="rId68"/>
          <w:headerReference w:type="first" r:id="rId69"/>
          <w:footerReference w:type="first" r:id="rId70"/>
          <w:footnotePr>
            <w:numFmt w:val="chicago"/>
            <w:numRestart w:val="eachPage"/>
          </w:footnotePr>
          <w:pgSz w:w="12240" w:h="15840" w:code="1"/>
          <w:pgMar w:top="1440" w:right="1440" w:bottom="1440" w:left="1440" w:header="720" w:footer="720" w:gutter="0"/>
          <w:pgNumType w:start="1"/>
          <w:cols w:space="720"/>
          <w:titlePg/>
          <w:docGrid w:linePitch="360"/>
        </w:sectPr>
      </w:pPr>
    </w:p>
    <w:p w:rsidR="002E4A0D" w:rsidRDefault="002E4A0D" w:rsidP="00233851">
      <w:pPr>
        <w:pStyle w:val="Heading1"/>
        <w:spacing w:after="720"/>
      </w:pPr>
      <w:bookmarkStart w:id="112" w:name="_Toc21694973"/>
      <w:r>
        <w:t xml:space="preserve">APPENDIX </w:t>
      </w:r>
      <w:r w:rsidR="00015325">
        <w:t>F</w:t>
      </w:r>
      <w:r w:rsidR="008468ED">
        <w:br/>
      </w:r>
      <w:r w:rsidR="008468ED">
        <w:br/>
      </w:r>
      <w:r>
        <w:t>FORM OF BOND COUNSEL OPINION</w:t>
      </w:r>
      <w:bookmarkEnd w:id="112"/>
    </w:p>
    <w:p w:rsidR="002E4A0D" w:rsidRDefault="002E4A0D" w:rsidP="002E4A0D">
      <w:pPr>
        <w:pStyle w:val="BodyText"/>
      </w:pPr>
    </w:p>
    <w:p w:rsidR="00086FB4" w:rsidRDefault="00086FB4" w:rsidP="002E4A0D">
      <w:pPr>
        <w:pStyle w:val="BodyText"/>
        <w:sectPr w:rsidR="00086FB4" w:rsidSect="00086FB4">
          <w:headerReference w:type="even" r:id="rId71"/>
          <w:headerReference w:type="default" r:id="rId72"/>
          <w:footerReference w:type="even" r:id="rId73"/>
          <w:footerReference w:type="default" r:id="rId74"/>
          <w:headerReference w:type="first" r:id="rId75"/>
          <w:footerReference w:type="first" r:id="rId76"/>
          <w:footnotePr>
            <w:numFmt w:val="chicago"/>
            <w:numRestart w:val="eachPage"/>
          </w:footnotePr>
          <w:pgSz w:w="12240" w:h="15840" w:code="1"/>
          <w:pgMar w:top="1440" w:right="1440" w:bottom="1440" w:left="1440" w:header="720" w:footer="720" w:gutter="0"/>
          <w:pgNumType w:start="1"/>
          <w:cols w:space="720"/>
          <w:titlePg/>
          <w:docGrid w:linePitch="360"/>
        </w:sectPr>
      </w:pPr>
    </w:p>
    <w:p w:rsidR="00B56F59" w:rsidRPr="00B56F59" w:rsidRDefault="00B56F59" w:rsidP="00B56F59">
      <w:pPr>
        <w:pStyle w:val="BodyText"/>
        <w:ind w:firstLine="0"/>
        <w:jc w:val="center"/>
        <w:rPr>
          <w:b/>
        </w:rPr>
      </w:pPr>
      <w:r w:rsidRPr="00B56F59">
        <w:rPr>
          <w:b/>
        </w:rPr>
        <w:t xml:space="preserve">APPENDIX </w:t>
      </w:r>
      <w:r w:rsidR="00015325">
        <w:rPr>
          <w:b/>
        </w:rPr>
        <w:t>G</w:t>
      </w:r>
      <w:r w:rsidRPr="00B56F59">
        <w:rPr>
          <w:b/>
        </w:rPr>
        <w:br/>
      </w:r>
      <w:r w:rsidRPr="00B56F59">
        <w:rPr>
          <w:b/>
        </w:rPr>
        <w:br/>
        <w:t>BOOK-ENTRY-ONLY SYSTEM</w:t>
      </w:r>
    </w:p>
    <w:p w:rsidR="00B56F59" w:rsidRPr="00B56F59" w:rsidRDefault="00B56F59" w:rsidP="00B56F59">
      <w:pPr>
        <w:pStyle w:val="BodyText"/>
        <w:ind w:firstLine="0"/>
        <w:rPr>
          <w:b/>
        </w:rPr>
      </w:pPr>
      <w:r w:rsidRPr="00B56F59">
        <w:rPr>
          <w:b/>
        </w:rPr>
        <w:t>Introduction</w:t>
      </w:r>
    </w:p>
    <w:p w:rsidR="00B56F59" w:rsidRDefault="00B56F59" w:rsidP="00B56F59">
      <w:pPr>
        <w:pStyle w:val="BodyText"/>
      </w:pPr>
      <w:r>
        <w:t xml:space="preserve">Unless otherwise noted, the information contained under the caption “—General” below has been provided by DTC.  The </w:t>
      </w:r>
      <w:r w:rsidR="00B72C4C">
        <w:t>Bridge Enterprise</w:t>
      </w:r>
      <w:r>
        <w:t xml:space="preserve"> makes no representations as to the accuracy or the completeness of such information.  The Beneficial Owners of the </w:t>
      </w:r>
      <w:r w:rsidR="00B72C4C">
        <w:t>Series 2019A Senior Bond</w:t>
      </w:r>
      <w:r>
        <w:t>s should confirm the following information with DTC, the Direct Participants or the Indirect Participants.</w:t>
      </w:r>
    </w:p>
    <w:p w:rsidR="00B56F59" w:rsidRDefault="00B56F59" w:rsidP="00B56F59">
      <w:pPr>
        <w:pStyle w:val="BodyText"/>
      </w:pPr>
      <w:r>
        <w:t xml:space="preserve">NEITHER THE </w:t>
      </w:r>
      <w:r w:rsidR="00B72C4C">
        <w:t>BRIDGE ENTERPRISE</w:t>
      </w:r>
      <w:r>
        <w:t xml:space="preserve"> NOR THE TRUSTEE WILL HAVE ANY RESPONSIBILITY OR OBLIGATION TO DIRECT PARTICIPANTS, TO INDIRECT PARTICIPANTS, OR TO ANY BENEFICIAL OWNER WITH RESPECT TO (A) THE ACCURACY OF ANY RECORDS MAINTAINED BY DTC, ANY DIRECT PARTICIPANT, OR ANY INDIRECT PARTICIPANT; (B) ANY NOTICE THAT IS PERMITTED OR REQUIRED TO BE GIVEN TO THE OWNERS OF THE </w:t>
      </w:r>
      <w:r w:rsidR="00B72C4C">
        <w:t>SERIES 2019A SENIOR BOND</w:t>
      </w:r>
      <w:r>
        <w:t xml:space="preserve">S UNDER THE INDENTURE, (C) THE SELECTION BY DTC OR ANY DIRECT PARTICIPANT OR INDIRECT PARTICIPANT OF ANY PERSON TO RECEIVE PAYMENT IN THE EVENT OF A PARTIAL REDEMPTION OF THE </w:t>
      </w:r>
      <w:r w:rsidR="00B72C4C">
        <w:t>SERIES 2019A SENIOR BOND</w:t>
      </w:r>
      <w:r>
        <w:t xml:space="preserve">S; (D) THE PAYMENT BY DTC OR ANY DIRECT PARTICIPANT OR INDIRECT PARTICIPANT OF ANY AMOUNT WITH RESPECT TO THE PRINCIPAL OR INTEREST DUE TO THE OWNERS OF THE </w:t>
      </w:r>
      <w:r w:rsidR="00B72C4C">
        <w:t>SERIES 2019A SENIOR BOND</w:t>
      </w:r>
      <w:r>
        <w:t xml:space="preserve">S; (E) ANY CONSENT GIVEN OR OTHER ACTION TAKEN BY DTC AS THE OWNERS OF </w:t>
      </w:r>
      <w:r w:rsidR="00B72C4C">
        <w:t>SERIES 2019A SENIOR BOND</w:t>
      </w:r>
      <w:r>
        <w:t>S; OR (F)</w:t>
      </w:r>
      <w:r w:rsidR="00B72C4C">
        <w:t> </w:t>
      </w:r>
      <w:r>
        <w:t>ANY OTHER MATTER REGARDING DTC.</w:t>
      </w:r>
    </w:p>
    <w:p w:rsidR="00B56F59" w:rsidRPr="00B56F59" w:rsidRDefault="00B56F59" w:rsidP="00B56F59">
      <w:pPr>
        <w:pStyle w:val="BodyText"/>
        <w:ind w:firstLine="0"/>
        <w:rPr>
          <w:b/>
        </w:rPr>
      </w:pPr>
      <w:r w:rsidRPr="00B56F59">
        <w:rPr>
          <w:b/>
        </w:rPr>
        <w:t>General</w:t>
      </w:r>
    </w:p>
    <w:p w:rsidR="00B56F59" w:rsidRDefault="00B56F59" w:rsidP="00B56F59">
      <w:pPr>
        <w:pStyle w:val="BodyText"/>
      </w:pPr>
      <w:r>
        <w:t xml:space="preserve">DTC will act as securities depository for the </w:t>
      </w:r>
      <w:r w:rsidR="00B72C4C">
        <w:t>Series 2019A Senior Bond</w:t>
      </w:r>
      <w:r>
        <w:t xml:space="preserve">s.  The </w:t>
      </w:r>
      <w:r w:rsidR="00B72C4C">
        <w:t>Series 2019A Senior Bond</w:t>
      </w:r>
      <w:r>
        <w:t xml:space="preserve">s will be issued as fully-registered securities registered in the name of Cede &amp; Co. (DTC’s partnership nominee) or such other name as may be requested by an authorized representative of DTC.  One fully registered </w:t>
      </w:r>
      <w:r w:rsidR="00B72C4C">
        <w:t>Series 2019A Senior Bond</w:t>
      </w:r>
      <w:r>
        <w:t xml:space="preserve"> certificate will be issued for each maturity of the </w:t>
      </w:r>
      <w:r w:rsidR="00B72C4C">
        <w:t>Series 2019A Senior Bond</w:t>
      </w:r>
      <w:r>
        <w:t>s, each in the aggregate principal amount of such maturity, and will be deposited with DTC.</w:t>
      </w:r>
    </w:p>
    <w:p w:rsidR="00B56F59" w:rsidRDefault="00B56F59" w:rsidP="00B56F59">
      <w:pPr>
        <w:pStyle w:val="BodyText"/>
      </w:pPr>
      <w:r>
        <w:t xml:space="preserve">DTC, the world’s largest securities depository, is a limited-purpose trust company organized under the New York Banking Law, a “banking organization” within the meaning of the New York Banking Law, a member of the Federal Reserve System, a “clearing corporation” within the meaning of the New York Uniform Commercial Code, and a “clearing agency” registered pursuant to the provisions of Section 17A of the Securities Exchange Act of 1934, as amended.  DTC holds and provides asset servicing for over 3.5 million issues of U.S. and non-U.S. equity issues, corporate and municipal debt issues, and money market instruments (from over 100 countries) that DTC’s participants (“Direct Participants”) deposit with DTC.  DTC also facilitates the post-trade settlement among Direct Participants of sales and other securities transactions in deposited securities, through electronic computerized book-entry transfers and pledges between Direct Participants’ accounts.  This eliminates the need for physical movement of securities certificates.  Direct Participants include both U.S. and non-U.S. securities brokers and dealers, banks, trust companies, clearing corporations, and certain other organizations.  DTC is a wholly-owned subsidiary of The Depository Trust &amp; Clearing Corporation (“DTCC”).  DTCC is the holding company for DTC, National Securities Clearing Corporation and Fixed Income Clearing Corporation, all of which are registered clearing agencies.  DTCC is owned by the users of its regulated subsidiaries.  Access to the DTC system is also available to others such as both U.S. and non-U.S. securities brokers and dealers, banks, trust companies, and clearing corporations that clear through or maintain a custodial relationship with a Direct Participant, either directly or indirectly (“Indirect Participants”).  DTC has a Standard &amp; Poor’s rating of AA+.  The DTC Rules applicable to Participants are on file with the Securities and Exchange Commission.  More information about DTC can be found at www.dtcc.com. </w:t>
      </w:r>
    </w:p>
    <w:p w:rsidR="00B56F59" w:rsidRDefault="00B56F59" w:rsidP="00B56F59">
      <w:pPr>
        <w:pStyle w:val="BodyText"/>
      </w:pPr>
      <w:r>
        <w:t xml:space="preserve">Purchases of the </w:t>
      </w:r>
      <w:r w:rsidR="00B72C4C">
        <w:t>Series 2019A Senior Bond</w:t>
      </w:r>
      <w:r>
        <w:t xml:space="preserve">s under the DTC system must be made by or through Direct Participants, which will receive a credit for the </w:t>
      </w:r>
      <w:r w:rsidR="00B72C4C">
        <w:t>Series 2019A Senior Bond</w:t>
      </w:r>
      <w:r>
        <w:t xml:space="preserve">s on DTC’s records.  The ownership interest of each actual purchaser of each </w:t>
      </w:r>
      <w:r w:rsidR="00B72C4C">
        <w:t>Series 2019A Senior Bond</w:t>
      </w:r>
      <w:r>
        <w:t xml:space="preserve"> (“Beneficial Owner”) is in turn to be recorded on the Direct and Indirect Participants’ records.  Beneficial Owners will not receive written confirmation from DTC of their purchase.  Beneficial Owners are, however, expected to receive written confirmations providing details of the transaction, as well as periodic statements of their holdings, from the Direct or Indirect Participant through which the Beneficial Owner entered into the transaction.  Transfers of ownership interests in the </w:t>
      </w:r>
      <w:r w:rsidR="00B72C4C">
        <w:t>Series 2019A Senior Bond</w:t>
      </w:r>
      <w:r>
        <w:t xml:space="preserve">s are to be accomplished by entries made on the books of Direct and Indirect Participants acting on behalf of Beneficial Owners.  Beneficial Owners will not receive certificates representing their ownership interests in the </w:t>
      </w:r>
      <w:r w:rsidR="00B72C4C">
        <w:t>Series 2019A Senior Bond</w:t>
      </w:r>
      <w:r>
        <w:t xml:space="preserve">s, except in the event that use of the book-entry system for the </w:t>
      </w:r>
      <w:r w:rsidR="00B72C4C">
        <w:t>Series 2019A Senior Bond</w:t>
      </w:r>
      <w:r>
        <w:t>s is discontinued.</w:t>
      </w:r>
    </w:p>
    <w:p w:rsidR="00B56F59" w:rsidRDefault="00B56F59" w:rsidP="00B56F59">
      <w:pPr>
        <w:pStyle w:val="BodyText"/>
      </w:pPr>
      <w:r>
        <w:t xml:space="preserve">To facilitate subsequent transfers, all </w:t>
      </w:r>
      <w:r w:rsidR="00B72C4C">
        <w:t>Series 2019A Senior Bond</w:t>
      </w:r>
      <w:r>
        <w:t xml:space="preserve">s deposited by Direct Participants with DTC are registered in the name of DTC’s partnership nominee, Cede &amp; Co. or such other name as may be requested by an authorized representative of DTC.  The deposit of </w:t>
      </w:r>
      <w:r w:rsidR="00B72C4C">
        <w:t>Series 2019A Senior Bond</w:t>
      </w:r>
      <w:r>
        <w:t xml:space="preserve">s with DTC and their registration in the name of Cede &amp; Co. or such other DTC nominee do not affect any change in beneficial ownership.  DTC has no knowledge of the actual Beneficial Owners of the </w:t>
      </w:r>
      <w:r w:rsidR="00B72C4C">
        <w:t>Series 2019A Senior Bond</w:t>
      </w:r>
      <w:r>
        <w:t xml:space="preserve">s; DTC’s records reflect only the identity of the Direct Participants to whose accounts such </w:t>
      </w:r>
      <w:r w:rsidR="00B72C4C">
        <w:t>Series 2019A Senior Bond</w:t>
      </w:r>
      <w:r>
        <w:t>s are credited, which may or may not be the Beneficial Owners.  The Direct and Indirect Participants will remain responsible for keeping account of their holdings on behalf of their customers.</w:t>
      </w:r>
    </w:p>
    <w:p w:rsidR="00B56F59" w:rsidRDefault="00B56F59" w:rsidP="00B56F59">
      <w:pPr>
        <w:pStyle w:val="BodyText"/>
      </w:pPr>
      <w:r>
        <w:t xml:space="preserve">Conveyance of notices and other communications by DTC to Direct Participants, by Direct Participants to Indirect Participants, and by Direct Participants and Indirect Participants to Beneficial Owners will be governed by arrangements among them, subject to any statutory or regulatory requirements as may be in effect from time to time.  Beneficial Owners of </w:t>
      </w:r>
      <w:r w:rsidR="00B72C4C">
        <w:t>Series 2019A Senior Bond</w:t>
      </w:r>
      <w:r>
        <w:t xml:space="preserve">s may wish to take certain steps to augment the transmission to them of notices of significant events with respect to the </w:t>
      </w:r>
      <w:r w:rsidR="00B72C4C">
        <w:t>Series 2019A Senior Bond</w:t>
      </w:r>
      <w:r>
        <w:t xml:space="preserve">s, such as redemptions, tenders, defaults and proposed amendments to the </w:t>
      </w:r>
      <w:r w:rsidR="00B72C4C">
        <w:t>Series 2019A Senior Bond</w:t>
      </w:r>
      <w:r>
        <w:t xml:space="preserve"> documents.  For example, Beneficial Owners of </w:t>
      </w:r>
      <w:r w:rsidR="00B72C4C">
        <w:t>Series 2019A Senior Bond</w:t>
      </w:r>
      <w:r>
        <w:t xml:space="preserve">s may wish to ascertain that the nominee holding the </w:t>
      </w:r>
      <w:r w:rsidR="00B72C4C">
        <w:t>Series 2019A Senior Bond</w:t>
      </w:r>
      <w:r>
        <w:t>s for their benefit has agreed to obtain and transmit notices to Beneficial Owners.  In the alternative, Beneficial Owners may wish to provide their names and addresses to the registrar and request that copies of the notices be provided directly to them.</w:t>
      </w:r>
    </w:p>
    <w:p w:rsidR="00B56F59" w:rsidRDefault="00B56F59" w:rsidP="00B56F59">
      <w:pPr>
        <w:pStyle w:val="BodyText"/>
      </w:pPr>
      <w:r>
        <w:t xml:space="preserve">While the </w:t>
      </w:r>
      <w:r w:rsidR="00B72C4C">
        <w:t>Series 2019A Senior Bond</w:t>
      </w:r>
      <w:r>
        <w:t xml:space="preserve">s are in the book-entry-only system, redemption notices will be sent to DTC.  If less than all of the </w:t>
      </w:r>
      <w:r w:rsidR="00B72C4C">
        <w:t>Series 2019A Senior Bond</w:t>
      </w:r>
      <w:r>
        <w:t>s of a maturity are being redeemed, DTC’s practice is to determine by lot the amount of the interest of each Direct Participant in such issue to be redeemed.</w:t>
      </w:r>
    </w:p>
    <w:p w:rsidR="00B56F59" w:rsidRDefault="00B56F59" w:rsidP="00B56F59">
      <w:pPr>
        <w:pStyle w:val="BodyText"/>
      </w:pPr>
      <w:r>
        <w:t xml:space="preserve">Neither DTC nor Cede &amp; Co. (nor any other DTC nominee) will consent or vote with respect to the </w:t>
      </w:r>
      <w:r w:rsidR="00B72C4C">
        <w:t>Series 2019A Senior Bond</w:t>
      </w:r>
      <w:r>
        <w:t xml:space="preserve">s unless authorized by a Direct Participant in accordance with DTC’s MMI Procedures.  Under its usual procedures, DTC mails an Omnibus Proxy to the </w:t>
      </w:r>
      <w:r w:rsidR="00B72C4C">
        <w:t>Bridge Enterprise</w:t>
      </w:r>
      <w:r>
        <w:t xml:space="preserve"> as soon as possible after the record date.  The Omnibus Proxy assigns Cede &amp; Co.’s consenting or voting rights to those Direct Participants to whose accounts the </w:t>
      </w:r>
      <w:r w:rsidR="00B72C4C">
        <w:t>Series 2019A Senior Bond</w:t>
      </w:r>
      <w:r>
        <w:t>s are credited on the record date (identified in a listing attached to the Omnibus Proxy).</w:t>
      </w:r>
    </w:p>
    <w:p w:rsidR="00B56F59" w:rsidRDefault="00B56F59" w:rsidP="00B56F59">
      <w:pPr>
        <w:pStyle w:val="BodyText"/>
      </w:pPr>
      <w:r>
        <w:t xml:space="preserve">Principal and interest payments on the </w:t>
      </w:r>
      <w:r w:rsidR="00B72C4C">
        <w:t>Series 2019A Senior Bond</w:t>
      </w:r>
      <w:r>
        <w:t xml:space="preserve">s will be made to Cede &amp; Co., or such other nominee as may be requested by an authorized representative of DTC.  DTC’s practice is to credit Direct Participants’ accounts upon DTC’s receipt of funds and corresponding detail information from the </w:t>
      </w:r>
      <w:r w:rsidR="00B72C4C">
        <w:t>Bridge Enterprise</w:t>
      </w:r>
      <w:r>
        <w:t xml:space="preserve">, the Trustee on the payable date in accordance with their respective holdings shown on DTC’s records.  Payments by Participants to Beneficial Owners will be governed by standing instructions and customary practices, as is the case with securities held for the accounts of customers in bearer form or registered in “street name,” and will be the responsibility of such Participant and not of DTC, the Trustee or the </w:t>
      </w:r>
      <w:r w:rsidR="00B72C4C">
        <w:t>Bridge Enterprise</w:t>
      </w:r>
      <w:r>
        <w:t xml:space="preserve">, subject to any statutory or regulatory requirements as may be in effect from time to time.  Payment of principal and interest payments to Cede &amp; Co. (or such other nominee as may be requested by an authorized representative of DTC) is the responsibility of the </w:t>
      </w:r>
      <w:r w:rsidR="00B72C4C">
        <w:t>Bridge Enterprise</w:t>
      </w:r>
      <w:r>
        <w:t xml:space="preserve"> or the Trustee, disbursement of such payments to Direct Participants will be the responsibility of DTC, and disbursement of such payments to the Beneficial Owners will be the responsibility of Direct and Indirect Participants.</w:t>
      </w:r>
    </w:p>
    <w:p w:rsidR="00B56F59" w:rsidRDefault="00B56F59" w:rsidP="00B56F59">
      <w:pPr>
        <w:pStyle w:val="BodyText"/>
      </w:pPr>
      <w:r>
        <w:t xml:space="preserve">DTC may discontinue providing its services as depository with respect to the </w:t>
      </w:r>
      <w:r w:rsidR="00B72C4C">
        <w:t>Series 2019A Senior Bond</w:t>
      </w:r>
      <w:r>
        <w:t xml:space="preserve">s at any time by giving reasonable notice to the </w:t>
      </w:r>
      <w:r w:rsidR="00B72C4C">
        <w:t>Bridge Enterprise</w:t>
      </w:r>
      <w:r>
        <w:t xml:space="preserve"> or the Trustee.  Under such circumstances, in the event that a successor depository is not obtained, certificates representing the </w:t>
      </w:r>
      <w:r w:rsidR="00B72C4C">
        <w:t>Series 2019A Senior Bond</w:t>
      </w:r>
      <w:r>
        <w:t>s are required to be printed and delivered.</w:t>
      </w:r>
    </w:p>
    <w:p w:rsidR="00B56F59" w:rsidRDefault="00B56F59" w:rsidP="00B56F59">
      <w:pPr>
        <w:pStyle w:val="BodyText"/>
      </w:pPr>
      <w:r>
        <w:t xml:space="preserve">The </w:t>
      </w:r>
      <w:r w:rsidR="00B72C4C">
        <w:t>Bridge Enterprise</w:t>
      </w:r>
      <w:r>
        <w:t xml:space="preserve"> may decide to discontinue use of the system of book-entry-only transfers through DTC (or a successor securities depository).  In that event, certificates representing the </w:t>
      </w:r>
      <w:r w:rsidR="00B72C4C">
        <w:t>Series 2019A Senior Bond</w:t>
      </w:r>
      <w:r>
        <w:t>s will be printed and delivered to DTC.</w:t>
      </w:r>
    </w:p>
    <w:p w:rsidR="00B56F59" w:rsidRDefault="00B56F59" w:rsidP="00B56F59">
      <w:pPr>
        <w:pStyle w:val="BodyText"/>
      </w:pPr>
      <w:r>
        <w:t xml:space="preserve">The information in this Appendix </w:t>
      </w:r>
      <w:r w:rsidR="00E2638E">
        <w:t>G</w:t>
      </w:r>
      <w:r>
        <w:t xml:space="preserve"> concerning DTC and DTC’s book-entry system has been obtained from sources that the </w:t>
      </w:r>
      <w:r w:rsidR="00B72C4C">
        <w:t>Bridge Enterprise</w:t>
      </w:r>
      <w:r>
        <w:t xml:space="preserve"> believes to be reliable, but neither the </w:t>
      </w:r>
      <w:r w:rsidR="00B72C4C">
        <w:t>Bridge Enterprise</w:t>
      </w:r>
      <w:r>
        <w:t xml:space="preserve"> nor the Underwriter take any responsibility for the accuracy thereof.</w:t>
      </w:r>
    </w:p>
    <w:p w:rsidR="00B56F59" w:rsidRPr="00B56F59" w:rsidRDefault="00B56F59" w:rsidP="00B56F59">
      <w:pPr>
        <w:pStyle w:val="BodyText"/>
      </w:pPr>
      <w:r>
        <w:t xml:space="preserve">BENEFICIAL OWNERS WILL NOT RECEIVE PHYSICAL DELIVERY OF </w:t>
      </w:r>
      <w:r w:rsidR="00B72C4C">
        <w:t>SERIES 2019A SENIOR BOND</w:t>
      </w:r>
      <w:r>
        <w:t>S AND WILL NOT BE RECOGNIZED BY THE TRUSTEE AS OWNERS THEREOF, AND BENEFICIAL OWNERS WILL BE PERMITTED TO EXERCISE THE RIGHTS OF OWNERS ONLY INDIRECTLY THROUGH DTC AND THE DTC PARTICIPANTS.</w:t>
      </w:r>
    </w:p>
    <w:sectPr w:rsidR="00B56F59" w:rsidRPr="00B56F59" w:rsidSect="00086FB4">
      <w:headerReference w:type="even" r:id="rId77"/>
      <w:headerReference w:type="default" r:id="rId78"/>
      <w:footerReference w:type="even" r:id="rId79"/>
      <w:footerReference w:type="default" r:id="rId80"/>
      <w:headerReference w:type="first" r:id="rId81"/>
      <w:footerReference w:type="first" r:id="rId82"/>
      <w:footnotePr>
        <w:numFmt w:val="chicago"/>
        <w:numRestart w:val="eachPage"/>
      </w:footnotePr>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A4" w:rsidRDefault="00A51BA4" w:rsidP="002E4A0D">
      <w:r>
        <w:separator/>
      </w:r>
    </w:p>
  </w:endnote>
  <w:endnote w:type="continuationSeparator" w:id="0">
    <w:p w:rsidR="00A51BA4" w:rsidRDefault="00A51BA4" w:rsidP="002E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6F2318" w:rsidTr="00086FB4">
      <w:trPr>
        <w:jc w:val="center"/>
      </w:trPr>
      <w:tc>
        <w:tcPr>
          <w:tcW w:w="4146" w:type="dxa"/>
        </w:tcPr>
        <w:p w:rsidR="006F2318" w:rsidRDefault="006F2318">
          <w:pPr>
            <w:pStyle w:val="Footer"/>
          </w:pPr>
        </w:p>
      </w:tc>
      <w:tc>
        <w:tcPr>
          <w:tcW w:w="1008" w:type="dxa"/>
        </w:tcPr>
        <w:p w:rsidR="006F2318" w:rsidRDefault="006F2318">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ii</w:t>
          </w:r>
          <w:r>
            <w:rPr>
              <w:rStyle w:val="PageNumber"/>
            </w:rPr>
            <w:fldChar w:fldCharType="end"/>
          </w:r>
        </w:p>
      </w:tc>
      <w:tc>
        <w:tcPr>
          <w:tcW w:w="4146" w:type="dxa"/>
        </w:tcPr>
        <w:p w:rsidR="006F2318" w:rsidRDefault="006F2318">
          <w:pPr>
            <w:pStyle w:val="Footer"/>
          </w:pPr>
        </w:p>
      </w:tc>
    </w:tr>
  </w:tbl>
  <w:p w:rsidR="006F2318" w:rsidRDefault="006F2318" w:rsidP="00827F27">
    <w:pPr>
      <w:pStyle w:val="MacPacTrailer"/>
    </w:pPr>
    <w:bookmarkStart w:id="10" w:name="_zzmpTrailer_1078_7"/>
    <w:r w:rsidRPr="00006F36">
      <w:rPr>
        <w:rStyle w:val="zzmpTrailerItem"/>
      </w:rPr>
      <w:t>4847-7030-4414.4</w:t>
    </w:r>
    <w:r w:rsidRPr="00006F36">
      <w:t xml:space="preserve"> </w:t>
    </w:r>
    <w:bookmarkEnd w:id="10"/>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6F2318" w:rsidTr="00086FB4">
      <w:trPr>
        <w:jc w:val="center"/>
      </w:trPr>
      <w:tc>
        <w:tcPr>
          <w:tcW w:w="4146" w:type="dxa"/>
        </w:tcPr>
        <w:p w:rsidR="006F2318" w:rsidRDefault="006F2318">
          <w:pPr>
            <w:pStyle w:val="Footer"/>
          </w:pPr>
        </w:p>
      </w:tc>
      <w:tc>
        <w:tcPr>
          <w:tcW w:w="1008" w:type="dxa"/>
        </w:tcPr>
        <w:p w:rsidR="006F2318" w:rsidRDefault="006F2318">
          <w:pPr>
            <w:pStyle w:val="Footer"/>
            <w:jc w:val="center"/>
            <w:rPr>
              <w:rStyle w:val="PageNumber"/>
            </w:rPr>
          </w:pPr>
          <w:r w:rsidRPr="00862C4E">
            <w:rPr>
              <w:rStyle w:val="PageNumber"/>
            </w:rPr>
            <w:fldChar w:fldCharType="begin"/>
          </w:r>
          <w:r w:rsidRPr="00862C4E">
            <w:rPr>
              <w:rStyle w:val="PageNumber"/>
            </w:rPr>
            <w:instrText xml:space="preserve"> PAGE   \* MERGEFORMAT </w:instrText>
          </w:r>
          <w:r w:rsidRPr="00862C4E">
            <w:rPr>
              <w:rStyle w:val="PageNumber"/>
            </w:rPr>
            <w:fldChar w:fldCharType="separate"/>
          </w:r>
          <w:r>
            <w:rPr>
              <w:rStyle w:val="PageNumber"/>
              <w:noProof/>
            </w:rPr>
            <w:t>iii</w:t>
          </w:r>
          <w:r w:rsidRPr="00862C4E">
            <w:rPr>
              <w:rStyle w:val="PageNumber"/>
              <w:noProof/>
            </w:rPr>
            <w:fldChar w:fldCharType="end"/>
          </w:r>
        </w:p>
      </w:tc>
      <w:tc>
        <w:tcPr>
          <w:tcW w:w="4146" w:type="dxa"/>
        </w:tcPr>
        <w:p w:rsidR="006F2318" w:rsidRDefault="006F2318">
          <w:pPr>
            <w:pStyle w:val="Footer"/>
          </w:pPr>
        </w:p>
      </w:tc>
    </w:tr>
  </w:tbl>
  <w:p w:rsidR="006F2318" w:rsidRDefault="006F2318" w:rsidP="00827F27">
    <w:pPr>
      <w:pStyle w:val="MacPacTrailer"/>
    </w:pPr>
    <w:bookmarkStart w:id="11" w:name="_zzmpTrailer_1078_8"/>
    <w:r w:rsidRPr="00006F36">
      <w:rPr>
        <w:rStyle w:val="zzmpTrailerItem"/>
      </w:rPr>
      <w:t>4847-7030-4414.4</w:t>
    </w:r>
    <w:r w:rsidRPr="00006F36">
      <w:t xml:space="preserve"> </w:t>
    </w:r>
    <w:bookmarkEnd w:id="11"/>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892929"/>
      <w:docPartObj>
        <w:docPartGallery w:val="Page Numbers (Bottom of Page)"/>
        <w:docPartUnique/>
      </w:docPartObj>
    </w:sdtPr>
    <w:sdtEndPr>
      <w:rPr>
        <w:noProof/>
      </w:rPr>
    </w:sdtEndPr>
    <w:sdtContent>
      <w:p w:rsidR="006F2318" w:rsidRDefault="006F2318">
        <w:pPr>
          <w:pStyle w:val="Footer"/>
          <w:jc w:val="center"/>
          <w:rPr>
            <w:noProof/>
          </w:rPr>
        </w:pPr>
        <w:r>
          <w:fldChar w:fldCharType="begin"/>
        </w:r>
        <w:r>
          <w:instrText xml:space="preserve"> PAGE   \* MERGEFORMAT </w:instrText>
        </w:r>
        <w:r>
          <w:fldChar w:fldCharType="separate"/>
        </w:r>
        <w:r>
          <w:rPr>
            <w:noProof/>
          </w:rPr>
          <w:t>13</w:t>
        </w:r>
        <w:r>
          <w:rPr>
            <w:noProof/>
          </w:rPr>
          <w:fldChar w:fldCharType="end"/>
        </w:r>
      </w:p>
    </w:sdtContent>
  </w:sdt>
  <w:p w:rsidR="006F2318" w:rsidRDefault="006F2318" w:rsidP="00827F27">
    <w:pPr>
      <w:pStyle w:val="MacPacTrailer"/>
    </w:pPr>
    <w:bookmarkStart w:id="40" w:name="_zzmpTrailer_1078_9"/>
    <w:r w:rsidRPr="00006F36">
      <w:rPr>
        <w:rStyle w:val="zzmpTrailerItem"/>
      </w:rPr>
      <w:t>4847-7030-4414.4</w:t>
    </w:r>
    <w:r w:rsidRPr="00006F36">
      <w:t xml:space="preserve"> </w:t>
    </w:r>
    <w:bookmarkEnd w:id="40"/>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41" w:name="_zzmpTrailer_1078_10"/>
    <w:r w:rsidRPr="00006F36">
      <w:rPr>
        <w:rStyle w:val="zzmpTrailerItem"/>
      </w:rPr>
      <w:t>4847-7030-4414.4</w:t>
    </w:r>
    <w:r w:rsidRPr="00006F36">
      <w:t xml:space="preserve"> </w:t>
    </w:r>
    <w:bookmarkEnd w:id="41"/>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73680"/>
      <w:docPartObj>
        <w:docPartGallery w:val="Page Numbers (Bottom of Page)"/>
        <w:docPartUnique/>
      </w:docPartObj>
    </w:sdtPr>
    <w:sdtEndPr>
      <w:rPr>
        <w:noProof/>
      </w:rPr>
    </w:sdtEndPr>
    <w:sdtContent>
      <w:p w:rsidR="006F2318" w:rsidRDefault="006F2318">
        <w:pPr>
          <w:pStyle w:val="Footer"/>
          <w:jc w:val="center"/>
          <w:rPr>
            <w:noProof/>
          </w:rPr>
        </w:pPr>
        <w:r>
          <w:fldChar w:fldCharType="begin"/>
        </w:r>
        <w:r>
          <w:instrText xml:space="preserve"> PAGE   \* MERGEFORMAT </w:instrText>
        </w:r>
        <w:r>
          <w:fldChar w:fldCharType="separate"/>
        </w:r>
        <w:r>
          <w:rPr>
            <w:noProof/>
          </w:rPr>
          <w:t>18</w:t>
        </w:r>
        <w:r>
          <w:rPr>
            <w:noProof/>
          </w:rPr>
          <w:fldChar w:fldCharType="end"/>
        </w:r>
      </w:p>
    </w:sdtContent>
  </w:sdt>
  <w:p w:rsidR="006F2318" w:rsidRDefault="006F2318" w:rsidP="00827F27">
    <w:pPr>
      <w:pStyle w:val="MacPacTrailer"/>
    </w:pPr>
    <w:bookmarkStart w:id="43" w:name="_zzmpTrailer_1078_11"/>
    <w:r w:rsidRPr="00006F36">
      <w:rPr>
        <w:rStyle w:val="zzmpTrailerItem"/>
      </w:rPr>
      <w:t>4847-7030-4414.4</w:t>
    </w:r>
    <w:r w:rsidRPr="00006F36">
      <w:t xml:space="preserve"> </w:t>
    </w:r>
    <w:bookmarkEnd w:id="43"/>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393866"/>
      <w:docPartObj>
        <w:docPartGallery w:val="Page Numbers (Bottom of Page)"/>
        <w:docPartUnique/>
      </w:docPartObj>
    </w:sdtPr>
    <w:sdtEndPr>
      <w:rPr>
        <w:noProof/>
      </w:rPr>
    </w:sdtEndPr>
    <w:sdtContent>
      <w:p w:rsidR="006F2318" w:rsidRDefault="006F2318">
        <w:pPr>
          <w:pStyle w:val="Footer"/>
          <w:jc w:val="center"/>
          <w:rPr>
            <w:noProof/>
          </w:rPr>
        </w:pPr>
        <w:r>
          <w:fldChar w:fldCharType="begin"/>
        </w:r>
        <w:r>
          <w:instrText xml:space="preserve"> PAGE   \* MERGEFORMAT </w:instrText>
        </w:r>
        <w:r>
          <w:fldChar w:fldCharType="separate"/>
        </w:r>
        <w:r>
          <w:rPr>
            <w:noProof/>
          </w:rPr>
          <w:t>14</w:t>
        </w:r>
        <w:r>
          <w:rPr>
            <w:noProof/>
          </w:rPr>
          <w:fldChar w:fldCharType="end"/>
        </w:r>
      </w:p>
    </w:sdtContent>
  </w:sdt>
  <w:p w:rsidR="006F2318" w:rsidRDefault="006F2318" w:rsidP="00827F27">
    <w:pPr>
      <w:pStyle w:val="MacPacTrailer"/>
    </w:pPr>
    <w:bookmarkStart w:id="44" w:name="_zzmpTrailer_1078_12"/>
    <w:r w:rsidRPr="00006F36">
      <w:rPr>
        <w:rStyle w:val="zzmpTrailerItem"/>
      </w:rPr>
      <w:t>4847-7030-4414.4</w:t>
    </w:r>
    <w:r w:rsidRPr="00006F36">
      <w:t xml:space="preserve"> </w:t>
    </w:r>
    <w:bookmarkEnd w:id="44"/>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3" w:name="_zzmpTrailer_1078_1"/>
    <w:r w:rsidRPr="00006F36">
      <w:rPr>
        <w:rStyle w:val="zzmpTrailerItem"/>
      </w:rPr>
      <w:t>4847-7030-4414.4</w:t>
    </w:r>
    <w:r w:rsidRPr="00006F36">
      <w:t xml:space="preserve"> </w:t>
    </w:r>
    <w:bookmarkEnd w:id="3"/>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025502"/>
      <w:docPartObj>
        <w:docPartGallery w:val="Page Numbers (Bottom of Page)"/>
        <w:docPartUnique/>
      </w:docPartObj>
    </w:sdtPr>
    <w:sdtEndPr>
      <w:rPr>
        <w:noProof/>
      </w:rPr>
    </w:sdtEndPr>
    <w:sdtContent>
      <w:p w:rsidR="006F2318" w:rsidRDefault="006F2318">
        <w:pPr>
          <w:pStyle w:val="Footer"/>
          <w:jc w:val="center"/>
          <w:rPr>
            <w:noProof/>
          </w:rPr>
        </w:pPr>
        <w:r>
          <w:fldChar w:fldCharType="begin"/>
        </w:r>
        <w:r>
          <w:instrText xml:space="preserve"> PAGE   \* MERGEFORMAT </w:instrText>
        </w:r>
        <w:r>
          <w:fldChar w:fldCharType="separate"/>
        </w:r>
        <w:r>
          <w:rPr>
            <w:noProof/>
          </w:rPr>
          <w:t>41</w:t>
        </w:r>
        <w:r>
          <w:rPr>
            <w:noProof/>
          </w:rPr>
          <w:fldChar w:fldCharType="end"/>
        </w:r>
      </w:p>
    </w:sdtContent>
  </w:sdt>
  <w:p w:rsidR="006F2318" w:rsidRDefault="006F2318" w:rsidP="00827F27">
    <w:pPr>
      <w:pStyle w:val="MacPacTrailer"/>
    </w:pPr>
    <w:bookmarkStart w:id="96" w:name="_zzmpTrailer_1078_13"/>
    <w:r w:rsidRPr="00006F36">
      <w:rPr>
        <w:rStyle w:val="zzmpTrailerItem"/>
      </w:rPr>
      <w:t>4847-7030-4414.4</w:t>
    </w:r>
    <w:r w:rsidRPr="00006F36">
      <w:t xml:space="preserve"> </w:t>
    </w:r>
    <w:bookmarkEnd w:id="96"/>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232204"/>
      <w:docPartObj>
        <w:docPartGallery w:val="Page Numbers (Bottom of Page)"/>
        <w:docPartUnique/>
      </w:docPartObj>
    </w:sdtPr>
    <w:sdtEndPr>
      <w:rPr>
        <w:noProof/>
      </w:rPr>
    </w:sdtEndPr>
    <w:sdtContent>
      <w:p w:rsidR="006F2318" w:rsidRDefault="006F2318">
        <w:pPr>
          <w:pStyle w:val="Footer"/>
          <w:jc w:val="center"/>
          <w:rPr>
            <w:noProof/>
          </w:rPr>
        </w:pPr>
        <w:r>
          <w:fldChar w:fldCharType="begin"/>
        </w:r>
        <w:r>
          <w:instrText xml:space="preserve"> PAGE   \* MERGEFORMAT </w:instrText>
        </w:r>
        <w:r>
          <w:fldChar w:fldCharType="separate"/>
        </w:r>
        <w:r>
          <w:rPr>
            <w:noProof/>
          </w:rPr>
          <w:t>15</w:t>
        </w:r>
        <w:r>
          <w:rPr>
            <w:noProof/>
          </w:rPr>
          <w:fldChar w:fldCharType="end"/>
        </w:r>
      </w:p>
    </w:sdtContent>
  </w:sdt>
  <w:p w:rsidR="006F2318" w:rsidRDefault="006F2318" w:rsidP="00827F27">
    <w:pPr>
      <w:pStyle w:val="MacPacTrailer"/>
    </w:pPr>
    <w:bookmarkStart w:id="97" w:name="_zzmpTrailer_1078_14"/>
    <w:r w:rsidRPr="00006F36">
      <w:rPr>
        <w:rStyle w:val="zzmpTrailerItem"/>
      </w:rPr>
      <w:t>4847-7030-4414.4</w:t>
    </w:r>
    <w:r w:rsidRPr="00006F36">
      <w:t xml:space="preserve"> </w:t>
    </w:r>
    <w:bookmarkEnd w:id="97"/>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A-</w:t>
    </w:r>
    <w:sdt>
      <w:sdtPr>
        <w:id w:val="16967244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F2318" w:rsidRDefault="006F2318" w:rsidP="00827F27">
    <w:pPr>
      <w:pStyle w:val="MacPacTrailer"/>
    </w:pPr>
    <w:bookmarkStart w:id="99" w:name="_zzmpTrailer_1078_15"/>
    <w:r w:rsidRPr="00006F36">
      <w:rPr>
        <w:rStyle w:val="zzmpTrailerItem"/>
      </w:rPr>
      <w:t>4847-7030-4414.4</w:t>
    </w:r>
    <w:r w:rsidRPr="00006F36">
      <w:t xml:space="preserve"> </w:t>
    </w:r>
    <w:bookmarkEnd w:id="99"/>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100" w:name="_zzmpTrailer_1078_16"/>
    <w:r w:rsidRPr="00006F36">
      <w:rPr>
        <w:rStyle w:val="zzmpTrailerItem"/>
      </w:rPr>
      <w:t>4847-7030-4414.4</w:t>
    </w:r>
    <w:r w:rsidRPr="00006F36">
      <w:t xml:space="preserve"> </w:t>
    </w:r>
    <w:bookmarkEnd w:id="100"/>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C-</w:t>
    </w:r>
    <w:sdt>
      <w:sdtPr>
        <w:id w:val="-2998464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w:t>
        </w:r>
        <w:r>
          <w:rPr>
            <w:noProof/>
          </w:rPr>
          <w:fldChar w:fldCharType="end"/>
        </w:r>
      </w:sdtContent>
    </w:sdt>
  </w:p>
  <w:p w:rsidR="006F2318" w:rsidRDefault="006F2318" w:rsidP="00827F27">
    <w:pPr>
      <w:pStyle w:val="MacPacTrailer"/>
    </w:pPr>
    <w:bookmarkStart w:id="103" w:name="_zzmpTrailer_1078_17"/>
    <w:r w:rsidRPr="00006F36">
      <w:rPr>
        <w:rStyle w:val="zzmpTrailerItem"/>
      </w:rPr>
      <w:t>4847-7030-4414.4</w:t>
    </w:r>
    <w:r w:rsidRPr="00006F36">
      <w:t xml:space="preserve"> </w:t>
    </w:r>
    <w:bookmarkEnd w:id="103"/>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C-</w:t>
    </w:r>
    <w:sdt>
      <w:sdtPr>
        <w:id w:val="4883632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rsidR="006F2318" w:rsidRDefault="006F2318" w:rsidP="00827F27">
    <w:pPr>
      <w:pStyle w:val="MacPacTrailer"/>
    </w:pPr>
    <w:bookmarkStart w:id="104" w:name="_zzmpTrailer_1078_18"/>
    <w:r w:rsidRPr="00006F36">
      <w:rPr>
        <w:rStyle w:val="zzmpTrailerItem"/>
      </w:rPr>
      <w:t>4847-7030-4414.4</w:t>
    </w:r>
    <w:r w:rsidRPr="00006F36">
      <w:t xml:space="preserve"> </w:t>
    </w:r>
    <w:bookmarkEnd w:id="104"/>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C-</w:t>
    </w:r>
    <w:sdt>
      <w:sdtPr>
        <w:id w:val="-686979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rsidR="006F2318" w:rsidRDefault="006F2318" w:rsidP="00827F27">
    <w:pPr>
      <w:pStyle w:val="MacPacTrailer"/>
    </w:pPr>
    <w:bookmarkStart w:id="105" w:name="_zzmpTrailer_1078_19"/>
    <w:r w:rsidRPr="00006F36">
      <w:rPr>
        <w:rStyle w:val="zzmpTrailerItem"/>
      </w:rPr>
      <w:t>4847-7030-4414.4</w:t>
    </w:r>
    <w:r w:rsidRPr="00006F36">
      <w:t xml:space="preserve"> </w:t>
    </w:r>
    <w:bookmarkEnd w:id="105"/>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B-</w:t>
    </w:r>
    <w:sdt>
      <w:sdtPr>
        <w:id w:val="-11698679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45</w:t>
        </w:r>
        <w:r>
          <w:rPr>
            <w:noProof/>
          </w:rPr>
          <w:fldChar w:fldCharType="end"/>
        </w:r>
      </w:sdtContent>
    </w:sdt>
  </w:p>
  <w:p w:rsidR="006F2318" w:rsidRDefault="006F2318" w:rsidP="00827F27">
    <w:pPr>
      <w:pStyle w:val="MacPacTrailer"/>
    </w:pPr>
    <w:bookmarkStart w:id="107" w:name="_zzmpTrailer_1078_20"/>
    <w:r w:rsidRPr="00006F36">
      <w:rPr>
        <w:rStyle w:val="zzmpTrailerItem"/>
      </w:rPr>
      <w:t>4847-7030-4414.4</w:t>
    </w:r>
    <w:r w:rsidRPr="00006F36">
      <w:t xml:space="preserve"> </w:t>
    </w:r>
    <w:bookmarkEnd w:id="10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4" w:name="_zzmpTrailer_1078_2"/>
    <w:r w:rsidRPr="00006F36">
      <w:rPr>
        <w:rStyle w:val="zzmpTrailerItem"/>
      </w:rPr>
      <w:t>4847-7030-4414.4</w:t>
    </w:r>
    <w:r w:rsidRPr="00006F36">
      <w:t xml:space="preserve"> </w:t>
    </w:r>
    <w:bookmarkEnd w:id="4"/>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108" w:name="_zzmpTrailer_1078_21"/>
    <w:r w:rsidRPr="00006F36">
      <w:rPr>
        <w:rStyle w:val="zzmpTrailerItem"/>
      </w:rPr>
      <w:t>4847-7030-4414.4</w:t>
    </w:r>
    <w:r w:rsidRPr="00006F36">
      <w:t xml:space="preserve"> </w:t>
    </w:r>
    <w:bookmarkEnd w:id="108"/>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E-</w:t>
    </w:r>
    <w:sdt>
      <w:sdtPr>
        <w:id w:val="-2729440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rsidR="006F2318" w:rsidRDefault="006F2318" w:rsidP="00827F27">
    <w:pPr>
      <w:pStyle w:val="MacPacTrailer"/>
    </w:pPr>
    <w:bookmarkStart w:id="110" w:name="_zzmpTrailer_1078_22"/>
    <w:r w:rsidRPr="00006F36">
      <w:rPr>
        <w:rStyle w:val="zzmpTrailerItem"/>
      </w:rPr>
      <w:t>4847-7030-4414.4</w:t>
    </w:r>
    <w:r w:rsidRPr="00006F36">
      <w:t xml:space="preserve"> </w:t>
    </w:r>
    <w:bookmarkEnd w:id="110"/>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111" w:name="_zzmpTrailer_1078_23"/>
    <w:r w:rsidRPr="00006F36">
      <w:rPr>
        <w:rStyle w:val="zzmpTrailerItem"/>
      </w:rPr>
      <w:t>4847-7030-4414.4</w:t>
    </w:r>
    <w:r w:rsidRPr="00006F36">
      <w:t xml:space="preserve"> </w:t>
    </w:r>
    <w:bookmarkEnd w:id="111"/>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F-</w:t>
    </w:r>
    <w:sdt>
      <w:sdtPr>
        <w:id w:val="6784715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F2318" w:rsidRDefault="006F2318" w:rsidP="00827F27">
    <w:pPr>
      <w:pStyle w:val="MacPacTrailer"/>
    </w:pPr>
    <w:bookmarkStart w:id="113" w:name="_zzmpTrailer_1078_24"/>
    <w:r w:rsidRPr="00006F36">
      <w:rPr>
        <w:rStyle w:val="zzmpTrailerItem"/>
      </w:rPr>
      <w:t>4847-7030-4414.4</w:t>
    </w:r>
    <w:r w:rsidRPr="00006F36">
      <w:t xml:space="preserve"> </w:t>
    </w:r>
    <w:bookmarkEnd w:id="113"/>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114" w:name="_zzmpTrailer_1078_25"/>
    <w:r w:rsidRPr="00006F36">
      <w:rPr>
        <w:rStyle w:val="zzmpTrailerItem"/>
      </w:rPr>
      <w:t>4847-7030-4414.4</w:t>
    </w:r>
    <w:r w:rsidRPr="00006F36">
      <w:t xml:space="preserve"> </w:t>
    </w:r>
    <w:bookmarkEnd w:id="114"/>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Footer"/>
      <w:jc w:val="center"/>
      <w:rPr>
        <w:noProof/>
      </w:rPr>
    </w:pPr>
    <w:r>
      <w:t>G-</w:t>
    </w:r>
    <w:sdt>
      <w:sdtPr>
        <w:id w:val="2420699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6F2318" w:rsidRDefault="006F2318" w:rsidP="00827F27">
    <w:pPr>
      <w:pStyle w:val="MacPacTrailer"/>
    </w:pPr>
    <w:bookmarkStart w:id="115" w:name="_zzmpTrailer_1078_26"/>
    <w:r w:rsidRPr="00006F36">
      <w:rPr>
        <w:rStyle w:val="zzmpTrailerItem"/>
      </w:rPr>
      <w:t>4847-7030-4414.4</w:t>
    </w:r>
    <w:r w:rsidRPr="00006F36">
      <w:t xml:space="preserve"> </w:t>
    </w:r>
    <w:bookmarkEnd w:id="115"/>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116" w:name="_zzmpTrailer_1078_27"/>
    <w:r w:rsidRPr="00006F36">
      <w:rPr>
        <w:rStyle w:val="zzmpTrailerItem"/>
      </w:rPr>
      <w:t>4847-7030-4414.4</w:t>
    </w:r>
    <w:r w:rsidRPr="00006F36">
      <w:t xml:space="preserve"> </w:t>
    </w:r>
    <w:bookmarkEnd w:id="11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5" w:name="_zzmpTrailer_1078_3"/>
    <w:r w:rsidRPr="00006F36">
      <w:rPr>
        <w:rStyle w:val="zzmpTrailerItem"/>
      </w:rPr>
      <w:t>4847-7030-4414.4</w:t>
    </w:r>
    <w:r w:rsidRPr="00006F36">
      <w:t xml:space="preserve"> </w:t>
    </w:r>
    <w:bookmarkEnd w:id="5"/>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6" w:name="_zzmpTrailer_1078_4"/>
    <w:r w:rsidRPr="00006F36">
      <w:rPr>
        <w:rStyle w:val="zzmpTrailerItem"/>
      </w:rPr>
      <w:t>4847-7030-4414.4</w:t>
    </w:r>
    <w:r w:rsidRPr="00006F36">
      <w:t xml:space="preserve"> </w:t>
    </w:r>
    <w:bookmarkEnd w:id="6"/>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7" w:name="_zzmpTrailer_1078_5"/>
    <w:r w:rsidRPr="00006F36">
      <w:rPr>
        <w:rStyle w:val="zzmpTrailerItem"/>
      </w:rPr>
      <w:t>4847-7030-4414.4</w:t>
    </w:r>
    <w:r w:rsidRPr="00006F36">
      <w:t xml:space="preserve"> </w:t>
    </w:r>
    <w:bookmarkEnd w:id="7"/>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827F27">
    <w:pPr>
      <w:pStyle w:val="MacPacTrailer"/>
    </w:pPr>
    <w:bookmarkStart w:id="8" w:name="_zzmpTrailer_1078_6"/>
    <w:r w:rsidRPr="00006F36">
      <w:rPr>
        <w:rStyle w:val="zzmpTrailerItem"/>
      </w:rPr>
      <w:t>4847-7030-4414.4</w:t>
    </w:r>
    <w:r w:rsidRPr="00006F36">
      <w:t xml:space="preserve"> </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A4" w:rsidRDefault="00A51BA4" w:rsidP="002E4A0D">
      <w:r>
        <w:separator/>
      </w:r>
    </w:p>
  </w:footnote>
  <w:footnote w:type="continuationSeparator" w:id="0">
    <w:p w:rsidR="00A51BA4" w:rsidRDefault="00A51BA4" w:rsidP="002E4A0D">
      <w:r>
        <w:continuationSeparator/>
      </w:r>
    </w:p>
  </w:footnote>
  <w:footnote w:id="1">
    <w:p w:rsidR="006F2318" w:rsidRPr="00A50D7A" w:rsidRDefault="006F2318">
      <w:pPr>
        <w:pStyle w:val="FootnoteText"/>
        <w:rPr>
          <w:sz w:val="18"/>
          <w:szCs w:val="18"/>
        </w:rPr>
      </w:pPr>
      <w:r w:rsidRPr="00A50D7A">
        <w:rPr>
          <w:rStyle w:val="FootnoteReference"/>
          <w:sz w:val="18"/>
          <w:szCs w:val="18"/>
        </w:rPr>
        <w:footnoteRef/>
      </w:r>
      <w:r w:rsidRPr="00A50D7A">
        <w:rPr>
          <w:sz w:val="18"/>
          <w:szCs w:val="18"/>
        </w:rPr>
        <w:t xml:space="preserve"> Preliminary; subject to change.</w:t>
      </w:r>
    </w:p>
  </w:footnote>
  <w:footnote w:id="2">
    <w:p w:rsidR="006F2318" w:rsidRPr="00CC105A" w:rsidRDefault="006F2318">
      <w:pPr>
        <w:pStyle w:val="FootnoteText"/>
        <w:rPr>
          <w:sz w:val="18"/>
          <w:szCs w:val="18"/>
        </w:rPr>
      </w:pPr>
      <w:r>
        <w:rPr>
          <w:rStyle w:val="FootnoteReference"/>
        </w:rPr>
        <w:footnoteRef/>
      </w:r>
      <w:r>
        <w:t xml:space="preserve"> </w:t>
      </w:r>
      <w:r w:rsidRPr="00CC105A">
        <w:rPr>
          <w:sz w:val="18"/>
          <w:szCs w:val="18"/>
        </w:rPr>
        <w:t>Preliminary; subject to change.</w:t>
      </w:r>
    </w:p>
  </w:footnote>
  <w:footnote w:id="3">
    <w:p w:rsidR="006F2318" w:rsidRPr="00CC105A" w:rsidRDefault="006F2318" w:rsidP="00CC2075">
      <w:pPr>
        <w:pStyle w:val="FootnoteText"/>
        <w:tabs>
          <w:tab w:val="left" w:pos="110"/>
        </w:tabs>
        <w:ind w:left="110" w:hanging="110"/>
        <w:rPr>
          <w:sz w:val="18"/>
          <w:szCs w:val="18"/>
        </w:rPr>
      </w:pPr>
      <w:r w:rsidRPr="00CC105A">
        <w:rPr>
          <w:rStyle w:val="FootnoteReference"/>
          <w:sz w:val="18"/>
          <w:szCs w:val="18"/>
        </w:rPr>
        <w:t>†</w:t>
      </w:r>
      <w:r w:rsidRPr="00CC105A">
        <w:rPr>
          <w:sz w:val="18"/>
          <w:szCs w:val="18"/>
        </w:rPr>
        <w:tab/>
      </w:r>
      <w:r w:rsidRPr="00861AC4">
        <w:rPr>
          <w:sz w:val="18"/>
          <w:szCs w:val="18"/>
        </w:rPr>
        <w:t>Copyright 201</w:t>
      </w:r>
      <w:r>
        <w:rPr>
          <w:sz w:val="18"/>
          <w:szCs w:val="18"/>
        </w:rPr>
        <w:t>9</w:t>
      </w:r>
      <w:r w:rsidRPr="00861AC4">
        <w:rPr>
          <w:sz w:val="18"/>
          <w:szCs w:val="18"/>
        </w:rPr>
        <w:t xml:space="preserve">, American Bankers Association.  CUSIP® is a registered trademark of the American Bankers Association.  The CUSIP data herein is provided by CUSIP Global Services (“CGS”), which is managed on behalf of the American Bankers Association by S&amp;P Global Market Intelligence.  The CUSIP numbers are not intended to create a database and do not serve in any way as a substitute for the CGS database.  CUSIP numbers have been assigned by an independent company not affiliated with </w:t>
      </w:r>
      <w:r>
        <w:rPr>
          <w:sz w:val="18"/>
          <w:szCs w:val="18"/>
        </w:rPr>
        <w:t xml:space="preserve">the Bridge Enterprise </w:t>
      </w:r>
      <w:r w:rsidRPr="00861AC4">
        <w:rPr>
          <w:sz w:val="18"/>
          <w:szCs w:val="18"/>
        </w:rPr>
        <w:t xml:space="preserve">are provided solely for convenience and reference.  The CUSIP numbers for a specific maturity are subject to change after the issuance of the </w:t>
      </w:r>
      <w:r>
        <w:rPr>
          <w:sz w:val="18"/>
          <w:szCs w:val="18"/>
        </w:rPr>
        <w:t>Series 2019A Senior Bond</w:t>
      </w:r>
      <w:r w:rsidRPr="00861AC4">
        <w:rPr>
          <w:sz w:val="18"/>
          <w:szCs w:val="18"/>
        </w:rPr>
        <w:t xml:space="preserve">s.  None of </w:t>
      </w:r>
      <w:r>
        <w:rPr>
          <w:sz w:val="18"/>
          <w:szCs w:val="18"/>
        </w:rPr>
        <w:t xml:space="preserve">the Bridge Enterprise, </w:t>
      </w:r>
      <w:r w:rsidRPr="00861AC4">
        <w:rPr>
          <w:sz w:val="18"/>
          <w:szCs w:val="18"/>
        </w:rPr>
        <w:t xml:space="preserve">the Underwriter </w:t>
      </w:r>
      <w:r>
        <w:rPr>
          <w:sz w:val="18"/>
          <w:szCs w:val="18"/>
        </w:rPr>
        <w:t xml:space="preserve">or their agents </w:t>
      </w:r>
      <w:r w:rsidRPr="00861AC4">
        <w:rPr>
          <w:sz w:val="18"/>
          <w:szCs w:val="18"/>
        </w:rPr>
        <w:t>take responsibility for the accuracy of the CUSIP numbers</w:t>
      </w:r>
      <w:r w:rsidRPr="00CC105A">
        <w:rPr>
          <w:sz w:val="18"/>
          <w:szCs w:val="18"/>
        </w:rPr>
        <w:t>.</w:t>
      </w:r>
    </w:p>
  </w:footnote>
  <w:footnote w:id="4">
    <w:p w:rsidR="006F2318" w:rsidRDefault="006F2318">
      <w:pPr>
        <w:pStyle w:val="FootnoteText"/>
      </w:pPr>
      <w:r>
        <w:rPr>
          <w:rStyle w:val="FootnoteReference"/>
        </w:rPr>
        <w:footnoteRef/>
      </w:r>
      <w:r>
        <w:t xml:space="preserve"> Preliminary; subject to change.</w:t>
      </w:r>
    </w:p>
  </w:footnote>
  <w:footnote w:id="5">
    <w:p w:rsidR="006F2318" w:rsidRDefault="006F2318">
      <w:pPr>
        <w:pStyle w:val="FootnoteText"/>
      </w:pPr>
      <w:r>
        <w:rPr>
          <w:rStyle w:val="FootnoteReference"/>
        </w:rPr>
        <w:t>*</w:t>
      </w:r>
      <w:r>
        <w:t xml:space="preserve"> Preliminary;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rsidP="00086FB4">
    <w:pPr>
      <w:pStyle w:val="TOCHeader"/>
      <w:tabs>
        <w:tab w:val="center" w:pos="4680"/>
        <w:tab w:val="right" w:pos="9360"/>
      </w:tabs>
      <w:rPr>
        <w:u w:val="single"/>
      </w:rPr>
    </w:pPr>
    <w:r>
      <w:t>Table of Contents</w:t>
    </w:r>
  </w:p>
  <w:p w:rsidR="006F2318" w:rsidRDefault="006F2318" w:rsidP="00086FB4">
    <w:pPr>
      <w:pStyle w:val="TOCHeader"/>
      <w:tabs>
        <w:tab w:val="center" w:pos="4680"/>
        <w:tab w:val="right" w:pos="9360"/>
      </w:tabs>
    </w:pPr>
    <w:r>
      <w:t>(continued)</w:t>
    </w:r>
  </w:p>
  <w:p w:rsidR="006F2318" w:rsidRPr="00643DA4" w:rsidRDefault="006F2318" w:rsidP="00086FB4">
    <w:pPr>
      <w:pStyle w:val="TOCHeader"/>
      <w:tabs>
        <w:tab w:val="center" w:pos="4680"/>
        <w:tab w:val="right" w:pos="9360"/>
      </w:tabs>
      <w:spacing w:after="200"/>
      <w:jc w:val="right"/>
      <w:rPr>
        <w:vanish/>
        <w:u w:val="single"/>
      </w:rPr>
    </w:pPr>
    <w:r w:rsidRPr="00643DA4">
      <w:rPr>
        <w:vanish/>
      </w:rPr>
      <w:t>Page</w:t>
    </w:r>
  </w:p>
  <w:p w:rsidR="006F2318" w:rsidRPr="00086FB4" w:rsidRDefault="006F2318" w:rsidP="00086FB4">
    <w:pPr>
      <w:pStyle w:val="Header"/>
      <w:tabs>
        <w:tab w:val="clear" w:pos="4320"/>
        <w:tab w:val="center" w:pos="468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CF194B" w:rsidRDefault="006F2318" w:rsidP="00086FB4">
    <w:pPr>
      <w:pStyle w:val="TOCHeader"/>
      <w:tabs>
        <w:tab w:val="center" w:pos="4680"/>
        <w:tab w:val="right" w:pos="9360"/>
      </w:tabs>
      <w:rPr>
        <w:b/>
        <w:szCs w:val="22"/>
        <w:u w:val="single"/>
      </w:rPr>
    </w:pPr>
    <w:r w:rsidRPr="00CF194B">
      <w:rPr>
        <w:b/>
        <w:szCs w:val="22"/>
      </w:rPr>
      <w:t>TABLE OF CONTENTS</w:t>
    </w:r>
  </w:p>
  <w:p w:rsidR="006F2318" w:rsidRDefault="006F2318" w:rsidP="00086FB4">
    <w:pPr>
      <w:pStyle w:val="TOCHeader"/>
      <w:tabs>
        <w:tab w:val="center" w:pos="4680"/>
        <w:tab w:val="right" w:pos="9360"/>
      </w:tabs>
    </w:pPr>
  </w:p>
  <w:p w:rsidR="006F2318" w:rsidRDefault="006F2318" w:rsidP="00CF194B">
    <w:pPr>
      <w:pStyle w:val="TOCHeader"/>
      <w:tabs>
        <w:tab w:val="left" w:pos="4050"/>
        <w:tab w:val="right" w:pos="9450"/>
      </w:tabs>
      <w:ind w:right="-90"/>
      <w:jc w:val="both"/>
      <w:rPr>
        <w:u w:val="single"/>
      </w:rPr>
    </w:pPr>
    <w:r>
      <w:tab/>
    </w:r>
    <w:r w:rsidRPr="00CF194B">
      <w:rPr>
        <w:u w:val="single"/>
      </w:rPr>
      <w:t>Page</w:t>
    </w:r>
    <w:r>
      <w:tab/>
    </w:r>
    <w:proofErr w:type="spellStart"/>
    <w:r w:rsidRPr="00CF194B">
      <w:rPr>
        <w:u w:val="single"/>
      </w:rPr>
      <w:t>Page</w:t>
    </w:r>
    <w:proofErr w:type="spellEnd"/>
  </w:p>
  <w:p w:rsidR="006F2318" w:rsidRPr="00CF194B" w:rsidRDefault="006F2318" w:rsidP="00CF194B">
    <w:pPr>
      <w:pStyle w:val="TOCHeader"/>
      <w:tabs>
        <w:tab w:val="left" w:pos="4050"/>
        <w:tab w:val="right" w:pos="9450"/>
      </w:tabs>
      <w:ind w:right="-90"/>
      <w:jc w:val="both"/>
      <w:rPr>
        <w:u w:val="singl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Pr="00086FB4" w:rsidRDefault="006F2318" w:rsidP="00086F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318" w:rsidRDefault="006F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2" w15:restartNumberingAfterBreak="0">
    <w:nsid w:val="20B86F99"/>
    <w:multiLevelType w:val="multilevel"/>
    <w:tmpl w:val="67826F1E"/>
    <w:name w:val="zzmpKutak1||Kutak1 (OS-POS)|2|4|1|0|0|41||0|0|33||0|0|3||1|0|2||1|0|2||1|0|2||1|0|2||mpNA||mpNA||"/>
    <w:lvl w:ilvl="0">
      <w:start w:val="1"/>
      <w:numFmt w:val="none"/>
      <w:pStyle w:val="Kutak1L1"/>
      <w:suff w:val="nothing"/>
      <w:lvlText w:val=""/>
      <w:lvlJc w:val="left"/>
      <w:pPr>
        <w:tabs>
          <w:tab w:val="num" w:pos="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none"/>
      <w:pStyle w:val="Kutak1L2"/>
      <w:suff w:val="nothing"/>
      <w:lvlText w:val=""/>
      <w:lvlJc w:val="left"/>
      <w:pPr>
        <w:tabs>
          <w:tab w:val="num" w:pos="0"/>
        </w:tabs>
        <w:ind w:left="0" w:firstLine="0"/>
      </w:pPr>
      <w:rPr>
        <w:b w:val="0"/>
        <w:i w:val="0"/>
        <w:caps w:val="0"/>
        <w:strike w:val="0"/>
        <w:dstrike w:val="0"/>
        <w:outline w:val="0"/>
        <w:shadow w:val="0"/>
        <w:emboss w:val="0"/>
        <w:imprint w:val="0"/>
        <w:vanish w:val="0"/>
        <w:color w:val="auto"/>
        <w:u w:val="none"/>
        <w:effect w:val="none"/>
        <w:vertAlign w:val="baseline"/>
      </w:rPr>
    </w:lvl>
    <w:lvl w:ilvl="2">
      <w:start w:val="1"/>
      <w:numFmt w:val="lowerLetter"/>
      <w:pStyle w:val="Kutak1L3"/>
      <w:suff w:val="nothing"/>
      <w:lvlText w:val=""/>
      <w:lvlJc w:val="left"/>
      <w:pPr>
        <w:tabs>
          <w:tab w:val="num" w:pos="720"/>
        </w:tabs>
        <w:ind w:left="0" w:firstLine="720"/>
      </w:pPr>
      <w:rPr>
        <w:b w:val="0"/>
        <w:i w:val="0"/>
        <w:caps w:val="0"/>
        <w:strike w:val="0"/>
        <w:dstrike w:val="0"/>
        <w:outline w:val="0"/>
        <w:shadow w:val="0"/>
        <w:emboss w:val="0"/>
        <w:imprint w:val="0"/>
        <w:vanish w:val="0"/>
        <w:u w:val="none"/>
        <w:effect w:val="none"/>
        <w:vertAlign w:val="baseline"/>
      </w:rPr>
    </w:lvl>
    <w:lvl w:ilvl="3">
      <w:start w:val="1"/>
      <w:numFmt w:val="lowerLetter"/>
      <w:pStyle w:val="Kutak1L4"/>
      <w:lvlText w:val="(%4)"/>
      <w:lvlJc w:val="left"/>
      <w:pPr>
        <w:tabs>
          <w:tab w:val="num" w:pos="2160"/>
        </w:tabs>
        <w:ind w:left="720" w:firstLine="720"/>
      </w:pPr>
      <w:rPr>
        <w:b w:val="0"/>
        <w:i w:val="0"/>
        <w:caps w:val="0"/>
        <w:strike w:val="0"/>
        <w:dstrike w:val="0"/>
        <w:outline w:val="0"/>
        <w:shadow w:val="0"/>
        <w:emboss w:val="0"/>
        <w:imprint w:val="0"/>
        <w:vanish w:val="0"/>
        <w:u w:val="none"/>
        <w:effect w:val="none"/>
        <w:vertAlign w:val="baseline"/>
      </w:rPr>
    </w:lvl>
    <w:lvl w:ilvl="4">
      <w:start w:val="1"/>
      <w:numFmt w:val="lowerRoman"/>
      <w:pStyle w:val="Kutak1L5"/>
      <w:lvlText w:val="(%5)"/>
      <w:lvlJc w:val="left"/>
      <w:pPr>
        <w:tabs>
          <w:tab w:val="num" w:pos="2880"/>
        </w:tabs>
        <w:ind w:left="1440" w:firstLine="720"/>
      </w:pPr>
      <w:rPr>
        <w:b w:val="0"/>
        <w:i w:val="0"/>
        <w:caps w:val="0"/>
        <w:strike w:val="0"/>
        <w:dstrike w:val="0"/>
        <w:outline w:val="0"/>
        <w:shadow w:val="0"/>
        <w:emboss w:val="0"/>
        <w:imprint w:val="0"/>
        <w:vanish w:val="0"/>
        <w:u w:val="none"/>
        <w:effect w:val="none"/>
        <w:vertAlign w:val="baseline"/>
      </w:rPr>
    </w:lvl>
    <w:lvl w:ilvl="5">
      <w:start w:val="1"/>
      <w:numFmt w:val="upperLetter"/>
      <w:pStyle w:val="Kutak1L6"/>
      <w:lvlText w:val="(%6)"/>
      <w:lvlJc w:val="left"/>
      <w:pPr>
        <w:tabs>
          <w:tab w:val="num" w:pos="3600"/>
        </w:tabs>
        <w:ind w:left="2160" w:firstLine="720"/>
      </w:pPr>
      <w:rPr>
        <w:b w:val="0"/>
        <w:i w:val="0"/>
        <w:caps w:val="0"/>
        <w:strike w:val="0"/>
        <w:dstrike w:val="0"/>
        <w:outline w:val="0"/>
        <w:shadow w:val="0"/>
        <w:emboss w:val="0"/>
        <w:imprint w:val="0"/>
        <w:vanish w:val="0"/>
        <w:u w:val="none"/>
        <w:effect w:val="none"/>
        <w:vertAlign w:val="baseline"/>
      </w:rPr>
    </w:lvl>
    <w:lvl w:ilvl="6">
      <w:start w:val="1"/>
      <w:numFmt w:val="decimal"/>
      <w:pStyle w:val="Kutak1L7"/>
      <w:lvlText w:val="(%7)"/>
      <w:lvlJc w:val="left"/>
      <w:pPr>
        <w:tabs>
          <w:tab w:val="num" w:pos="4320"/>
        </w:tabs>
        <w:ind w:left="2880" w:firstLine="720"/>
      </w:pPr>
      <w:rPr>
        <w:b w:val="0"/>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abstractNum>
  <w:abstractNum w:abstractNumId="13" w15:restartNumberingAfterBreak="0">
    <w:nsid w:val="5FA62EC2"/>
    <w:multiLevelType w:val="multilevel"/>
    <w:tmpl w:val="66FC529C"/>
    <w:name w:val="zzmpKutak1||Kutak1 (OS-POS) |2|4|1|0|0|41||0|0|33||0|0|3||1|0|2||1|0|2||1|0|2||1|0|2||mpNA||mpNA||"/>
    <w:lvl w:ilvl="0">
      <w:start w:val="1"/>
      <w:numFmt w:val="none"/>
      <w:suff w:val="nothing"/>
      <w:lvlText w:val=""/>
      <w:lvlJc w:val="left"/>
      <w:pPr>
        <w:tabs>
          <w:tab w:val="num" w:pos="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none"/>
      <w:suff w:val="nothing"/>
      <w:lvlText w:val=""/>
      <w:lvlJc w:val="left"/>
      <w:pPr>
        <w:tabs>
          <w:tab w:val="num" w:pos="0"/>
        </w:tabs>
        <w:ind w:left="0" w:firstLine="0"/>
      </w:pPr>
      <w:rPr>
        <w:b w:val="0"/>
        <w:i w:val="0"/>
        <w:caps w:val="0"/>
        <w:strike w:val="0"/>
        <w:dstrike w:val="0"/>
        <w:outline w:val="0"/>
        <w:shadow w:val="0"/>
        <w:emboss w:val="0"/>
        <w:imprint w:val="0"/>
        <w:vanish w:val="0"/>
        <w:color w:val="auto"/>
        <w:u w:val="none"/>
        <w:effect w:val="none"/>
        <w:vertAlign w:val="baseline"/>
      </w:rPr>
    </w:lvl>
    <w:lvl w:ilvl="2">
      <w:start w:val="1"/>
      <w:numFmt w:val="lowerLetter"/>
      <w:suff w:val="nothing"/>
      <w:lvlText w:val=""/>
      <w:lvlJc w:val="left"/>
      <w:pPr>
        <w:tabs>
          <w:tab w:val="num" w:pos="720"/>
        </w:tabs>
        <w:ind w:left="0" w:firstLine="720"/>
      </w:pPr>
      <w:rPr>
        <w:b w:val="0"/>
        <w:i w:val="0"/>
        <w: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160"/>
        </w:tabs>
        <w:ind w:left="720" w:firstLine="720"/>
      </w:pPr>
      <w:rPr>
        <w:b w:val="0"/>
        <w:i w:val="0"/>
        <w: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2880"/>
        </w:tabs>
        <w:ind w:left="1440" w:firstLine="720"/>
      </w:pPr>
      <w:rPr>
        <w:b w:val="0"/>
        <w:i w:val="0"/>
        <w:caps w:val="0"/>
        <w:strike w:val="0"/>
        <w:dstrike w:val="0"/>
        <w:outline w:val="0"/>
        <w:shadow w:val="0"/>
        <w:emboss w:val="0"/>
        <w:imprint w:val="0"/>
        <w:vanish w:val="0"/>
        <w:u w:val="none"/>
        <w:effect w:val="none"/>
        <w:vertAlign w:val="baseline"/>
      </w:rPr>
    </w:lvl>
    <w:lvl w:ilvl="5">
      <w:start w:val="1"/>
      <w:numFmt w:val="upperLetter"/>
      <w:lvlText w:val="(%6)"/>
      <w:lvlJc w:val="left"/>
      <w:pPr>
        <w:tabs>
          <w:tab w:val="num" w:pos="3600"/>
        </w:tabs>
        <w:ind w:left="2160" w:firstLine="720"/>
      </w:pPr>
      <w:rPr>
        <w:b w:val="0"/>
        <w:i w:val="0"/>
        <w:caps w:val="0"/>
        <w:strike w:val="0"/>
        <w:dstrike w:val="0"/>
        <w:outline w:val="0"/>
        <w:shadow w:val="0"/>
        <w:emboss w:val="0"/>
        <w:imprint w:val="0"/>
        <w:vanish w:val="0"/>
        <w:u w:val="none"/>
        <w:effect w:val="none"/>
        <w:vertAlign w:val="baseline"/>
      </w:rPr>
    </w:lvl>
    <w:lvl w:ilvl="6">
      <w:start w:val="1"/>
      <w:numFmt w:val="decimal"/>
      <w:lvlText w:val="(%7)"/>
      <w:lvlJc w:val="left"/>
      <w:pPr>
        <w:tabs>
          <w:tab w:val="num" w:pos="4320"/>
        </w:tabs>
        <w:ind w:left="2880" w:firstLine="720"/>
      </w:pPr>
      <w:rPr>
        <w:b w:val="0"/>
        <w:i w:val="0"/>
        <w:caps w:val="0"/>
        <w:strike w:val="0"/>
        <w:dstrike w:val="0"/>
        <w:outline w:val="0"/>
        <w:shadow w:val="0"/>
        <w:emboss w:val="0"/>
        <w:imprint w:val="0"/>
        <w:vanish w:val="0"/>
        <w:u w:val="none"/>
        <w:effect w:val="none"/>
        <w:vertAlign w:val="baseline"/>
      </w:rPr>
    </w:lvl>
    <w:lvl w:ilvl="7">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lvl w:ilvl="8">
      <w:start w:val="1"/>
      <w:numFmt w:val="none"/>
      <w:lvlText w:val=""/>
      <w:lvlJc w:val="left"/>
      <w:pPr>
        <w:tabs>
          <w:tab w:val="num" w:pos="720"/>
        </w:tabs>
        <w:ind w:left="0" w:firstLine="0"/>
      </w:pPr>
      <w:rPr>
        <w:b w:val="0"/>
        <w:i w:val="0"/>
        <w:caps w:val="0"/>
        <w:strike w:val="0"/>
        <w:dstrike w:val="0"/>
        <w:outline w:val="0"/>
        <w:shadow w:val="0"/>
        <w:emboss w:val="0"/>
        <w:imprint w:val="0"/>
        <w:vanish w:val="0"/>
        <w:u w:val="none"/>
        <w:effect w:val="none"/>
        <w:vertAlign w:val="baseline"/>
      </w:rPr>
    </w:lvl>
  </w:abstractNum>
  <w:abstractNum w:abstractNumId="14"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num w:numId="1">
    <w:abstractNumId w:val="14"/>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Page" w:val="0"/>
    <w:docVar w:name="85TrailerTime" w:val="0"/>
    <w:docVar w:name="85TrailerType" w:val="100"/>
    <w:docVar w:name="cbxMaxLevel" w:val="2"/>
    <w:docVar w:name="cbxMinLevel" w:val="1"/>
    <w:docVar w:name="cbxScheduleStyles" w:val="0"/>
    <w:docVar w:name="cbxTOCScheme" w:val="3"/>
    <w:docVar w:name="chkApplyManualFormatsToTOC" w:val="0"/>
    <w:docVar w:name="chkApplyTOC9" w:val="0"/>
    <w:docVar w:name="chkHyperlinks" w:val="1"/>
    <w:docVar w:name="chkIncludePage" w:val="False"/>
    <w:docVar w:name="chkMark" w:val="0"/>
    <w:docVar w:name="chkStyles" w:val="1"/>
    <w:docVar w:name="chkTCEntries" w:val="0"/>
    <w:docVar w:name="chkTwoColumn" w:val="1"/>
    <w:docVar w:name="DocStamp_2_DocID" w:val="C:\Netdocs\VAULT-michael.thomas\CBE 2019 Bonds Official Statement 4847-7030-4414 v.2.docx"/>
    <w:docVar w:name="DocStamp_2_IncludeDate" w:val="False"/>
    <w:docVar w:name="DocStamp_2_IncludeDraftText" w:val="False"/>
    <w:docVar w:name="DocStamp_2_IncludeTime" w:val="False"/>
    <w:docVar w:name="DocStamp_2_InsertDateAsField" w:val="False"/>
    <w:docVar w:name="DocStamp_2_TypeID" w:val="9"/>
    <w:docVar w:name="ForteTempFile" w:val="C:\Users\omaeed1\AppData\Local\Temp\11\930c75bc-78b2-4e4d-a91b-02dc4f5a909c.docx"/>
    <w:docVar w:name="MPDocID" w:val="C:\NetDocs\VAULT-michael.thomas\CBE - 2019A - Preliminary Official Statement 4847-7030-4414 v.3.docx"/>
    <w:docVar w:name="MPDocIDTemplate" w:val="%n|.%v"/>
    <w:docVar w:name="MPDocIDTemplateDefault" w:val="%n|.%v"/>
    <w:docVar w:name="NewDocStampType" w:val="1"/>
    <w:docVar w:name="optCreateFrom" w:val="0"/>
    <w:docVar w:name="optInclude" w:val="1"/>
    <w:docVar w:name="StyleExclusions" w:val=",Heading 2,Heading 3,Heading 4,Heading 5,Heading 6,Heading 7,Heading 8,Heading 9,Kutak1_L3,Kutak1_L4,Kutak1_L5,Kutak1_L6,Kutak1_L7,Title,"/>
    <w:docVar w:name="StyleInclusions" w:val=",Heading 1,Kutak1_L1,Kutak1_L2,"/>
    <w:docVar w:name="zzmp10LastTrailerInserted" w:val="^`~#mp!@⌗-a#4┘┭77;|ŜmØ⌑„I⌗‥ÈLpÝ₱⌓®⌌¿3g⌊⌝!⌋!õ-½¥!¿§Ƈ@Ðkòì¥ƛ&amp;5⌇ˡè⌓:72⌐⌟D;öß]wéÓ…+⌞!„LÔ+x/I⌎⌖Y0b­_IüÔŘí&quot;\ΩBťť⌊saÍ^®H⌒Vá‣¼êÑ#Ë‹‟J3=­i âòþÛ(SNáORÂ,…ï&gt;³9(+Ƃ2]LNY?8B011"/>
    <w:docVar w:name="zzmp10LastTrailerInserted_1078" w:val="^`~#mp!@⌗-a#4┘┭77;|ŜmØ⌑„I⌗‥ÈLpÝ₱⌓®⌌¿3g⌊⌝!⌋!õ-½¥!¿§Ƈ@Ðkòì¥ƛ&amp;5⌇ˡè⌓:72⌐⌟D;öß]wéÓ…+⌞!„LÔ+x/I⌎⌖Y0b­_IüÔŘí&quot;\ΩBťť⌊saÍ^®H⌒Vá‣¼êÑ#Ë‹‟J3=­i âòþÛ(SNáORÂ,…ï&gt;³9(+Ƃ2]LNY?8B011"/>
    <w:docVar w:name="zzmp10mSEGsValidated" w:val="1"/>
    <w:docVar w:name="zzmpCompatibilityMode" w:val="15"/>
    <w:docVar w:name="zzmpFixedCurScheme" w:val="Kutak1"/>
    <w:docVar w:name="zzmpFixedCurScheme_9.0" w:val="2zzmpKutak1"/>
    <w:docVar w:name="zzmpKutak1" w:val="||Kutak1 (OS-POS)|2|4|1|0|0|41||0|0|33||0|0|3||1|0|2||1|0|2||1|0|2||1|0|2||mpNA||mpNA||"/>
    <w:docVar w:name="zzmpLTFontsClean" w:val="True"/>
    <w:docVar w:name="zzmpnSession" w:val="0.5343286"/>
  </w:docVars>
  <w:rsids>
    <w:rsidRoot w:val="002E4A0D"/>
    <w:rsid w:val="00006F36"/>
    <w:rsid w:val="0000787C"/>
    <w:rsid w:val="00010E94"/>
    <w:rsid w:val="000138FC"/>
    <w:rsid w:val="00015165"/>
    <w:rsid w:val="00015325"/>
    <w:rsid w:val="00015B3A"/>
    <w:rsid w:val="000173FB"/>
    <w:rsid w:val="000239C2"/>
    <w:rsid w:val="00031740"/>
    <w:rsid w:val="00033399"/>
    <w:rsid w:val="00034BC5"/>
    <w:rsid w:val="0003550B"/>
    <w:rsid w:val="00035611"/>
    <w:rsid w:val="0005143E"/>
    <w:rsid w:val="00053603"/>
    <w:rsid w:val="00054A41"/>
    <w:rsid w:val="00054B04"/>
    <w:rsid w:val="00054B0A"/>
    <w:rsid w:val="000703F3"/>
    <w:rsid w:val="000712F8"/>
    <w:rsid w:val="0007171B"/>
    <w:rsid w:val="00071D3B"/>
    <w:rsid w:val="00072B2D"/>
    <w:rsid w:val="00077362"/>
    <w:rsid w:val="000805F4"/>
    <w:rsid w:val="00080B32"/>
    <w:rsid w:val="00081EB2"/>
    <w:rsid w:val="00082646"/>
    <w:rsid w:val="00083169"/>
    <w:rsid w:val="000833B2"/>
    <w:rsid w:val="000839D8"/>
    <w:rsid w:val="000861D2"/>
    <w:rsid w:val="00086FB4"/>
    <w:rsid w:val="00090B73"/>
    <w:rsid w:val="000910FE"/>
    <w:rsid w:val="00092431"/>
    <w:rsid w:val="000934D5"/>
    <w:rsid w:val="000A0F1A"/>
    <w:rsid w:val="000A58E9"/>
    <w:rsid w:val="000B321C"/>
    <w:rsid w:val="000B3B31"/>
    <w:rsid w:val="000B736B"/>
    <w:rsid w:val="000C1764"/>
    <w:rsid w:val="000C3B4E"/>
    <w:rsid w:val="000C44D7"/>
    <w:rsid w:val="000D36AA"/>
    <w:rsid w:val="000E0C9A"/>
    <w:rsid w:val="000E4664"/>
    <w:rsid w:val="000E511C"/>
    <w:rsid w:val="000F50ED"/>
    <w:rsid w:val="000F608D"/>
    <w:rsid w:val="00102061"/>
    <w:rsid w:val="001078DF"/>
    <w:rsid w:val="0011179E"/>
    <w:rsid w:val="0011572E"/>
    <w:rsid w:val="0011663B"/>
    <w:rsid w:val="00116900"/>
    <w:rsid w:val="001172B7"/>
    <w:rsid w:val="00124B6E"/>
    <w:rsid w:val="00126B9D"/>
    <w:rsid w:val="0013368B"/>
    <w:rsid w:val="0013454E"/>
    <w:rsid w:val="00134FCC"/>
    <w:rsid w:val="001376FC"/>
    <w:rsid w:val="001404C3"/>
    <w:rsid w:val="001435E5"/>
    <w:rsid w:val="001465F6"/>
    <w:rsid w:val="00160DE0"/>
    <w:rsid w:val="00163143"/>
    <w:rsid w:val="00165C76"/>
    <w:rsid w:val="00172182"/>
    <w:rsid w:val="00180DDB"/>
    <w:rsid w:val="0018332E"/>
    <w:rsid w:val="00184A31"/>
    <w:rsid w:val="001909D2"/>
    <w:rsid w:val="0019179C"/>
    <w:rsid w:val="00191DE8"/>
    <w:rsid w:val="001939FC"/>
    <w:rsid w:val="0019477E"/>
    <w:rsid w:val="00197111"/>
    <w:rsid w:val="00197320"/>
    <w:rsid w:val="00197C63"/>
    <w:rsid w:val="001A0C0C"/>
    <w:rsid w:val="001B0023"/>
    <w:rsid w:val="001B13B3"/>
    <w:rsid w:val="001B147B"/>
    <w:rsid w:val="001B2DD2"/>
    <w:rsid w:val="001B61D5"/>
    <w:rsid w:val="001B6B01"/>
    <w:rsid w:val="001C293B"/>
    <w:rsid w:val="001C503C"/>
    <w:rsid w:val="001C6A2C"/>
    <w:rsid w:val="001D72BA"/>
    <w:rsid w:val="001E391C"/>
    <w:rsid w:val="001E4EC1"/>
    <w:rsid w:val="001E63E1"/>
    <w:rsid w:val="001E741A"/>
    <w:rsid w:val="00204CA7"/>
    <w:rsid w:val="00206E87"/>
    <w:rsid w:val="00213231"/>
    <w:rsid w:val="00223128"/>
    <w:rsid w:val="00225E2F"/>
    <w:rsid w:val="00226416"/>
    <w:rsid w:val="0023125F"/>
    <w:rsid w:val="00233851"/>
    <w:rsid w:val="00233970"/>
    <w:rsid w:val="00234296"/>
    <w:rsid w:val="00237E02"/>
    <w:rsid w:val="00237ECA"/>
    <w:rsid w:val="0024000B"/>
    <w:rsid w:val="002431A0"/>
    <w:rsid w:val="00246493"/>
    <w:rsid w:val="0025183A"/>
    <w:rsid w:val="00251B18"/>
    <w:rsid w:val="00252D64"/>
    <w:rsid w:val="00254524"/>
    <w:rsid w:val="00254688"/>
    <w:rsid w:val="00260E5F"/>
    <w:rsid w:val="002652C2"/>
    <w:rsid w:val="002710F6"/>
    <w:rsid w:val="002711AC"/>
    <w:rsid w:val="00271BA1"/>
    <w:rsid w:val="00276D4E"/>
    <w:rsid w:val="00280435"/>
    <w:rsid w:val="00282974"/>
    <w:rsid w:val="002855E3"/>
    <w:rsid w:val="002906BF"/>
    <w:rsid w:val="00292CCC"/>
    <w:rsid w:val="00293ED5"/>
    <w:rsid w:val="0029462A"/>
    <w:rsid w:val="00296DBE"/>
    <w:rsid w:val="002A3471"/>
    <w:rsid w:val="002A461A"/>
    <w:rsid w:val="002C017A"/>
    <w:rsid w:val="002C2CB9"/>
    <w:rsid w:val="002C2E86"/>
    <w:rsid w:val="002C4D31"/>
    <w:rsid w:val="002C4FBE"/>
    <w:rsid w:val="002D1CB5"/>
    <w:rsid w:val="002D5AF4"/>
    <w:rsid w:val="002E2232"/>
    <w:rsid w:val="002E4A0D"/>
    <w:rsid w:val="002E4C5F"/>
    <w:rsid w:val="002E5EAF"/>
    <w:rsid w:val="002E5FCE"/>
    <w:rsid w:val="00303BD4"/>
    <w:rsid w:val="003057CA"/>
    <w:rsid w:val="00312851"/>
    <w:rsid w:val="00312B6E"/>
    <w:rsid w:val="003136BE"/>
    <w:rsid w:val="003144E3"/>
    <w:rsid w:val="00316DE9"/>
    <w:rsid w:val="003226AB"/>
    <w:rsid w:val="00323C6C"/>
    <w:rsid w:val="003326E9"/>
    <w:rsid w:val="00332998"/>
    <w:rsid w:val="00332BA6"/>
    <w:rsid w:val="0033516A"/>
    <w:rsid w:val="00335D5C"/>
    <w:rsid w:val="0034208C"/>
    <w:rsid w:val="003441B1"/>
    <w:rsid w:val="00346174"/>
    <w:rsid w:val="00347878"/>
    <w:rsid w:val="00354430"/>
    <w:rsid w:val="0035509E"/>
    <w:rsid w:val="003555B8"/>
    <w:rsid w:val="00360CBA"/>
    <w:rsid w:val="0036157C"/>
    <w:rsid w:val="003627F8"/>
    <w:rsid w:val="00362CD5"/>
    <w:rsid w:val="00363517"/>
    <w:rsid w:val="00364D93"/>
    <w:rsid w:val="00365EBF"/>
    <w:rsid w:val="00374A88"/>
    <w:rsid w:val="0037603B"/>
    <w:rsid w:val="00382226"/>
    <w:rsid w:val="00385491"/>
    <w:rsid w:val="00387372"/>
    <w:rsid w:val="0038776D"/>
    <w:rsid w:val="00390C79"/>
    <w:rsid w:val="0039495E"/>
    <w:rsid w:val="003A2651"/>
    <w:rsid w:val="003A2757"/>
    <w:rsid w:val="003A34E5"/>
    <w:rsid w:val="003A4BEA"/>
    <w:rsid w:val="003B6598"/>
    <w:rsid w:val="003C2444"/>
    <w:rsid w:val="003C5E04"/>
    <w:rsid w:val="003D6B1D"/>
    <w:rsid w:val="003E4345"/>
    <w:rsid w:val="003F2B80"/>
    <w:rsid w:val="003F3BF3"/>
    <w:rsid w:val="003F63D0"/>
    <w:rsid w:val="003F7893"/>
    <w:rsid w:val="00404174"/>
    <w:rsid w:val="00406F83"/>
    <w:rsid w:val="00410193"/>
    <w:rsid w:val="00411A97"/>
    <w:rsid w:val="00415F90"/>
    <w:rsid w:val="00421370"/>
    <w:rsid w:val="00427FA2"/>
    <w:rsid w:val="00434681"/>
    <w:rsid w:val="00434DEA"/>
    <w:rsid w:val="00440E51"/>
    <w:rsid w:val="004605DE"/>
    <w:rsid w:val="00466579"/>
    <w:rsid w:val="0046660A"/>
    <w:rsid w:val="004724E8"/>
    <w:rsid w:val="004732DC"/>
    <w:rsid w:val="00473F06"/>
    <w:rsid w:val="004761A2"/>
    <w:rsid w:val="00477D7B"/>
    <w:rsid w:val="00482285"/>
    <w:rsid w:val="0048388E"/>
    <w:rsid w:val="00483B58"/>
    <w:rsid w:val="004874B5"/>
    <w:rsid w:val="00490ED2"/>
    <w:rsid w:val="0049168E"/>
    <w:rsid w:val="00494398"/>
    <w:rsid w:val="004A15B1"/>
    <w:rsid w:val="004A2A21"/>
    <w:rsid w:val="004B471D"/>
    <w:rsid w:val="004B5293"/>
    <w:rsid w:val="004B6889"/>
    <w:rsid w:val="004C02CF"/>
    <w:rsid w:val="004C28FB"/>
    <w:rsid w:val="004D1FBC"/>
    <w:rsid w:val="004D753B"/>
    <w:rsid w:val="004E1D7B"/>
    <w:rsid w:val="004E4C63"/>
    <w:rsid w:val="004E6EFC"/>
    <w:rsid w:val="004F3C05"/>
    <w:rsid w:val="004F456D"/>
    <w:rsid w:val="004F7590"/>
    <w:rsid w:val="004F7906"/>
    <w:rsid w:val="004F7DE4"/>
    <w:rsid w:val="0050389E"/>
    <w:rsid w:val="00505144"/>
    <w:rsid w:val="00506251"/>
    <w:rsid w:val="00516D58"/>
    <w:rsid w:val="005313BC"/>
    <w:rsid w:val="00537D93"/>
    <w:rsid w:val="00574C42"/>
    <w:rsid w:val="005769A3"/>
    <w:rsid w:val="00583C38"/>
    <w:rsid w:val="00586A20"/>
    <w:rsid w:val="00593207"/>
    <w:rsid w:val="00596C10"/>
    <w:rsid w:val="005A2844"/>
    <w:rsid w:val="005A2FAA"/>
    <w:rsid w:val="005B0C1B"/>
    <w:rsid w:val="005C17FD"/>
    <w:rsid w:val="005C199D"/>
    <w:rsid w:val="005C209B"/>
    <w:rsid w:val="005C434C"/>
    <w:rsid w:val="005C492B"/>
    <w:rsid w:val="005D0E57"/>
    <w:rsid w:val="005D5772"/>
    <w:rsid w:val="005D796E"/>
    <w:rsid w:val="005D7E80"/>
    <w:rsid w:val="005E1392"/>
    <w:rsid w:val="005E6431"/>
    <w:rsid w:val="005E7835"/>
    <w:rsid w:val="005F3FA5"/>
    <w:rsid w:val="005F4696"/>
    <w:rsid w:val="005F7BE7"/>
    <w:rsid w:val="0060424E"/>
    <w:rsid w:val="00604CE6"/>
    <w:rsid w:val="006061B3"/>
    <w:rsid w:val="00606D1E"/>
    <w:rsid w:val="006224F0"/>
    <w:rsid w:val="00624576"/>
    <w:rsid w:val="00640BA7"/>
    <w:rsid w:val="00642E50"/>
    <w:rsid w:val="00643DA4"/>
    <w:rsid w:val="0064511A"/>
    <w:rsid w:val="006469C1"/>
    <w:rsid w:val="00650544"/>
    <w:rsid w:val="00661CBA"/>
    <w:rsid w:val="0066777A"/>
    <w:rsid w:val="00667A34"/>
    <w:rsid w:val="00670FB3"/>
    <w:rsid w:val="006721F0"/>
    <w:rsid w:val="006746CF"/>
    <w:rsid w:val="00675DBD"/>
    <w:rsid w:val="00682BAC"/>
    <w:rsid w:val="006838D0"/>
    <w:rsid w:val="006859D9"/>
    <w:rsid w:val="006901FC"/>
    <w:rsid w:val="006913F5"/>
    <w:rsid w:val="00691820"/>
    <w:rsid w:val="006A037F"/>
    <w:rsid w:val="006A1EDA"/>
    <w:rsid w:val="006A25B3"/>
    <w:rsid w:val="006B333E"/>
    <w:rsid w:val="006B4977"/>
    <w:rsid w:val="006C3474"/>
    <w:rsid w:val="006C52C7"/>
    <w:rsid w:val="006C72DB"/>
    <w:rsid w:val="006D27C8"/>
    <w:rsid w:val="006D4A7D"/>
    <w:rsid w:val="006E3AF4"/>
    <w:rsid w:val="006F0A69"/>
    <w:rsid w:val="006F0FF7"/>
    <w:rsid w:val="006F1EB0"/>
    <w:rsid w:val="006F2318"/>
    <w:rsid w:val="006F2E37"/>
    <w:rsid w:val="006F46FC"/>
    <w:rsid w:val="006F5235"/>
    <w:rsid w:val="007050FA"/>
    <w:rsid w:val="0071032C"/>
    <w:rsid w:val="00714325"/>
    <w:rsid w:val="00716747"/>
    <w:rsid w:val="00716F52"/>
    <w:rsid w:val="00717661"/>
    <w:rsid w:val="007229B3"/>
    <w:rsid w:val="0072359A"/>
    <w:rsid w:val="00726B00"/>
    <w:rsid w:val="00730F3C"/>
    <w:rsid w:val="007353A0"/>
    <w:rsid w:val="00740787"/>
    <w:rsid w:val="00744074"/>
    <w:rsid w:val="00745D76"/>
    <w:rsid w:val="00747D7F"/>
    <w:rsid w:val="00754091"/>
    <w:rsid w:val="00754C54"/>
    <w:rsid w:val="0075697F"/>
    <w:rsid w:val="007578B7"/>
    <w:rsid w:val="00761DC1"/>
    <w:rsid w:val="00765A38"/>
    <w:rsid w:val="007662B8"/>
    <w:rsid w:val="00766C92"/>
    <w:rsid w:val="00766F1A"/>
    <w:rsid w:val="00766FD1"/>
    <w:rsid w:val="00771BB5"/>
    <w:rsid w:val="007745D8"/>
    <w:rsid w:val="007758EB"/>
    <w:rsid w:val="00777184"/>
    <w:rsid w:val="00777A3F"/>
    <w:rsid w:val="007800BF"/>
    <w:rsid w:val="00780A48"/>
    <w:rsid w:val="00780DE3"/>
    <w:rsid w:val="0078148F"/>
    <w:rsid w:val="0078224F"/>
    <w:rsid w:val="00787DAF"/>
    <w:rsid w:val="00791138"/>
    <w:rsid w:val="00796625"/>
    <w:rsid w:val="007A1CCE"/>
    <w:rsid w:val="007A3D6B"/>
    <w:rsid w:val="007B0CA9"/>
    <w:rsid w:val="007B17F8"/>
    <w:rsid w:val="007B58BD"/>
    <w:rsid w:val="007B5EFD"/>
    <w:rsid w:val="007C0004"/>
    <w:rsid w:val="007C23BE"/>
    <w:rsid w:val="007D007E"/>
    <w:rsid w:val="007D29F6"/>
    <w:rsid w:val="007E0740"/>
    <w:rsid w:val="007E1325"/>
    <w:rsid w:val="007E483D"/>
    <w:rsid w:val="007E5B02"/>
    <w:rsid w:val="007F0683"/>
    <w:rsid w:val="007F12A6"/>
    <w:rsid w:val="007F19D7"/>
    <w:rsid w:val="007F1E95"/>
    <w:rsid w:val="007F23CA"/>
    <w:rsid w:val="007F7AE5"/>
    <w:rsid w:val="00804D36"/>
    <w:rsid w:val="00804F94"/>
    <w:rsid w:val="00806C2E"/>
    <w:rsid w:val="00810557"/>
    <w:rsid w:val="00811713"/>
    <w:rsid w:val="008125B6"/>
    <w:rsid w:val="008149CD"/>
    <w:rsid w:val="0081530D"/>
    <w:rsid w:val="00815CBE"/>
    <w:rsid w:val="00827F27"/>
    <w:rsid w:val="00831DF8"/>
    <w:rsid w:val="00833ABF"/>
    <w:rsid w:val="00833E40"/>
    <w:rsid w:val="0083791B"/>
    <w:rsid w:val="00842A82"/>
    <w:rsid w:val="008468ED"/>
    <w:rsid w:val="008477B5"/>
    <w:rsid w:val="008479F2"/>
    <w:rsid w:val="00856679"/>
    <w:rsid w:val="0085693A"/>
    <w:rsid w:val="00861AC4"/>
    <w:rsid w:val="00862A10"/>
    <w:rsid w:val="00862C4E"/>
    <w:rsid w:val="00865E08"/>
    <w:rsid w:val="008660F0"/>
    <w:rsid w:val="00867C42"/>
    <w:rsid w:val="00872F93"/>
    <w:rsid w:val="00883858"/>
    <w:rsid w:val="00885210"/>
    <w:rsid w:val="00890817"/>
    <w:rsid w:val="008921F5"/>
    <w:rsid w:val="0089539F"/>
    <w:rsid w:val="008A23E1"/>
    <w:rsid w:val="008A2FA0"/>
    <w:rsid w:val="008B32AC"/>
    <w:rsid w:val="008B37F8"/>
    <w:rsid w:val="008B50A7"/>
    <w:rsid w:val="008B5362"/>
    <w:rsid w:val="008B72B5"/>
    <w:rsid w:val="008C5066"/>
    <w:rsid w:val="008D4280"/>
    <w:rsid w:val="008D6F0D"/>
    <w:rsid w:val="008E08C3"/>
    <w:rsid w:val="008E6547"/>
    <w:rsid w:val="008F40B1"/>
    <w:rsid w:val="008F7862"/>
    <w:rsid w:val="0091325B"/>
    <w:rsid w:val="00917E4B"/>
    <w:rsid w:val="009203EC"/>
    <w:rsid w:val="00920FE9"/>
    <w:rsid w:val="009213B5"/>
    <w:rsid w:val="0092331F"/>
    <w:rsid w:val="009235FB"/>
    <w:rsid w:val="00923CDD"/>
    <w:rsid w:val="00923DD8"/>
    <w:rsid w:val="00924C0D"/>
    <w:rsid w:val="00927DDD"/>
    <w:rsid w:val="009312D8"/>
    <w:rsid w:val="00934820"/>
    <w:rsid w:val="00936446"/>
    <w:rsid w:val="00947CF4"/>
    <w:rsid w:val="009500D5"/>
    <w:rsid w:val="009512AE"/>
    <w:rsid w:val="009522D1"/>
    <w:rsid w:val="009562EC"/>
    <w:rsid w:val="009606D4"/>
    <w:rsid w:val="00962642"/>
    <w:rsid w:val="00962DCF"/>
    <w:rsid w:val="00962DDE"/>
    <w:rsid w:val="009645DE"/>
    <w:rsid w:val="00964F17"/>
    <w:rsid w:val="00972B0F"/>
    <w:rsid w:val="00981C4D"/>
    <w:rsid w:val="00986BD5"/>
    <w:rsid w:val="00991A7E"/>
    <w:rsid w:val="00992369"/>
    <w:rsid w:val="009A0A1D"/>
    <w:rsid w:val="009A11B6"/>
    <w:rsid w:val="009A3F3B"/>
    <w:rsid w:val="009A4031"/>
    <w:rsid w:val="009A45B1"/>
    <w:rsid w:val="009A51F4"/>
    <w:rsid w:val="009B0D39"/>
    <w:rsid w:val="009B16D9"/>
    <w:rsid w:val="009B375E"/>
    <w:rsid w:val="009B564B"/>
    <w:rsid w:val="009C673F"/>
    <w:rsid w:val="009C761A"/>
    <w:rsid w:val="009D17A8"/>
    <w:rsid w:val="009D59B8"/>
    <w:rsid w:val="009E2A7F"/>
    <w:rsid w:val="009E5968"/>
    <w:rsid w:val="009E630D"/>
    <w:rsid w:val="009F0B98"/>
    <w:rsid w:val="009F27D6"/>
    <w:rsid w:val="009F3599"/>
    <w:rsid w:val="00A01EBF"/>
    <w:rsid w:val="00A0223F"/>
    <w:rsid w:val="00A02B83"/>
    <w:rsid w:val="00A04BE0"/>
    <w:rsid w:val="00A052B7"/>
    <w:rsid w:val="00A07B80"/>
    <w:rsid w:val="00A169B9"/>
    <w:rsid w:val="00A203E1"/>
    <w:rsid w:val="00A2140B"/>
    <w:rsid w:val="00A22C57"/>
    <w:rsid w:val="00A239A3"/>
    <w:rsid w:val="00A2475A"/>
    <w:rsid w:val="00A24FA7"/>
    <w:rsid w:val="00A25CCD"/>
    <w:rsid w:val="00A30028"/>
    <w:rsid w:val="00A304CF"/>
    <w:rsid w:val="00A32736"/>
    <w:rsid w:val="00A335D5"/>
    <w:rsid w:val="00A33F9B"/>
    <w:rsid w:val="00A43050"/>
    <w:rsid w:val="00A44CD9"/>
    <w:rsid w:val="00A45F58"/>
    <w:rsid w:val="00A46295"/>
    <w:rsid w:val="00A47E9C"/>
    <w:rsid w:val="00A50D7A"/>
    <w:rsid w:val="00A5175D"/>
    <w:rsid w:val="00A51BA4"/>
    <w:rsid w:val="00A61122"/>
    <w:rsid w:val="00A64DC0"/>
    <w:rsid w:val="00A71C96"/>
    <w:rsid w:val="00A73702"/>
    <w:rsid w:val="00A7372E"/>
    <w:rsid w:val="00A76B2E"/>
    <w:rsid w:val="00A77EEC"/>
    <w:rsid w:val="00A8189D"/>
    <w:rsid w:val="00A85839"/>
    <w:rsid w:val="00A91FD5"/>
    <w:rsid w:val="00A94FD8"/>
    <w:rsid w:val="00A95A58"/>
    <w:rsid w:val="00A9707A"/>
    <w:rsid w:val="00A97497"/>
    <w:rsid w:val="00A978DE"/>
    <w:rsid w:val="00AA4931"/>
    <w:rsid w:val="00AA5028"/>
    <w:rsid w:val="00AB2BC6"/>
    <w:rsid w:val="00AB4CC7"/>
    <w:rsid w:val="00AD4A67"/>
    <w:rsid w:val="00AF15A6"/>
    <w:rsid w:val="00AF1BAC"/>
    <w:rsid w:val="00AF4177"/>
    <w:rsid w:val="00AF6994"/>
    <w:rsid w:val="00B0273E"/>
    <w:rsid w:val="00B0309B"/>
    <w:rsid w:val="00B15704"/>
    <w:rsid w:val="00B232DB"/>
    <w:rsid w:val="00B23945"/>
    <w:rsid w:val="00B274CD"/>
    <w:rsid w:val="00B304CF"/>
    <w:rsid w:val="00B32C1B"/>
    <w:rsid w:val="00B370F6"/>
    <w:rsid w:val="00B445D7"/>
    <w:rsid w:val="00B44FFF"/>
    <w:rsid w:val="00B45311"/>
    <w:rsid w:val="00B46E43"/>
    <w:rsid w:val="00B509C9"/>
    <w:rsid w:val="00B524E8"/>
    <w:rsid w:val="00B56F4D"/>
    <w:rsid w:val="00B56F59"/>
    <w:rsid w:val="00B6054B"/>
    <w:rsid w:val="00B60AFC"/>
    <w:rsid w:val="00B611FA"/>
    <w:rsid w:val="00B62454"/>
    <w:rsid w:val="00B63AD7"/>
    <w:rsid w:val="00B7014E"/>
    <w:rsid w:val="00B718DF"/>
    <w:rsid w:val="00B71C1B"/>
    <w:rsid w:val="00B72C4C"/>
    <w:rsid w:val="00B7538C"/>
    <w:rsid w:val="00B8455E"/>
    <w:rsid w:val="00B9250D"/>
    <w:rsid w:val="00B92BBA"/>
    <w:rsid w:val="00B96C0E"/>
    <w:rsid w:val="00B971B3"/>
    <w:rsid w:val="00B97D01"/>
    <w:rsid w:val="00BA13CB"/>
    <w:rsid w:val="00BA5D9C"/>
    <w:rsid w:val="00BB6267"/>
    <w:rsid w:val="00BB67D3"/>
    <w:rsid w:val="00BC351B"/>
    <w:rsid w:val="00BC40B9"/>
    <w:rsid w:val="00BD183C"/>
    <w:rsid w:val="00BD1BD5"/>
    <w:rsid w:val="00BE5983"/>
    <w:rsid w:val="00BE769B"/>
    <w:rsid w:val="00BF0A1B"/>
    <w:rsid w:val="00BF0CC0"/>
    <w:rsid w:val="00BF166F"/>
    <w:rsid w:val="00C0438C"/>
    <w:rsid w:val="00C076E9"/>
    <w:rsid w:val="00C16DBC"/>
    <w:rsid w:val="00C20C69"/>
    <w:rsid w:val="00C224E2"/>
    <w:rsid w:val="00C23160"/>
    <w:rsid w:val="00C25FC9"/>
    <w:rsid w:val="00C32646"/>
    <w:rsid w:val="00C35786"/>
    <w:rsid w:val="00C35D80"/>
    <w:rsid w:val="00C4527A"/>
    <w:rsid w:val="00C45B6B"/>
    <w:rsid w:val="00C46D7B"/>
    <w:rsid w:val="00C500D8"/>
    <w:rsid w:val="00C5111D"/>
    <w:rsid w:val="00C54E77"/>
    <w:rsid w:val="00C55DAE"/>
    <w:rsid w:val="00C655E2"/>
    <w:rsid w:val="00C72AB0"/>
    <w:rsid w:val="00C76115"/>
    <w:rsid w:val="00C80013"/>
    <w:rsid w:val="00C8129A"/>
    <w:rsid w:val="00C82A66"/>
    <w:rsid w:val="00C83EBE"/>
    <w:rsid w:val="00C84D45"/>
    <w:rsid w:val="00C93C9D"/>
    <w:rsid w:val="00CA7847"/>
    <w:rsid w:val="00CB006D"/>
    <w:rsid w:val="00CB27CE"/>
    <w:rsid w:val="00CB45BB"/>
    <w:rsid w:val="00CB4D21"/>
    <w:rsid w:val="00CB5618"/>
    <w:rsid w:val="00CB70F7"/>
    <w:rsid w:val="00CC105A"/>
    <w:rsid w:val="00CC1BD3"/>
    <w:rsid w:val="00CC2075"/>
    <w:rsid w:val="00CC5E58"/>
    <w:rsid w:val="00CC664C"/>
    <w:rsid w:val="00CD14D8"/>
    <w:rsid w:val="00CD2CF4"/>
    <w:rsid w:val="00CD39DD"/>
    <w:rsid w:val="00CD3CDF"/>
    <w:rsid w:val="00CE097F"/>
    <w:rsid w:val="00CF194B"/>
    <w:rsid w:val="00CF4AB8"/>
    <w:rsid w:val="00D04DCD"/>
    <w:rsid w:val="00D10A73"/>
    <w:rsid w:val="00D10DD5"/>
    <w:rsid w:val="00D22B89"/>
    <w:rsid w:val="00D31A70"/>
    <w:rsid w:val="00D321AE"/>
    <w:rsid w:val="00D356CD"/>
    <w:rsid w:val="00D3662C"/>
    <w:rsid w:val="00D377E2"/>
    <w:rsid w:val="00D427C4"/>
    <w:rsid w:val="00D42B0E"/>
    <w:rsid w:val="00D45274"/>
    <w:rsid w:val="00D472F5"/>
    <w:rsid w:val="00D534FE"/>
    <w:rsid w:val="00D55C66"/>
    <w:rsid w:val="00D63B06"/>
    <w:rsid w:val="00D72B88"/>
    <w:rsid w:val="00D73EC4"/>
    <w:rsid w:val="00D74A11"/>
    <w:rsid w:val="00D75285"/>
    <w:rsid w:val="00D7673D"/>
    <w:rsid w:val="00D76991"/>
    <w:rsid w:val="00D80EE6"/>
    <w:rsid w:val="00D82321"/>
    <w:rsid w:val="00D855E3"/>
    <w:rsid w:val="00D87B72"/>
    <w:rsid w:val="00DA08D9"/>
    <w:rsid w:val="00DA33C6"/>
    <w:rsid w:val="00DB40C6"/>
    <w:rsid w:val="00DB673A"/>
    <w:rsid w:val="00DC26ED"/>
    <w:rsid w:val="00DC4110"/>
    <w:rsid w:val="00DC4921"/>
    <w:rsid w:val="00DC5234"/>
    <w:rsid w:val="00DD1FFE"/>
    <w:rsid w:val="00DD2973"/>
    <w:rsid w:val="00DD2B56"/>
    <w:rsid w:val="00DD4DAE"/>
    <w:rsid w:val="00DD4F6B"/>
    <w:rsid w:val="00DD65F7"/>
    <w:rsid w:val="00DE0AAA"/>
    <w:rsid w:val="00DE3B81"/>
    <w:rsid w:val="00DE791A"/>
    <w:rsid w:val="00DF0370"/>
    <w:rsid w:val="00DF1BA0"/>
    <w:rsid w:val="00DF413E"/>
    <w:rsid w:val="00E00944"/>
    <w:rsid w:val="00E03221"/>
    <w:rsid w:val="00E101A5"/>
    <w:rsid w:val="00E13B81"/>
    <w:rsid w:val="00E15CB9"/>
    <w:rsid w:val="00E222CA"/>
    <w:rsid w:val="00E2489A"/>
    <w:rsid w:val="00E25483"/>
    <w:rsid w:val="00E2638E"/>
    <w:rsid w:val="00E27FD1"/>
    <w:rsid w:val="00E3309F"/>
    <w:rsid w:val="00E3494D"/>
    <w:rsid w:val="00E4328E"/>
    <w:rsid w:val="00E43810"/>
    <w:rsid w:val="00E442B5"/>
    <w:rsid w:val="00E46C3A"/>
    <w:rsid w:val="00E47E69"/>
    <w:rsid w:val="00E50B11"/>
    <w:rsid w:val="00E50C2C"/>
    <w:rsid w:val="00E521EA"/>
    <w:rsid w:val="00E53157"/>
    <w:rsid w:val="00E601E5"/>
    <w:rsid w:val="00E61EC9"/>
    <w:rsid w:val="00E744C1"/>
    <w:rsid w:val="00E752C9"/>
    <w:rsid w:val="00E7543E"/>
    <w:rsid w:val="00E76D10"/>
    <w:rsid w:val="00E81EA5"/>
    <w:rsid w:val="00E83B91"/>
    <w:rsid w:val="00E86BC1"/>
    <w:rsid w:val="00E91236"/>
    <w:rsid w:val="00E91377"/>
    <w:rsid w:val="00E91CC2"/>
    <w:rsid w:val="00E960A6"/>
    <w:rsid w:val="00EA3BFB"/>
    <w:rsid w:val="00EA3F88"/>
    <w:rsid w:val="00EA49A3"/>
    <w:rsid w:val="00EA6D02"/>
    <w:rsid w:val="00EB3EE0"/>
    <w:rsid w:val="00EC1959"/>
    <w:rsid w:val="00EC1EC9"/>
    <w:rsid w:val="00EC218D"/>
    <w:rsid w:val="00EC28E0"/>
    <w:rsid w:val="00EC30DA"/>
    <w:rsid w:val="00EC4ADE"/>
    <w:rsid w:val="00EC4DC9"/>
    <w:rsid w:val="00EC7A64"/>
    <w:rsid w:val="00ED29A0"/>
    <w:rsid w:val="00ED457C"/>
    <w:rsid w:val="00ED6456"/>
    <w:rsid w:val="00EE0261"/>
    <w:rsid w:val="00EE0CF5"/>
    <w:rsid w:val="00EE30EA"/>
    <w:rsid w:val="00EE3CF6"/>
    <w:rsid w:val="00EE3CFE"/>
    <w:rsid w:val="00EE4840"/>
    <w:rsid w:val="00EF060F"/>
    <w:rsid w:val="00EF0B08"/>
    <w:rsid w:val="00EF1532"/>
    <w:rsid w:val="00EF2D0F"/>
    <w:rsid w:val="00EF2E65"/>
    <w:rsid w:val="00EF32BC"/>
    <w:rsid w:val="00EF6F90"/>
    <w:rsid w:val="00F04DFE"/>
    <w:rsid w:val="00F13025"/>
    <w:rsid w:val="00F15A47"/>
    <w:rsid w:val="00F170E2"/>
    <w:rsid w:val="00F17EA0"/>
    <w:rsid w:val="00F21AA0"/>
    <w:rsid w:val="00F2228A"/>
    <w:rsid w:val="00F234C0"/>
    <w:rsid w:val="00F24E76"/>
    <w:rsid w:val="00F305E0"/>
    <w:rsid w:val="00F325F8"/>
    <w:rsid w:val="00F337C0"/>
    <w:rsid w:val="00F33973"/>
    <w:rsid w:val="00F37776"/>
    <w:rsid w:val="00F37AFD"/>
    <w:rsid w:val="00F40411"/>
    <w:rsid w:val="00F42D17"/>
    <w:rsid w:val="00F46BAA"/>
    <w:rsid w:val="00F504F4"/>
    <w:rsid w:val="00F534E1"/>
    <w:rsid w:val="00F5644A"/>
    <w:rsid w:val="00F56D29"/>
    <w:rsid w:val="00F607D0"/>
    <w:rsid w:val="00F6769E"/>
    <w:rsid w:val="00F706F3"/>
    <w:rsid w:val="00F72CDD"/>
    <w:rsid w:val="00F73146"/>
    <w:rsid w:val="00F75EF5"/>
    <w:rsid w:val="00F82603"/>
    <w:rsid w:val="00F84AC0"/>
    <w:rsid w:val="00F9030D"/>
    <w:rsid w:val="00FA1C15"/>
    <w:rsid w:val="00FA1C69"/>
    <w:rsid w:val="00FB1B0B"/>
    <w:rsid w:val="00FB6567"/>
    <w:rsid w:val="00FC0439"/>
    <w:rsid w:val="00FC22E6"/>
    <w:rsid w:val="00FC6914"/>
    <w:rsid w:val="00FD0431"/>
    <w:rsid w:val="00FD1306"/>
    <w:rsid w:val="00FD2EC2"/>
    <w:rsid w:val="00FD59C9"/>
    <w:rsid w:val="00FD5D72"/>
    <w:rsid w:val="00FE2603"/>
    <w:rsid w:val="00FF650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6C92BE-1350-4497-A3D1-C949253F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4A0D"/>
    <w:pPr>
      <w:spacing w:after="0" w:line="240" w:lineRule="auto"/>
      <w:jc w:val="both"/>
    </w:pPr>
    <w:rPr>
      <w:rFonts w:ascii="Times New Roman" w:hAnsi="Times New Roman" w:cs="Times New Roman"/>
      <w:szCs w:val="20"/>
    </w:rPr>
  </w:style>
  <w:style w:type="paragraph" w:styleId="Heading1">
    <w:name w:val="heading 1"/>
    <w:basedOn w:val="BoldCenter12pt"/>
    <w:next w:val="BodyText"/>
    <w:link w:val="Heading1Char"/>
    <w:qFormat/>
    <w:rsid w:val="006F0FF7"/>
    <w:pPr>
      <w:outlineLvl w:val="0"/>
    </w:pPr>
  </w:style>
  <w:style w:type="paragraph" w:styleId="Heading2">
    <w:name w:val="heading 2"/>
    <w:basedOn w:val="Normal"/>
    <w:next w:val="BodyText"/>
    <w:link w:val="Heading2Char"/>
    <w:qFormat/>
    <w:rsid w:val="00415F90"/>
    <w:pPr>
      <w:keepNext/>
      <w:keepLines/>
      <w:spacing w:before="240" w:line="240" w:lineRule="exact"/>
      <w:ind w:right="720"/>
      <w:outlineLvl w:val="1"/>
    </w:pPr>
    <w:rPr>
      <w:b/>
    </w:rPr>
  </w:style>
  <w:style w:type="paragraph" w:styleId="Heading3">
    <w:name w:val="heading 3"/>
    <w:basedOn w:val="Normal"/>
    <w:next w:val="BodyText"/>
    <w:link w:val="Heading3Char"/>
    <w:qFormat/>
    <w:rsid w:val="00415F90"/>
    <w:pPr>
      <w:keepNext/>
      <w:keepLines/>
      <w:spacing w:before="240" w:line="240" w:lineRule="exact"/>
      <w:ind w:right="720"/>
      <w:outlineLvl w:val="2"/>
    </w:pPr>
  </w:style>
  <w:style w:type="paragraph" w:styleId="Heading4">
    <w:name w:val="heading 4"/>
    <w:basedOn w:val="Normal"/>
    <w:next w:val="BodyText"/>
    <w:link w:val="Heading4Char"/>
    <w:qFormat/>
    <w:rsid w:val="00415F90"/>
    <w:pPr>
      <w:keepNext/>
      <w:keepLines/>
      <w:spacing w:before="240" w:line="240" w:lineRule="exact"/>
      <w:ind w:right="720"/>
      <w:outlineLvl w:val="3"/>
    </w:pPr>
  </w:style>
  <w:style w:type="paragraph" w:styleId="Heading5">
    <w:name w:val="heading 5"/>
    <w:basedOn w:val="Normal"/>
    <w:next w:val="BodyText"/>
    <w:link w:val="Heading5Char"/>
    <w:qFormat/>
    <w:rsid w:val="00415F90"/>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415F90"/>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415F90"/>
    <w:pPr>
      <w:keepNext/>
      <w:keepLines/>
      <w:spacing w:before="240" w:line="240" w:lineRule="exact"/>
      <w:ind w:right="720"/>
      <w:outlineLvl w:val="6"/>
    </w:pPr>
  </w:style>
  <w:style w:type="paragraph" w:styleId="Heading8">
    <w:name w:val="heading 8"/>
    <w:basedOn w:val="Normal"/>
    <w:next w:val="BodyText"/>
    <w:link w:val="Heading8Char"/>
    <w:qFormat/>
    <w:rsid w:val="00415F90"/>
    <w:pPr>
      <w:keepNext/>
      <w:keepLines/>
      <w:spacing w:before="240" w:line="240" w:lineRule="exact"/>
      <w:ind w:right="720"/>
      <w:outlineLvl w:val="7"/>
    </w:pPr>
  </w:style>
  <w:style w:type="paragraph" w:styleId="Heading9">
    <w:name w:val="heading 9"/>
    <w:basedOn w:val="Normal"/>
    <w:next w:val="BodyText"/>
    <w:link w:val="Heading9Char"/>
    <w:qFormat/>
    <w:rsid w:val="00415F90"/>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415F90"/>
    <w:pPr>
      <w:spacing w:after="240"/>
      <w:ind w:left="1440" w:right="1440"/>
    </w:pPr>
  </w:style>
  <w:style w:type="paragraph" w:styleId="BodyText">
    <w:name w:val="Body Text"/>
    <w:basedOn w:val="Normal"/>
    <w:link w:val="BodyTextChar"/>
    <w:qFormat/>
    <w:rsid w:val="00415F90"/>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415F90"/>
    <w:pPr>
      <w:ind w:left="720"/>
    </w:pPr>
  </w:style>
  <w:style w:type="paragraph" w:customStyle="1" w:styleId="BodyText5Continued">
    <w:name w:val="Body Text .5 Continued"/>
    <w:basedOn w:val="BodyText"/>
    <w:rsid w:val="00415F90"/>
    <w:pPr>
      <w:ind w:left="720" w:firstLine="0"/>
    </w:pPr>
  </w:style>
  <w:style w:type="paragraph" w:customStyle="1" w:styleId="BodyText1">
    <w:name w:val="Body Text 1&quot;"/>
    <w:basedOn w:val="BodyText"/>
    <w:rsid w:val="00415F90"/>
    <w:pPr>
      <w:ind w:left="1440"/>
    </w:pPr>
  </w:style>
  <w:style w:type="paragraph" w:customStyle="1" w:styleId="BodyText1Continued">
    <w:name w:val="Body Text 1&quot; Continued"/>
    <w:basedOn w:val="BodyText"/>
    <w:rsid w:val="00415F90"/>
    <w:pPr>
      <w:ind w:left="1440" w:firstLine="0"/>
    </w:pPr>
  </w:style>
  <w:style w:type="paragraph" w:customStyle="1" w:styleId="BodyText15">
    <w:name w:val="Body Text 1.5&quot;"/>
    <w:basedOn w:val="BodyText"/>
    <w:rsid w:val="00415F90"/>
    <w:pPr>
      <w:ind w:left="2160"/>
    </w:pPr>
  </w:style>
  <w:style w:type="paragraph" w:customStyle="1" w:styleId="BodyText15Continued">
    <w:name w:val="Body Text 1.5&quot; Continued"/>
    <w:basedOn w:val="BodyText"/>
    <w:rsid w:val="00415F90"/>
    <w:pPr>
      <w:ind w:left="2160" w:firstLine="0"/>
    </w:pPr>
  </w:style>
  <w:style w:type="paragraph" w:customStyle="1" w:styleId="BodyText2">
    <w:name w:val="Body Text 2&quot;"/>
    <w:basedOn w:val="BodyText"/>
    <w:rsid w:val="00415F90"/>
    <w:pPr>
      <w:ind w:left="2880"/>
    </w:pPr>
  </w:style>
  <w:style w:type="paragraph" w:customStyle="1" w:styleId="BodyText2Continued">
    <w:name w:val="Body Text 2&quot; Continued"/>
    <w:basedOn w:val="BodyText"/>
    <w:rsid w:val="00415F90"/>
    <w:pPr>
      <w:ind w:left="2880" w:firstLine="0"/>
    </w:pPr>
  </w:style>
  <w:style w:type="paragraph" w:customStyle="1" w:styleId="BodyTextContinued">
    <w:name w:val="Body Text Continued"/>
    <w:basedOn w:val="BodyText"/>
    <w:rsid w:val="00415F90"/>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415F90"/>
    <w:pPr>
      <w:ind w:left="720" w:hanging="720"/>
    </w:pPr>
  </w:style>
  <w:style w:type="paragraph" w:customStyle="1" w:styleId="BodyTextHanging5">
    <w:name w:val="Body Text Hanging .5"/>
    <w:basedOn w:val="BodyText"/>
    <w:rsid w:val="00415F90"/>
    <w:pPr>
      <w:ind w:left="1440" w:hanging="720"/>
    </w:pPr>
  </w:style>
  <w:style w:type="paragraph" w:customStyle="1" w:styleId="BodyTextHanging1">
    <w:name w:val="Body Text Hanging 1&quot;"/>
    <w:basedOn w:val="BodyText"/>
    <w:rsid w:val="00415F90"/>
    <w:pPr>
      <w:ind w:left="2160" w:hanging="720"/>
    </w:pPr>
  </w:style>
  <w:style w:type="paragraph" w:customStyle="1" w:styleId="BodyTextHanging15">
    <w:name w:val="Body Text Hanging 1.5&quot;"/>
    <w:basedOn w:val="BodyText"/>
    <w:rsid w:val="00415F90"/>
    <w:pPr>
      <w:ind w:left="2880" w:hanging="720"/>
    </w:pPr>
  </w:style>
  <w:style w:type="paragraph" w:customStyle="1" w:styleId="BodyTextHanging2">
    <w:name w:val="Body Text Hanging 2&quot;"/>
    <w:basedOn w:val="BodyText"/>
    <w:rsid w:val="00415F90"/>
    <w:pPr>
      <w:ind w:left="2880"/>
    </w:pPr>
  </w:style>
  <w:style w:type="paragraph" w:styleId="BodyTextIndent">
    <w:name w:val="Body Text Indent"/>
    <w:basedOn w:val="BodyText"/>
    <w:next w:val="BodyText"/>
    <w:link w:val="BodyTextIndentChar"/>
    <w:rsid w:val="00415F90"/>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415F90"/>
    <w:pPr>
      <w:keepNext/>
      <w:spacing w:after="0"/>
      <w:ind w:firstLine="0"/>
      <w:jc w:val="center"/>
    </w:pPr>
    <w:rPr>
      <w:b/>
      <w:caps/>
    </w:rPr>
  </w:style>
  <w:style w:type="paragraph" w:customStyle="1" w:styleId="BoldCenter24pt">
    <w:name w:val="Bold Center 24 pt"/>
    <w:basedOn w:val="BodyText"/>
    <w:next w:val="BodyText"/>
    <w:rsid w:val="00415F90"/>
    <w:pPr>
      <w:keepNext/>
      <w:spacing w:after="480"/>
      <w:ind w:firstLine="0"/>
      <w:jc w:val="center"/>
    </w:pPr>
    <w:rPr>
      <w:b/>
      <w:caps/>
    </w:rPr>
  </w:style>
  <w:style w:type="paragraph" w:customStyle="1" w:styleId="BoldCenter12pt">
    <w:name w:val="Bold Center 12 pt"/>
    <w:basedOn w:val="BoldCenter24pt"/>
    <w:next w:val="BodyText"/>
    <w:rsid w:val="00415F90"/>
    <w:pPr>
      <w:spacing w:after="240"/>
    </w:pPr>
  </w:style>
  <w:style w:type="paragraph" w:customStyle="1" w:styleId="BusinessSignature">
    <w:name w:val="Business Signature"/>
    <w:basedOn w:val="Normal"/>
    <w:rsid w:val="00415F90"/>
    <w:pPr>
      <w:tabs>
        <w:tab w:val="left" w:pos="403"/>
        <w:tab w:val="right" w:pos="4320"/>
      </w:tabs>
      <w:jc w:val="left"/>
    </w:pPr>
  </w:style>
  <w:style w:type="paragraph" w:customStyle="1" w:styleId="Centered">
    <w:name w:val="Centered"/>
    <w:basedOn w:val="Normal"/>
    <w:next w:val="BodyText"/>
    <w:rsid w:val="00415F90"/>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415F90"/>
    <w:pPr>
      <w:spacing w:before="240"/>
    </w:pPr>
    <w:rPr>
      <w:b/>
      <w:caps/>
    </w:rPr>
  </w:style>
  <w:style w:type="paragraph" w:styleId="EnvelopeAddress">
    <w:name w:val="envelope address"/>
    <w:basedOn w:val="Normal"/>
    <w:rsid w:val="00415F90"/>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uiPriority w:val="99"/>
    <w:rsid w:val="00415F90"/>
    <w:pPr>
      <w:tabs>
        <w:tab w:val="center" w:pos="4680"/>
        <w:tab w:val="right" w:pos="9360"/>
      </w:tabs>
    </w:pPr>
  </w:style>
  <w:style w:type="character" w:customStyle="1" w:styleId="FooterChar">
    <w:name w:val="Footer Char"/>
    <w:basedOn w:val="DefaultParagraphFont"/>
    <w:link w:val="Footer"/>
    <w:uiPriority w:val="99"/>
    <w:rsid w:val="003C5E04"/>
    <w:rPr>
      <w:rFonts w:ascii="Times New Roman" w:hAnsi="Times New Roman" w:cs="Times New Roman"/>
      <w:sz w:val="24"/>
      <w:szCs w:val="20"/>
    </w:rPr>
  </w:style>
  <w:style w:type="character" w:styleId="FootnoteReference">
    <w:name w:val="footnote reference"/>
    <w:aliases w:val="fr"/>
    <w:basedOn w:val="DefaultParagraphFont"/>
    <w:rsid w:val="00415F90"/>
    <w:rPr>
      <w:vertAlign w:val="superscript"/>
    </w:rPr>
  </w:style>
  <w:style w:type="paragraph" w:styleId="FootnoteText">
    <w:name w:val="footnote text"/>
    <w:aliases w:val="Style 39,Car,Footnote Text Char3,Footnote Text Char Char,Footnote Text Char1 Char Char,TBG Style Char Char Char Char,Footnote Text Char2 Char,Footnote Text Char1 Char1,TBG Style Char Char Char1,Footnote Text Char1 Char,f"/>
    <w:basedOn w:val="Normal"/>
    <w:link w:val="FootnoteTextChar"/>
    <w:rsid w:val="00415F90"/>
    <w:rPr>
      <w:sz w:val="20"/>
    </w:rPr>
  </w:style>
  <w:style w:type="character" w:customStyle="1" w:styleId="FootnoteTextChar">
    <w:name w:val="Footnote Text Char"/>
    <w:aliases w:val="Style 39 Char1,Car Char1,Footnote Text Char3 Char1,Footnote Text Char Char Char1,Footnote Text Char1 Char Char Char1,TBG Style Char Char Char Char Char1,Footnote Text Char2 Char Char1,Footnote Text Char1 Char1 Char1,f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415F90"/>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415F90"/>
    <w:pPr>
      <w:spacing w:before="720" w:line="480" w:lineRule="exact"/>
      <w:ind w:right="144"/>
      <w:jc w:val="right"/>
    </w:pPr>
  </w:style>
  <w:style w:type="character" w:customStyle="1" w:styleId="Heading1Char">
    <w:name w:val="Heading 1 Char"/>
    <w:basedOn w:val="DefaultParagraphFont"/>
    <w:link w:val="Heading1"/>
    <w:rsid w:val="006F0FF7"/>
    <w:rPr>
      <w:rFonts w:ascii="Times New Roman" w:hAnsi="Times New Roman" w:cs="Times New Roman"/>
      <w:b/>
      <w:caps/>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415F90"/>
    <w:pPr>
      <w:ind w:firstLine="0"/>
      <w:jc w:val="center"/>
    </w:pPr>
  </w:style>
  <w:style w:type="paragraph" w:customStyle="1" w:styleId="Heading2Para">
    <w:name w:val="Heading2Para"/>
    <w:basedOn w:val="BodyText"/>
    <w:next w:val="BodyText"/>
    <w:rsid w:val="00415F90"/>
    <w:pPr>
      <w:ind w:firstLine="0"/>
    </w:pPr>
  </w:style>
  <w:style w:type="paragraph" w:customStyle="1" w:styleId="Heading3Para">
    <w:name w:val="Heading3Para"/>
    <w:basedOn w:val="BodyText"/>
    <w:next w:val="BodyText"/>
    <w:rsid w:val="00415F90"/>
  </w:style>
  <w:style w:type="paragraph" w:customStyle="1" w:styleId="Heading4Para">
    <w:name w:val="Heading4Para"/>
    <w:basedOn w:val="BodyText"/>
    <w:next w:val="BodyText"/>
    <w:rsid w:val="00415F90"/>
    <w:pPr>
      <w:ind w:firstLine="2160"/>
    </w:pPr>
  </w:style>
  <w:style w:type="paragraph" w:customStyle="1" w:styleId="Heading5Para">
    <w:name w:val="Heading5Para"/>
    <w:basedOn w:val="BodyText"/>
    <w:next w:val="BodyText"/>
    <w:rsid w:val="00415F90"/>
    <w:pPr>
      <w:ind w:firstLine="2880"/>
    </w:pPr>
  </w:style>
  <w:style w:type="paragraph" w:customStyle="1" w:styleId="Heading6Para">
    <w:name w:val="Heading6Para"/>
    <w:basedOn w:val="BodyText"/>
    <w:next w:val="BodyText"/>
    <w:rsid w:val="00415F90"/>
    <w:pPr>
      <w:ind w:firstLine="3600"/>
    </w:pPr>
  </w:style>
  <w:style w:type="paragraph" w:customStyle="1" w:styleId="Heading7Para">
    <w:name w:val="Heading7Para"/>
    <w:basedOn w:val="BodyText"/>
    <w:next w:val="BodyText"/>
    <w:rsid w:val="00415F90"/>
    <w:pPr>
      <w:ind w:firstLine="4320"/>
    </w:pPr>
  </w:style>
  <w:style w:type="paragraph" w:customStyle="1" w:styleId="Heading8Para">
    <w:name w:val="Heading8Para"/>
    <w:basedOn w:val="BodyText"/>
    <w:next w:val="BodyText"/>
    <w:rsid w:val="00415F90"/>
    <w:pPr>
      <w:ind w:firstLine="5040"/>
    </w:pPr>
  </w:style>
  <w:style w:type="paragraph" w:customStyle="1" w:styleId="Heading9Para">
    <w:name w:val="Heading9Para"/>
    <w:basedOn w:val="BodyText"/>
    <w:next w:val="BodyText"/>
    <w:rsid w:val="00415F90"/>
    <w:pPr>
      <w:ind w:firstLine="5760"/>
    </w:pPr>
  </w:style>
  <w:style w:type="paragraph" w:customStyle="1" w:styleId="LeftHeading">
    <w:name w:val="Left Heading"/>
    <w:basedOn w:val="Normal"/>
    <w:next w:val="BodyText"/>
    <w:rsid w:val="00415F90"/>
    <w:pPr>
      <w:keepNext/>
      <w:spacing w:after="240"/>
      <w:jc w:val="left"/>
    </w:pPr>
    <w:rPr>
      <w:b/>
    </w:rPr>
  </w:style>
  <w:style w:type="paragraph" w:customStyle="1" w:styleId="LetterDate">
    <w:name w:val="Letter Date"/>
    <w:basedOn w:val="Normal"/>
    <w:next w:val="BodyText"/>
    <w:rsid w:val="00415F90"/>
  </w:style>
  <w:style w:type="paragraph" w:customStyle="1" w:styleId="LetterClosing">
    <w:name w:val="LetterClosing"/>
    <w:basedOn w:val="Normal"/>
    <w:next w:val="Normal"/>
    <w:rsid w:val="00415F90"/>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415F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415F90"/>
    <w:pPr>
      <w:ind w:left="720"/>
    </w:pPr>
  </w:style>
  <w:style w:type="paragraph" w:customStyle="1" w:styleId="ModifiedBlockIndent">
    <w:name w:val="Modified Block Indent"/>
    <w:basedOn w:val="BlockText"/>
    <w:rsid w:val="00415F90"/>
    <w:pPr>
      <w:ind w:left="720" w:firstLine="720"/>
    </w:pPr>
  </w:style>
  <w:style w:type="paragraph" w:styleId="NormalIndent">
    <w:name w:val="Normal Indent"/>
    <w:basedOn w:val="Normal"/>
    <w:rsid w:val="00415F90"/>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415F90"/>
    <w:rPr>
      <w:sz w:val="24"/>
    </w:rPr>
  </w:style>
  <w:style w:type="character" w:customStyle="1" w:styleId="ParagraphNumber">
    <w:name w:val="ParagraphNumber"/>
    <w:basedOn w:val="DefaultParagraphFont"/>
    <w:rsid w:val="00415F90"/>
  </w:style>
  <w:style w:type="paragraph" w:styleId="PlainText">
    <w:name w:val="Plain Text"/>
    <w:basedOn w:val="Normal"/>
    <w:link w:val="PlainTextChar"/>
    <w:rsid w:val="00415F90"/>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415F90"/>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415F90"/>
    <w:pPr>
      <w:ind w:left="1440" w:right="720" w:hanging="720"/>
    </w:pPr>
  </w:style>
  <w:style w:type="paragraph" w:styleId="Quote">
    <w:name w:val="Quote"/>
    <w:basedOn w:val="Normal"/>
    <w:next w:val="BodyTextContinued"/>
    <w:link w:val="QuoteChar"/>
    <w:qFormat/>
    <w:rsid w:val="00415F90"/>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415F90"/>
    <w:pPr>
      <w:spacing w:before="240"/>
    </w:pPr>
    <w:rPr>
      <w:b/>
      <w:caps/>
    </w:rPr>
  </w:style>
  <w:style w:type="paragraph" w:styleId="TableofAuthorities">
    <w:name w:val="table of authorities"/>
    <w:basedOn w:val="Normal"/>
    <w:next w:val="Normal"/>
    <w:semiHidden/>
    <w:rsid w:val="00415F90"/>
    <w:pPr>
      <w:widowControl w:val="0"/>
      <w:tabs>
        <w:tab w:val="right" w:leader="dot" w:pos="4306"/>
      </w:tabs>
      <w:spacing w:after="120" w:line="240" w:lineRule="exact"/>
      <w:ind w:left="360" w:right="1440" w:hanging="360"/>
    </w:pPr>
  </w:style>
  <w:style w:type="paragraph" w:styleId="TOAHeading">
    <w:name w:val="toa heading"/>
    <w:basedOn w:val="Normal"/>
    <w:next w:val="TableofAuthorities"/>
    <w:semiHidden/>
    <w:rsid w:val="00415F90"/>
    <w:pPr>
      <w:keepNext/>
      <w:widowControl w:val="0"/>
      <w:spacing w:before="120" w:after="120" w:line="240" w:lineRule="exact"/>
      <w:jc w:val="center"/>
    </w:pPr>
    <w:rPr>
      <w:b/>
      <w:caps/>
    </w:rPr>
  </w:style>
  <w:style w:type="paragraph" w:styleId="TOC1">
    <w:name w:val="toc 1"/>
    <w:basedOn w:val="Normal"/>
    <w:next w:val="Normal"/>
    <w:uiPriority w:val="39"/>
    <w:rsid w:val="006D27C8"/>
    <w:pPr>
      <w:keepLines/>
      <w:tabs>
        <w:tab w:val="right" w:leader="dot" w:pos="4306"/>
      </w:tabs>
      <w:ind w:left="180" w:right="720" w:hanging="180"/>
      <w:jc w:val="left"/>
    </w:pPr>
    <w:rPr>
      <w:caps/>
      <w:sz w:val="18"/>
    </w:rPr>
  </w:style>
  <w:style w:type="paragraph" w:styleId="TOC2">
    <w:name w:val="toc 2"/>
    <w:basedOn w:val="Normal"/>
    <w:next w:val="Normal"/>
    <w:uiPriority w:val="39"/>
    <w:rsid w:val="00643DA4"/>
    <w:pPr>
      <w:keepLines/>
      <w:tabs>
        <w:tab w:val="right" w:leader="dot" w:pos="4306"/>
      </w:tabs>
      <w:ind w:left="540" w:right="720" w:hanging="180"/>
      <w:jc w:val="left"/>
    </w:pPr>
    <w:rPr>
      <w:sz w:val="16"/>
    </w:rPr>
  </w:style>
  <w:style w:type="paragraph" w:styleId="TOC3">
    <w:name w:val="toc 3"/>
    <w:basedOn w:val="Normal"/>
    <w:next w:val="Normal"/>
    <w:semiHidden/>
    <w:rsid w:val="00415F90"/>
    <w:pPr>
      <w:keepLines/>
      <w:tabs>
        <w:tab w:val="right" w:leader="dot" w:pos="4306"/>
      </w:tabs>
      <w:ind w:left="2160" w:right="720" w:hanging="720"/>
      <w:jc w:val="left"/>
    </w:pPr>
  </w:style>
  <w:style w:type="paragraph" w:styleId="TOC4">
    <w:name w:val="toc 4"/>
    <w:basedOn w:val="Normal"/>
    <w:next w:val="Normal"/>
    <w:semiHidden/>
    <w:rsid w:val="00415F90"/>
    <w:pPr>
      <w:keepLines/>
      <w:tabs>
        <w:tab w:val="right" w:leader="dot" w:pos="4306"/>
      </w:tabs>
      <w:ind w:left="2880" w:right="720" w:hanging="720"/>
      <w:jc w:val="left"/>
    </w:pPr>
  </w:style>
  <w:style w:type="paragraph" w:styleId="TOC5">
    <w:name w:val="toc 5"/>
    <w:basedOn w:val="Normal"/>
    <w:next w:val="Normal"/>
    <w:semiHidden/>
    <w:rsid w:val="00415F90"/>
    <w:pPr>
      <w:keepLines/>
      <w:tabs>
        <w:tab w:val="right" w:leader="dot" w:pos="4306"/>
      </w:tabs>
      <w:ind w:left="3600" w:right="720" w:hanging="720"/>
      <w:jc w:val="left"/>
    </w:pPr>
  </w:style>
  <w:style w:type="paragraph" w:styleId="TOC6">
    <w:name w:val="toc 6"/>
    <w:basedOn w:val="Normal"/>
    <w:next w:val="Normal"/>
    <w:semiHidden/>
    <w:rsid w:val="00415F90"/>
    <w:pPr>
      <w:keepLines/>
      <w:tabs>
        <w:tab w:val="right" w:leader="dot" w:pos="4306"/>
      </w:tabs>
      <w:ind w:left="4320" w:right="720" w:hanging="720"/>
      <w:jc w:val="left"/>
    </w:pPr>
  </w:style>
  <w:style w:type="paragraph" w:styleId="TOC7">
    <w:name w:val="toc 7"/>
    <w:basedOn w:val="Normal"/>
    <w:next w:val="Normal"/>
    <w:semiHidden/>
    <w:rsid w:val="00415F90"/>
    <w:pPr>
      <w:keepLines/>
      <w:tabs>
        <w:tab w:val="right" w:leader="dot" w:pos="4306"/>
      </w:tabs>
      <w:ind w:left="5040" w:right="720" w:hanging="720"/>
      <w:jc w:val="left"/>
    </w:pPr>
  </w:style>
  <w:style w:type="paragraph" w:styleId="TOC8">
    <w:name w:val="toc 8"/>
    <w:basedOn w:val="Normal"/>
    <w:next w:val="Normal"/>
    <w:semiHidden/>
    <w:rsid w:val="00415F90"/>
    <w:pPr>
      <w:keepLines/>
      <w:tabs>
        <w:tab w:val="right" w:leader="dot" w:pos="4306"/>
      </w:tabs>
      <w:ind w:left="5760" w:right="720" w:hanging="720"/>
      <w:jc w:val="left"/>
    </w:pPr>
  </w:style>
  <w:style w:type="paragraph" w:styleId="TOC9">
    <w:name w:val="toc 9"/>
    <w:basedOn w:val="Normal"/>
    <w:next w:val="Normal"/>
    <w:semiHidden/>
    <w:rsid w:val="00415F90"/>
    <w:pPr>
      <w:keepLines/>
      <w:tabs>
        <w:tab w:val="right" w:leader="dot" w:pos="4306"/>
      </w:tabs>
      <w:ind w:left="6480" w:right="720" w:hanging="720"/>
      <w:jc w:val="left"/>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outlineLvl w:val="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paragraph" w:customStyle="1" w:styleId="MacPacTrailer">
    <w:name w:val="MacPac Trailer"/>
    <w:rsid w:val="00006F36"/>
    <w:pPr>
      <w:widowControl w:val="0"/>
      <w:spacing w:after="0" w:line="200" w:lineRule="exact"/>
    </w:pPr>
    <w:rPr>
      <w:rFonts w:ascii="Times New Roman" w:hAnsi="Times New Roman" w:cs="Times New Roman"/>
      <w:sz w:val="16"/>
    </w:rPr>
  </w:style>
  <w:style w:type="paragraph" w:customStyle="1" w:styleId="TOCHeader">
    <w:name w:val="TOC Header"/>
    <w:basedOn w:val="Normal"/>
    <w:rsid w:val="00086FB4"/>
    <w:pPr>
      <w:ind w:left="115" w:right="115"/>
      <w:jc w:val="center"/>
    </w:pPr>
  </w:style>
  <w:style w:type="table" w:styleId="TableGrid">
    <w:name w:val="Table Grid"/>
    <w:basedOn w:val="TableNormal"/>
    <w:uiPriority w:val="59"/>
    <w:rsid w:val="00766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Continue">
    <w:name w:val="Num Continue"/>
    <w:basedOn w:val="BodyText"/>
    <w:link w:val="NumContinueChar"/>
    <w:rsid w:val="00DC5234"/>
  </w:style>
  <w:style w:type="character" w:customStyle="1" w:styleId="NumContinueChar">
    <w:name w:val="Num Continue Char"/>
    <w:basedOn w:val="BodyTextChar"/>
    <w:link w:val="NumContinue"/>
    <w:rsid w:val="00DC5234"/>
    <w:rPr>
      <w:rFonts w:ascii="Times New Roman" w:hAnsi="Times New Roman" w:cs="Times New Roman"/>
      <w:sz w:val="24"/>
      <w:szCs w:val="20"/>
    </w:rPr>
  </w:style>
  <w:style w:type="paragraph" w:customStyle="1" w:styleId="Kutak1Cont1">
    <w:name w:val="Kutak1 Cont 1"/>
    <w:basedOn w:val="Normal"/>
    <w:link w:val="Kutak1Cont1Char"/>
    <w:rsid w:val="00DC5234"/>
    <w:pPr>
      <w:spacing w:after="240"/>
    </w:pPr>
  </w:style>
  <w:style w:type="character" w:customStyle="1" w:styleId="Kutak1Cont1Char">
    <w:name w:val="Kutak1 Cont 1 Char"/>
    <w:basedOn w:val="BodyTextChar"/>
    <w:link w:val="Kutak1Cont1"/>
    <w:rsid w:val="00DC5234"/>
    <w:rPr>
      <w:rFonts w:ascii="Times New Roman" w:hAnsi="Times New Roman" w:cs="Times New Roman"/>
      <w:sz w:val="24"/>
      <w:szCs w:val="20"/>
    </w:rPr>
  </w:style>
  <w:style w:type="paragraph" w:customStyle="1" w:styleId="Kutak1Cont2">
    <w:name w:val="Kutak1 Cont 2"/>
    <w:basedOn w:val="Kutak1Cont1"/>
    <w:link w:val="Kutak1Cont2Char"/>
    <w:rsid w:val="00DC5234"/>
  </w:style>
  <w:style w:type="character" w:customStyle="1" w:styleId="Kutak1Cont2Char">
    <w:name w:val="Kutak1 Cont 2 Char"/>
    <w:basedOn w:val="BodyTextChar"/>
    <w:link w:val="Kutak1Cont2"/>
    <w:rsid w:val="00DC5234"/>
    <w:rPr>
      <w:rFonts w:ascii="Times New Roman" w:hAnsi="Times New Roman" w:cs="Times New Roman"/>
      <w:sz w:val="24"/>
      <w:szCs w:val="20"/>
    </w:rPr>
  </w:style>
  <w:style w:type="paragraph" w:customStyle="1" w:styleId="Kutak1Cont3">
    <w:name w:val="Kutak1 Cont 3"/>
    <w:basedOn w:val="Kutak1Cont2"/>
    <w:link w:val="Kutak1Cont3Char"/>
    <w:rsid w:val="00DC5234"/>
  </w:style>
  <w:style w:type="character" w:customStyle="1" w:styleId="Kutak1Cont3Char">
    <w:name w:val="Kutak1 Cont 3 Char"/>
    <w:basedOn w:val="BodyTextChar"/>
    <w:link w:val="Kutak1Cont3"/>
    <w:rsid w:val="00DC5234"/>
    <w:rPr>
      <w:rFonts w:ascii="Times New Roman" w:hAnsi="Times New Roman" w:cs="Times New Roman"/>
      <w:sz w:val="24"/>
      <w:szCs w:val="20"/>
    </w:rPr>
  </w:style>
  <w:style w:type="paragraph" w:customStyle="1" w:styleId="Kutak1Cont4">
    <w:name w:val="Kutak1 Cont 4"/>
    <w:basedOn w:val="Kutak1Cont3"/>
    <w:link w:val="Kutak1Cont4Char"/>
    <w:rsid w:val="00DC5234"/>
  </w:style>
  <w:style w:type="character" w:customStyle="1" w:styleId="Kutak1Cont4Char">
    <w:name w:val="Kutak1 Cont 4 Char"/>
    <w:basedOn w:val="BodyTextChar"/>
    <w:link w:val="Kutak1Cont4"/>
    <w:rsid w:val="00DC5234"/>
    <w:rPr>
      <w:rFonts w:ascii="Times New Roman" w:hAnsi="Times New Roman" w:cs="Times New Roman"/>
      <w:sz w:val="24"/>
      <w:szCs w:val="20"/>
    </w:rPr>
  </w:style>
  <w:style w:type="paragraph" w:customStyle="1" w:styleId="Kutak1Cont5">
    <w:name w:val="Kutak1 Cont 5"/>
    <w:basedOn w:val="Kutak1Cont4"/>
    <w:link w:val="Kutak1Cont5Char"/>
    <w:rsid w:val="00DC5234"/>
  </w:style>
  <w:style w:type="character" w:customStyle="1" w:styleId="Kutak1Cont5Char">
    <w:name w:val="Kutak1 Cont 5 Char"/>
    <w:basedOn w:val="BodyTextChar"/>
    <w:link w:val="Kutak1Cont5"/>
    <w:rsid w:val="00DC5234"/>
    <w:rPr>
      <w:rFonts w:ascii="Times New Roman" w:hAnsi="Times New Roman" w:cs="Times New Roman"/>
      <w:sz w:val="24"/>
      <w:szCs w:val="20"/>
    </w:rPr>
  </w:style>
  <w:style w:type="paragraph" w:customStyle="1" w:styleId="Kutak1Cont6">
    <w:name w:val="Kutak1 Cont 6"/>
    <w:basedOn w:val="Kutak1Cont5"/>
    <w:link w:val="Kutak1Cont6Char"/>
    <w:rsid w:val="00DC5234"/>
  </w:style>
  <w:style w:type="character" w:customStyle="1" w:styleId="Kutak1Cont6Char">
    <w:name w:val="Kutak1 Cont 6 Char"/>
    <w:basedOn w:val="BodyTextChar"/>
    <w:link w:val="Kutak1Cont6"/>
    <w:rsid w:val="00DC5234"/>
    <w:rPr>
      <w:rFonts w:ascii="Times New Roman" w:hAnsi="Times New Roman" w:cs="Times New Roman"/>
      <w:sz w:val="24"/>
      <w:szCs w:val="20"/>
    </w:rPr>
  </w:style>
  <w:style w:type="paragraph" w:customStyle="1" w:styleId="Kutak1Cont7">
    <w:name w:val="Kutak1 Cont 7"/>
    <w:basedOn w:val="Kutak1Cont6"/>
    <w:link w:val="Kutak1Cont7Char"/>
    <w:rsid w:val="00DC5234"/>
  </w:style>
  <w:style w:type="character" w:customStyle="1" w:styleId="Kutak1Cont7Char">
    <w:name w:val="Kutak1 Cont 7 Char"/>
    <w:basedOn w:val="BodyTextChar"/>
    <w:link w:val="Kutak1Cont7"/>
    <w:rsid w:val="00DC5234"/>
    <w:rPr>
      <w:rFonts w:ascii="Times New Roman" w:hAnsi="Times New Roman" w:cs="Times New Roman"/>
      <w:sz w:val="24"/>
      <w:szCs w:val="20"/>
    </w:rPr>
  </w:style>
  <w:style w:type="paragraph" w:customStyle="1" w:styleId="Kutak1L1">
    <w:name w:val="Kutak1_L1"/>
    <w:basedOn w:val="Normal"/>
    <w:next w:val="BodyText"/>
    <w:link w:val="Kutak1L1Char"/>
    <w:rsid w:val="00DC5234"/>
    <w:pPr>
      <w:keepNext/>
      <w:keepLines/>
      <w:numPr>
        <w:numId w:val="14"/>
      </w:numPr>
      <w:spacing w:after="240"/>
      <w:jc w:val="center"/>
      <w:outlineLvl w:val="0"/>
    </w:pPr>
    <w:rPr>
      <w:b/>
      <w:caps/>
    </w:rPr>
  </w:style>
  <w:style w:type="character" w:customStyle="1" w:styleId="Kutak1L1Char">
    <w:name w:val="Kutak1_L1 Char"/>
    <w:basedOn w:val="DefaultParagraphFont"/>
    <w:link w:val="Kutak1L1"/>
    <w:rsid w:val="00DC5234"/>
    <w:rPr>
      <w:rFonts w:ascii="Times New Roman" w:hAnsi="Times New Roman" w:cs="Times New Roman"/>
      <w:b/>
      <w:caps/>
      <w:szCs w:val="20"/>
    </w:rPr>
  </w:style>
  <w:style w:type="paragraph" w:customStyle="1" w:styleId="Kutak1L2">
    <w:name w:val="Kutak1_L2"/>
    <w:basedOn w:val="Kutak1L1"/>
    <w:next w:val="BodyText"/>
    <w:link w:val="Kutak1L2Char"/>
    <w:rsid w:val="00DC5234"/>
    <w:pPr>
      <w:numPr>
        <w:ilvl w:val="1"/>
      </w:numPr>
      <w:jc w:val="both"/>
      <w:outlineLvl w:val="1"/>
    </w:pPr>
    <w:rPr>
      <w:caps w:val="0"/>
    </w:rPr>
  </w:style>
  <w:style w:type="character" w:customStyle="1" w:styleId="Kutak1L2Char">
    <w:name w:val="Kutak1_L2 Char"/>
    <w:basedOn w:val="DefaultParagraphFont"/>
    <w:link w:val="Kutak1L2"/>
    <w:rsid w:val="00DC5234"/>
    <w:rPr>
      <w:rFonts w:ascii="Times New Roman" w:hAnsi="Times New Roman" w:cs="Times New Roman"/>
      <w:b/>
      <w:szCs w:val="20"/>
    </w:rPr>
  </w:style>
  <w:style w:type="paragraph" w:customStyle="1" w:styleId="Kutak1L3">
    <w:name w:val="Kutak1_L3"/>
    <w:basedOn w:val="Kutak1L2"/>
    <w:next w:val="BodyText"/>
    <w:link w:val="Kutak1L3Char"/>
    <w:rsid w:val="00DC5234"/>
    <w:pPr>
      <w:keepNext w:val="0"/>
      <w:keepLines w:val="0"/>
      <w:numPr>
        <w:ilvl w:val="2"/>
      </w:numPr>
      <w:outlineLvl w:val="2"/>
    </w:pPr>
    <w:rPr>
      <w:b w:val="0"/>
    </w:rPr>
  </w:style>
  <w:style w:type="character" w:customStyle="1" w:styleId="Kutak1L3Char">
    <w:name w:val="Kutak1_L3 Char"/>
    <w:basedOn w:val="DefaultParagraphFont"/>
    <w:link w:val="Kutak1L3"/>
    <w:rsid w:val="00DC5234"/>
    <w:rPr>
      <w:rFonts w:ascii="Times New Roman" w:hAnsi="Times New Roman" w:cs="Times New Roman"/>
      <w:szCs w:val="20"/>
    </w:rPr>
  </w:style>
  <w:style w:type="paragraph" w:customStyle="1" w:styleId="Kutak1L4">
    <w:name w:val="Kutak1_L4"/>
    <w:basedOn w:val="Kutak1L3"/>
    <w:next w:val="BodyText"/>
    <w:link w:val="Kutak1L4Char"/>
    <w:rsid w:val="00DC5234"/>
    <w:pPr>
      <w:numPr>
        <w:ilvl w:val="3"/>
      </w:numPr>
      <w:outlineLvl w:val="3"/>
    </w:pPr>
  </w:style>
  <w:style w:type="character" w:customStyle="1" w:styleId="Kutak1L4Char">
    <w:name w:val="Kutak1_L4 Char"/>
    <w:basedOn w:val="DefaultParagraphFont"/>
    <w:link w:val="Kutak1L4"/>
    <w:rsid w:val="00DC5234"/>
    <w:rPr>
      <w:rFonts w:ascii="Times New Roman" w:hAnsi="Times New Roman" w:cs="Times New Roman"/>
      <w:szCs w:val="20"/>
    </w:rPr>
  </w:style>
  <w:style w:type="paragraph" w:customStyle="1" w:styleId="Kutak1L5">
    <w:name w:val="Kutak1_L5"/>
    <w:basedOn w:val="Kutak1L4"/>
    <w:next w:val="BodyText"/>
    <w:link w:val="Kutak1L5Char"/>
    <w:rsid w:val="00DC5234"/>
    <w:pPr>
      <w:numPr>
        <w:ilvl w:val="4"/>
      </w:numPr>
      <w:outlineLvl w:val="4"/>
    </w:pPr>
  </w:style>
  <w:style w:type="character" w:customStyle="1" w:styleId="Kutak1L5Char">
    <w:name w:val="Kutak1_L5 Char"/>
    <w:basedOn w:val="DefaultParagraphFont"/>
    <w:link w:val="Kutak1L5"/>
    <w:rsid w:val="00DC5234"/>
    <w:rPr>
      <w:rFonts w:ascii="Times New Roman" w:hAnsi="Times New Roman" w:cs="Times New Roman"/>
      <w:szCs w:val="20"/>
    </w:rPr>
  </w:style>
  <w:style w:type="paragraph" w:customStyle="1" w:styleId="Kutak1L6">
    <w:name w:val="Kutak1_L6"/>
    <w:basedOn w:val="Kutak1L5"/>
    <w:next w:val="BodyText"/>
    <w:link w:val="Kutak1L6Char"/>
    <w:rsid w:val="00DC5234"/>
    <w:pPr>
      <w:numPr>
        <w:ilvl w:val="5"/>
      </w:numPr>
      <w:outlineLvl w:val="5"/>
    </w:pPr>
  </w:style>
  <w:style w:type="character" w:customStyle="1" w:styleId="Kutak1L6Char">
    <w:name w:val="Kutak1_L6 Char"/>
    <w:basedOn w:val="DefaultParagraphFont"/>
    <w:link w:val="Kutak1L6"/>
    <w:rsid w:val="00DC5234"/>
    <w:rPr>
      <w:rFonts w:ascii="Times New Roman" w:hAnsi="Times New Roman" w:cs="Times New Roman"/>
      <w:szCs w:val="20"/>
    </w:rPr>
  </w:style>
  <w:style w:type="paragraph" w:customStyle="1" w:styleId="Kutak1L7">
    <w:name w:val="Kutak1_L7"/>
    <w:basedOn w:val="Kutak1L6"/>
    <w:next w:val="BodyText"/>
    <w:link w:val="Kutak1L7Char"/>
    <w:rsid w:val="00DC5234"/>
    <w:pPr>
      <w:numPr>
        <w:ilvl w:val="6"/>
      </w:numPr>
      <w:outlineLvl w:val="6"/>
    </w:pPr>
  </w:style>
  <w:style w:type="character" w:customStyle="1" w:styleId="Kutak1L7Char">
    <w:name w:val="Kutak1_L7 Char"/>
    <w:basedOn w:val="DefaultParagraphFont"/>
    <w:link w:val="Kutak1L7"/>
    <w:rsid w:val="00DC5234"/>
    <w:rPr>
      <w:rFonts w:ascii="Times New Roman" w:hAnsi="Times New Roman" w:cs="Times New Roman"/>
      <w:szCs w:val="20"/>
    </w:rPr>
  </w:style>
  <w:style w:type="table" w:customStyle="1" w:styleId="TableGrid1">
    <w:name w:val="Table Grid1"/>
    <w:basedOn w:val="TableNormal"/>
    <w:next w:val="TableGrid"/>
    <w:uiPriority w:val="59"/>
    <w:rsid w:val="00814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3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6AA"/>
    <w:rPr>
      <w:rFonts w:ascii="Segoe UI" w:hAnsi="Segoe UI" w:cs="Segoe UI"/>
      <w:sz w:val="18"/>
      <w:szCs w:val="18"/>
    </w:rPr>
  </w:style>
  <w:style w:type="paragraph" w:customStyle="1" w:styleId="BTItal8">
    <w:name w:val="BT Ital 8"/>
    <w:basedOn w:val="Normal"/>
    <w:rsid w:val="00CC2075"/>
    <w:pPr>
      <w:spacing w:after="120"/>
      <w:ind w:firstLine="720"/>
    </w:pPr>
    <w:rPr>
      <w:i/>
      <w:sz w:val="16"/>
    </w:rPr>
  </w:style>
  <w:style w:type="character" w:customStyle="1" w:styleId="FootnoteTextChar1">
    <w:name w:val="Footnote Text Char1"/>
    <w:aliases w:val="Style 39 Char,Car Char,Footnote Text Char Char1,Footnote Text Char3 Char,Footnote Text Char Char Char,Footnote Text Char1 Char Char Char,TBG Style Char Char Char Char Char,Footnote Text Char2 Char Char,Footnote Text Char1 Char1 Char"/>
    <w:rsid w:val="00CC2075"/>
  </w:style>
  <w:style w:type="paragraph" w:customStyle="1" w:styleId="ModifiedBlock1inch">
    <w:name w:val="Modified Block 1inch"/>
    <w:basedOn w:val="Normal"/>
    <w:rsid w:val="00374A88"/>
    <w:pPr>
      <w:suppressAutoHyphens/>
      <w:spacing w:after="240"/>
      <w:ind w:left="720" w:firstLine="720"/>
    </w:pPr>
    <w:rPr>
      <w:snapToGrid w:val="0"/>
      <w:spacing w:val="-3"/>
      <w:sz w:val="20"/>
    </w:rPr>
  </w:style>
  <w:style w:type="paragraph" w:customStyle="1" w:styleId="DraftStampText">
    <w:name w:val="Draft Stamp Text"/>
    <w:basedOn w:val="Normal"/>
    <w:rsid w:val="001078DF"/>
    <w:pPr>
      <w:jc w:val="right"/>
    </w:pPr>
    <w:rPr>
      <w:rFonts w:cs="Arial"/>
      <w:bCs/>
      <w:caps/>
      <w:sz w:val="24"/>
      <w:szCs w:val="24"/>
    </w:rPr>
  </w:style>
  <w:style w:type="character" w:styleId="PlaceholderText">
    <w:name w:val="Placeholder Text"/>
    <w:basedOn w:val="DefaultParagraphFont"/>
    <w:uiPriority w:val="99"/>
    <w:semiHidden/>
    <w:rsid w:val="00FD59C9"/>
    <w:rPr>
      <w:color w:val="808080"/>
    </w:rPr>
  </w:style>
  <w:style w:type="character" w:customStyle="1" w:styleId="zzmpTrailerItem">
    <w:name w:val="zzmpTrailerItem"/>
    <w:basedOn w:val="DefaultParagraphFont"/>
    <w:rsid w:val="00FD59C9"/>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customStyle="1" w:styleId="ParaNum">
    <w:name w:val="ParaNum"/>
    <w:rsid w:val="0001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footer" Target="footer22.xml"/><Relationship Id="rId55" Type="http://schemas.openxmlformats.org/officeDocument/2006/relationships/footer" Target="footer25.xml"/><Relationship Id="rId63" Type="http://schemas.openxmlformats.org/officeDocument/2006/relationships/header" Target="header27.xml"/><Relationship Id="rId68" Type="http://schemas.openxmlformats.org/officeDocument/2006/relationships/footer" Target="footer32.xml"/><Relationship Id="rId76" Type="http://schemas.openxmlformats.org/officeDocument/2006/relationships/footer" Target="footer36.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2.xml"/><Relationship Id="rId58" Type="http://schemas.openxmlformats.org/officeDocument/2006/relationships/footer" Target="footer27.xml"/><Relationship Id="rId66" Type="http://schemas.openxmlformats.org/officeDocument/2006/relationships/header" Target="header29.xml"/><Relationship Id="rId74" Type="http://schemas.openxmlformats.org/officeDocument/2006/relationships/footer" Target="footer35.xml"/><Relationship Id="rId79" Type="http://schemas.openxmlformats.org/officeDocument/2006/relationships/footer" Target="footer37.xml"/><Relationship Id="rId5" Type="http://schemas.openxmlformats.org/officeDocument/2006/relationships/webSettings" Target="webSettings.xml"/><Relationship Id="rId61" Type="http://schemas.openxmlformats.org/officeDocument/2006/relationships/footer" Target="footer28.xml"/><Relationship Id="rId82" Type="http://schemas.openxmlformats.org/officeDocument/2006/relationships/footer" Target="footer3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4.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4.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23.xml"/><Relationship Id="rId72" Type="http://schemas.openxmlformats.org/officeDocument/2006/relationships/header" Target="header32.xml"/><Relationship Id="rId80" Type="http://schemas.openxmlformats.org/officeDocument/2006/relationships/footer" Target="footer3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header" Target="header25.xml"/><Relationship Id="rId67" Type="http://schemas.openxmlformats.org/officeDocument/2006/relationships/footer" Target="footer3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ED8DA-B9F9-4C43-BFB0-F9337FEE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27071</Words>
  <Characters>154307</Characters>
  <Application>Microsoft Office Word</Application>
  <DocSecurity>0</DocSecurity>
  <Lines>1285</Lines>
  <Paragraphs>362</Paragraphs>
  <ScaleCrop>false</ScaleCrop>
  <HeadingPairs>
    <vt:vector size="2" baseType="variant">
      <vt:variant>
        <vt:lpstr>Title</vt:lpstr>
      </vt:variant>
      <vt:variant>
        <vt:i4>1</vt:i4>
      </vt:variant>
    </vt:vector>
  </HeadingPairs>
  <TitlesOfParts>
    <vt:vector size="1" baseType="lpstr">
      <vt:lpstr/>
    </vt:vector>
  </TitlesOfParts>
  <Company>Kutak Rock</Company>
  <LinksUpToDate>false</LinksUpToDate>
  <CharactersWithSpaces>181016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Kutak Rock</dc:creator>
  <cp:keywords/>
  <dc:description/>
  <cp:lastModifiedBy>Goodbee-KJS</cp:lastModifiedBy>
  <cp:revision>2</cp:revision>
  <cp:lastPrinted>2019-10-08T17:00:00Z</cp:lastPrinted>
  <dcterms:created xsi:type="dcterms:W3CDTF">2019-10-15T20:59:00Z</dcterms:created>
  <dcterms:modified xsi:type="dcterms:W3CDTF">2019-10-15T20:59:00Z</dcterms:modified>
</cp:coreProperties>
</file>