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B63B8" w14:textId="6F5A1ED0" w:rsidR="001A139E" w:rsidRPr="00FE0571" w:rsidRDefault="006A21B5" w:rsidP="00166E7D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6CCAD" w14:textId="68DAD98B" w:rsidR="000A14EB" w:rsidRDefault="00E1359D" w:rsidP="00166E7D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4ED8AFA3" w14:textId="77777777" w:rsidR="00E869E3" w:rsidRPr="00FE0571" w:rsidRDefault="00E869E3" w:rsidP="00166E7D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</w:p>
    <w:p w14:paraId="23657FED" w14:textId="2139ED64" w:rsidR="00AD69E9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1B4B68">
        <w:rPr>
          <w:rFonts w:ascii="Trebuchet MS" w:hAnsi="Trebuchet MS"/>
          <w:sz w:val="24"/>
          <w:szCs w:val="24"/>
        </w:rPr>
        <w:t>March 21</w:t>
      </w:r>
      <w:r w:rsidR="005C678E" w:rsidRPr="005C678E">
        <w:rPr>
          <w:rFonts w:ascii="Trebuchet MS" w:hAnsi="Trebuchet MS"/>
          <w:sz w:val="24"/>
          <w:szCs w:val="24"/>
        </w:rPr>
        <w:t>, 202</w:t>
      </w:r>
      <w:r w:rsidR="001B4B68">
        <w:rPr>
          <w:rFonts w:ascii="Trebuchet MS" w:hAnsi="Trebuchet MS"/>
          <w:sz w:val="24"/>
          <w:szCs w:val="24"/>
        </w:rPr>
        <w:t>5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5138F55E" w:rsidR="00902FEC" w:rsidRDefault="00AD69E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903F20" w:rsidRPr="00903F20">
        <w:rPr>
          <w:rFonts w:ascii="Trebuchet MS" w:hAnsi="Trebuchet MS"/>
          <w:sz w:val="24"/>
          <w:szCs w:val="24"/>
        </w:rPr>
        <w:t>Bill Cornelius, Standards and Specifications Unit Manager</w:t>
      </w:r>
    </w:p>
    <w:p w14:paraId="038D6D34" w14:textId="77777777" w:rsidR="00E9397E" w:rsidRPr="00FE0571" w:rsidRDefault="00E9397E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402DFEC" w14:textId="4622B5EB" w:rsidR="007A7B3A" w:rsidRDefault="00AD69E9" w:rsidP="001B4B68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New</w:t>
      </w:r>
      <w:r w:rsidR="00F060FA">
        <w:rPr>
          <w:rFonts w:ascii="Trebuchet MS" w:hAnsi="Trebuchet MS"/>
          <w:sz w:val="24"/>
          <w:szCs w:val="24"/>
        </w:rPr>
        <w:t xml:space="preserve">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bookmarkStart w:id="0" w:name="_Hlk193441612"/>
      <w:r w:rsidR="001B4B68" w:rsidRPr="001B4B68">
        <w:rPr>
          <w:rFonts w:ascii="Trebuchet MS" w:hAnsi="Trebuchet MS"/>
          <w:sz w:val="24"/>
          <w:szCs w:val="24"/>
        </w:rPr>
        <w:t>Revision of Section 627</w:t>
      </w:r>
      <w:r w:rsidR="001B4B68">
        <w:rPr>
          <w:rFonts w:ascii="Trebuchet MS" w:hAnsi="Trebuchet MS"/>
          <w:sz w:val="24"/>
          <w:szCs w:val="24"/>
        </w:rPr>
        <w:t xml:space="preserve"> </w:t>
      </w:r>
      <w:r w:rsidR="009603D2">
        <w:rPr>
          <w:rFonts w:ascii="Trebuchet MS" w:hAnsi="Trebuchet MS"/>
          <w:sz w:val="24"/>
          <w:szCs w:val="24"/>
        </w:rPr>
        <w:t xml:space="preserve">- </w:t>
      </w:r>
      <w:r w:rsidR="001B4B68" w:rsidRPr="001B4B68">
        <w:rPr>
          <w:rFonts w:ascii="Trebuchet MS" w:hAnsi="Trebuchet MS"/>
          <w:sz w:val="24"/>
          <w:szCs w:val="24"/>
        </w:rPr>
        <w:t>Pavement Marking</w:t>
      </w:r>
      <w:bookmarkEnd w:id="0"/>
    </w:p>
    <w:p w14:paraId="0C9EE967" w14:textId="77777777" w:rsidR="002C301A" w:rsidRPr="00FE0571" w:rsidRDefault="002C301A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8E5616D" w14:textId="685C0DD1" w:rsidR="000855DF" w:rsidRDefault="000855DF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0855DF">
        <w:rPr>
          <w:rFonts w:ascii="Trebuchet MS" w:hAnsi="Trebuchet MS"/>
          <w:sz w:val="24"/>
          <w:szCs w:val="24"/>
        </w:rPr>
        <w:t xml:space="preserve">Effective this date, March 21, 2025, the Standards and Specs unit has issued </w:t>
      </w:r>
      <w:r>
        <w:rPr>
          <w:rFonts w:ascii="Trebuchet MS" w:hAnsi="Trebuchet MS"/>
          <w:sz w:val="24"/>
          <w:szCs w:val="24"/>
        </w:rPr>
        <w:t>one</w:t>
      </w:r>
      <w:r w:rsidRPr="000855DF">
        <w:rPr>
          <w:rFonts w:ascii="Trebuchet MS" w:hAnsi="Trebuchet MS"/>
          <w:sz w:val="24"/>
          <w:szCs w:val="24"/>
        </w:rPr>
        <w:t xml:space="preserve"> new </w:t>
      </w:r>
      <w:r>
        <w:rPr>
          <w:rFonts w:ascii="Trebuchet MS" w:hAnsi="Trebuchet MS"/>
          <w:sz w:val="24"/>
          <w:szCs w:val="24"/>
        </w:rPr>
        <w:t>S</w:t>
      </w:r>
      <w:r w:rsidRPr="000855DF">
        <w:rPr>
          <w:rFonts w:ascii="Trebuchet MS" w:hAnsi="Trebuchet MS"/>
          <w:sz w:val="24"/>
          <w:szCs w:val="24"/>
        </w:rPr>
        <w:t xml:space="preserve">tandard </w:t>
      </w:r>
      <w:r>
        <w:rPr>
          <w:rFonts w:ascii="Trebuchet MS" w:hAnsi="Trebuchet MS"/>
          <w:sz w:val="24"/>
          <w:szCs w:val="24"/>
        </w:rPr>
        <w:t>S</w:t>
      </w:r>
      <w:r w:rsidRPr="000855DF">
        <w:rPr>
          <w:rFonts w:ascii="Trebuchet MS" w:hAnsi="Trebuchet MS"/>
          <w:sz w:val="24"/>
          <w:szCs w:val="24"/>
        </w:rPr>
        <w:t xml:space="preserve">pecial </w:t>
      </w:r>
      <w:r>
        <w:rPr>
          <w:rFonts w:ascii="Trebuchet MS" w:hAnsi="Trebuchet MS"/>
          <w:sz w:val="24"/>
          <w:szCs w:val="24"/>
        </w:rPr>
        <w:t>P</w:t>
      </w:r>
      <w:r w:rsidRPr="000855DF">
        <w:rPr>
          <w:rFonts w:ascii="Trebuchet MS" w:hAnsi="Trebuchet MS"/>
          <w:sz w:val="24"/>
          <w:szCs w:val="24"/>
        </w:rPr>
        <w:t>rovision</w:t>
      </w:r>
      <w:r>
        <w:rPr>
          <w:rFonts w:ascii="Trebuchet MS" w:hAnsi="Trebuchet MS"/>
          <w:sz w:val="24"/>
          <w:szCs w:val="24"/>
        </w:rPr>
        <w:t>,</w:t>
      </w:r>
      <w:r>
        <w:t xml:space="preserve"> “</w:t>
      </w:r>
      <w:r w:rsidRPr="000855DF">
        <w:rPr>
          <w:rFonts w:ascii="Trebuchet MS" w:hAnsi="Trebuchet MS"/>
          <w:sz w:val="24"/>
          <w:szCs w:val="24"/>
        </w:rPr>
        <w:t>Revision of Section 627 - Pavement Marking</w:t>
      </w:r>
      <w:r>
        <w:rPr>
          <w:rFonts w:ascii="Trebuchet MS" w:hAnsi="Trebuchet MS"/>
          <w:sz w:val="24"/>
          <w:szCs w:val="24"/>
        </w:rPr>
        <w:t>”</w:t>
      </w:r>
      <w:r w:rsidR="00795A01">
        <w:rPr>
          <w:rFonts w:ascii="Trebuchet MS" w:hAnsi="Trebuchet MS"/>
          <w:sz w:val="24"/>
          <w:szCs w:val="24"/>
        </w:rPr>
        <w:t xml:space="preserve">, </w:t>
      </w:r>
      <w:r w:rsidRPr="000855DF">
        <w:rPr>
          <w:rFonts w:ascii="Trebuchet MS" w:hAnsi="Trebuchet MS"/>
          <w:sz w:val="24"/>
          <w:szCs w:val="24"/>
        </w:rPr>
        <w:t xml:space="preserve">dated March </w:t>
      </w:r>
      <w:r>
        <w:rPr>
          <w:rFonts w:ascii="Trebuchet MS" w:hAnsi="Trebuchet MS"/>
          <w:sz w:val="24"/>
          <w:szCs w:val="24"/>
        </w:rPr>
        <w:t>21</w:t>
      </w:r>
      <w:r w:rsidRPr="000855DF">
        <w:rPr>
          <w:rFonts w:ascii="Trebuchet MS" w:hAnsi="Trebuchet MS"/>
          <w:sz w:val="24"/>
          <w:szCs w:val="24"/>
        </w:rPr>
        <w:t>, 2025.  It is briefly described in the table below.</w:t>
      </w:r>
    </w:p>
    <w:p w14:paraId="7F1C136B" w14:textId="77777777" w:rsidR="00333043" w:rsidRDefault="00333043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60431AB" w14:textId="41182700" w:rsidR="00333043" w:rsidRDefault="00333043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33043">
        <w:rPr>
          <w:rFonts w:ascii="Trebuchet MS" w:hAnsi="Trebuchet MS"/>
          <w:sz w:val="24"/>
          <w:szCs w:val="24"/>
        </w:rPr>
        <w:t xml:space="preserve">This provision will become mandatory in </w:t>
      </w:r>
      <w:r w:rsidR="004F6281">
        <w:rPr>
          <w:rFonts w:ascii="Trebuchet MS" w:hAnsi="Trebuchet MS"/>
          <w:sz w:val="24"/>
          <w:szCs w:val="24"/>
        </w:rPr>
        <w:t xml:space="preserve">appropriate </w:t>
      </w:r>
      <w:r w:rsidRPr="00333043">
        <w:rPr>
          <w:rFonts w:ascii="Trebuchet MS" w:hAnsi="Trebuchet MS"/>
          <w:sz w:val="24"/>
          <w:szCs w:val="24"/>
        </w:rPr>
        <w:t xml:space="preserve">projects advertised on or after April </w:t>
      </w:r>
      <w:r w:rsidR="00D545EE">
        <w:rPr>
          <w:rFonts w:ascii="Trebuchet MS" w:hAnsi="Trebuchet MS"/>
          <w:sz w:val="24"/>
          <w:szCs w:val="24"/>
        </w:rPr>
        <w:t>21</w:t>
      </w:r>
      <w:r w:rsidRPr="00333043">
        <w:rPr>
          <w:rFonts w:ascii="Trebuchet MS" w:hAnsi="Trebuchet MS"/>
          <w:sz w:val="24"/>
          <w:szCs w:val="24"/>
        </w:rPr>
        <w:t xml:space="preserve">, 2025.  You may use this </w:t>
      </w:r>
      <w:r w:rsidR="00605738">
        <w:rPr>
          <w:rFonts w:ascii="Trebuchet MS" w:hAnsi="Trebuchet MS"/>
          <w:sz w:val="24"/>
          <w:szCs w:val="24"/>
        </w:rPr>
        <w:t xml:space="preserve">new </w:t>
      </w:r>
      <w:r w:rsidRPr="00333043">
        <w:rPr>
          <w:rFonts w:ascii="Trebuchet MS" w:hAnsi="Trebuchet MS"/>
          <w:sz w:val="24"/>
          <w:szCs w:val="24"/>
        </w:rPr>
        <w:t>provision in projects advertised before this date.</w:t>
      </w:r>
    </w:p>
    <w:p w14:paraId="3B682D61" w14:textId="77777777" w:rsidR="000855DF" w:rsidRDefault="000855DF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4731"/>
        <w:gridCol w:w="1038"/>
        <w:gridCol w:w="1790"/>
      </w:tblGrid>
      <w:tr w:rsidR="000855DF" w:rsidRPr="000855DF" w14:paraId="159BC4FE" w14:textId="77777777" w:rsidTr="00583426">
        <w:trPr>
          <w:jc w:val="center"/>
        </w:trPr>
        <w:tc>
          <w:tcPr>
            <w:tcW w:w="1781" w:type="dxa"/>
            <w:tcBorders>
              <w:bottom w:val="single" w:sz="8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  <w:vAlign w:val="center"/>
            <w:hideMark/>
          </w:tcPr>
          <w:p w14:paraId="5A217D7F" w14:textId="3E5C2C27" w:rsidR="000855DF" w:rsidRPr="000855DF" w:rsidRDefault="000855DF" w:rsidP="00D03288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  <w:b/>
                <w:bCs/>
              </w:rPr>
              <w:t>New Standard Special Provision</w:t>
            </w:r>
          </w:p>
        </w:tc>
        <w:tc>
          <w:tcPr>
            <w:tcW w:w="4731" w:type="dxa"/>
            <w:tcBorders>
              <w:bottom w:val="single" w:sz="8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  <w:vAlign w:val="center"/>
            <w:hideMark/>
          </w:tcPr>
          <w:p w14:paraId="51D84BE0" w14:textId="5829BC05" w:rsidR="000855DF" w:rsidRPr="000855DF" w:rsidRDefault="000855DF" w:rsidP="00D03288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  <w:b/>
                <w:bCs/>
              </w:rPr>
              <w:t>Change</w:t>
            </w:r>
          </w:p>
        </w:tc>
        <w:tc>
          <w:tcPr>
            <w:tcW w:w="1038" w:type="dxa"/>
            <w:tcBorders>
              <w:bottom w:val="single" w:sz="8" w:space="0" w:color="auto"/>
            </w:tcBorders>
            <w:tcMar>
              <w:top w:w="72" w:type="dxa"/>
              <w:left w:w="43" w:type="dxa"/>
              <w:bottom w:w="72" w:type="dxa"/>
              <w:right w:w="43" w:type="dxa"/>
            </w:tcMar>
            <w:vAlign w:val="center"/>
            <w:hideMark/>
          </w:tcPr>
          <w:p w14:paraId="71E3A8F0" w14:textId="5DB2A84B" w:rsidR="000855DF" w:rsidRPr="000855DF" w:rsidRDefault="00583426" w:rsidP="00D03288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Total number </w:t>
            </w:r>
            <w:r w:rsidR="000855DF" w:rsidRPr="000855DF">
              <w:rPr>
                <w:rFonts w:ascii="Trebuchet MS" w:eastAsia="Trebuchet MS" w:hAnsi="Trebuchet MS" w:cs="Trebuchet MS"/>
                <w:b/>
                <w:bCs/>
              </w:rPr>
              <w:t>of pages</w:t>
            </w:r>
          </w:p>
        </w:tc>
        <w:tc>
          <w:tcPr>
            <w:tcW w:w="1790" w:type="dxa"/>
            <w:tcBorders>
              <w:bottom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4F3DA" w14:textId="77777777" w:rsidR="000855DF" w:rsidRPr="000855DF" w:rsidRDefault="000855DF" w:rsidP="00D03288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  <w:b/>
                <w:bCs/>
              </w:rPr>
              <w:t>To be used on</w:t>
            </w:r>
          </w:p>
        </w:tc>
      </w:tr>
      <w:tr w:rsidR="000855DF" w:rsidRPr="000855DF" w14:paraId="58DFB69B" w14:textId="77777777" w:rsidTr="00583426">
        <w:trPr>
          <w:jc w:val="center"/>
        </w:trPr>
        <w:tc>
          <w:tcPr>
            <w:tcW w:w="1781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3CA68338" w14:textId="77777777" w:rsidR="000855DF" w:rsidRPr="000855DF" w:rsidRDefault="000855DF" w:rsidP="00D03288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</w:rPr>
              <w:t>Revision of Section 627 – Pavement Marking</w:t>
            </w:r>
          </w:p>
        </w:tc>
        <w:tc>
          <w:tcPr>
            <w:tcW w:w="4731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2ACF8FD9" w14:textId="155F12C2" w:rsidR="00DB3E04" w:rsidRDefault="00DB3E04" w:rsidP="00D03288">
            <w:pPr>
              <w:widowControl w:val="0"/>
              <w:autoSpaceDE w:val="0"/>
              <w:autoSpaceDN w:val="0"/>
              <w:spacing w:after="1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Revised </w:t>
            </w:r>
            <w:r w:rsidR="00583426">
              <w:rPr>
                <w:rFonts w:ascii="Trebuchet MS" w:eastAsia="Trebuchet MS" w:hAnsi="Trebuchet MS" w:cs="Trebuchet MS"/>
              </w:rPr>
              <w:t>S</w:t>
            </w:r>
            <w:r>
              <w:rPr>
                <w:rFonts w:ascii="Trebuchet MS" w:eastAsia="Trebuchet MS" w:hAnsi="Trebuchet MS" w:cs="Trebuchet MS"/>
              </w:rPr>
              <w:t>ubsections 627-1 through 627-13.</w:t>
            </w:r>
            <w:r w:rsidR="004F6281">
              <w:rPr>
                <w:rFonts w:ascii="Trebuchet MS" w:eastAsia="Trebuchet MS" w:hAnsi="Trebuchet MS" w:cs="Trebuchet MS"/>
              </w:rPr>
              <w:t xml:space="preserve">  To be replaced.</w:t>
            </w:r>
          </w:p>
          <w:p w14:paraId="5B04CCB7" w14:textId="14FC36D0" w:rsidR="000855DF" w:rsidRPr="000855DF" w:rsidRDefault="000855DF" w:rsidP="00D03288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</w:rPr>
              <w:t>Region Finals Units statewide had observed a consistent trend with issues pertaining to the Method of Measurement for Item 627 – “Pavement Marking”, items paid by the gallon.</w:t>
            </w:r>
          </w:p>
        </w:tc>
        <w:tc>
          <w:tcPr>
            <w:tcW w:w="1038" w:type="dxa"/>
            <w:shd w:val="clear" w:color="auto" w:fill="F2F2F2" w:themeFill="background1" w:themeFillShade="F2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14:paraId="622E6C5C" w14:textId="579BAE42" w:rsidR="000855DF" w:rsidRPr="000855DF" w:rsidRDefault="000855DF" w:rsidP="00D03288">
            <w:pPr>
              <w:widowControl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</w:rPr>
            </w:pPr>
            <w:r w:rsidRPr="000855DF">
              <w:rPr>
                <w:rFonts w:ascii="Trebuchet MS" w:eastAsia="Trebuchet MS" w:hAnsi="Trebuchet MS" w:cs="Trebuchet MS"/>
              </w:rPr>
              <w:t>1</w:t>
            </w:r>
            <w:r w:rsidR="00AE62B7">
              <w:rPr>
                <w:rFonts w:ascii="Trebuchet MS" w:eastAsia="Trebuchet MS" w:hAnsi="Trebuchet MS" w:cs="Trebuchet MS"/>
              </w:rPr>
              <w:t>3</w:t>
            </w:r>
          </w:p>
        </w:tc>
        <w:tc>
          <w:tcPr>
            <w:tcW w:w="1790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E422" w14:textId="5D3F11D3" w:rsidR="000855DF" w:rsidRPr="000855DF" w:rsidRDefault="00AE62B7" w:rsidP="00D03288">
            <w:pPr>
              <w:widowControl w:val="0"/>
              <w:autoSpaceDE w:val="0"/>
              <w:autoSpaceDN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</w:t>
            </w:r>
            <w:r w:rsidRPr="00AE62B7">
              <w:rPr>
                <w:rFonts w:ascii="Trebuchet MS" w:eastAsia="Trebuchet MS" w:hAnsi="Trebuchet MS" w:cs="Trebuchet MS"/>
              </w:rPr>
              <w:t>ll projects with pavement marking paint.</w:t>
            </w:r>
          </w:p>
        </w:tc>
      </w:tr>
    </w:tbl>
    <w:p w14:paraId="3D9B907E" w14:textId="77777777" w:rsidR="005C4035" w:rsidRDefault="005C4035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6094AB30" w:rsidR="00C7499D" w:rsidRDefault="006E50AB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3F78F4">
        <w:rPr>
          <w:rFonts w:ascii="Trebuchet MS" w:hAnsi="Trebuchet MS"/>
          <w:color w:val="222222"/>
          <w:sz w:val="24"/>
          <w:szCs w:val="24"/>
        </w:rPr>
        <w:t xml:space="preserve"> new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Default="006B3A74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p w14:paraId="60FA9BD6" w14:textId="77777777" w:rsidR="00605738" w:rsidRDefault="00605738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2AFD8101" w14:textId="77777777" w:rsidR="00DB3E04" w:rsidRDefault="00DB3E04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EC8D6F9" w14:textId="7C42D54A" w:rsidR="00AE11C0" w:rsidRDefault="00A248F9" w:rsidP="00166E7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DC34E3" wp14:editId="071BDCF8">
            <wp:simplePos x="0" y="0"/>
            <wp:positionH relativeFrom="column">
              <wp:posOffset>5248427</wp:posOffset>
            </wp:positionH>
            <wp:positionV relativeFrom="paragraph">
              <wp:posOffset>51408</wp:posOffset>
            </wp:positionV>
            <wp:extent cx="402121" cy="404226"/>
            <wp:effectExtent l="0" t="0" r="0" b="0"/>
            <wp:wrapNone/>
            <wp:docPr id="1342559589" name="Picture 13425595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59589" name="Picture 13425595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1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87227" wp14:editId="52F8CA2B">
                <wp:simplePos x="0" y="0"/>
                <wp:positionH relativeFrom="column">
                  <wp:posOffset>5138607</wp:posOffset>
                </wp:positionH>
                <wp:positionV relativeFrom="paragraph">
                  <wp:posOffset>176405</wp:posOffset>
                </wp:positionV>
                <wp:extent cx="0" cy="206062"/>
                <wp:effectExtent l="0" t="0" r="38100" b="22860"/>
                <wp:wrapNone/>
                <wp:docPr id="46549497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62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463B9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13.9pt" to="404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" strokecolor="black [3200]" strokeweight="1pt"/>
            </w:pict>
          </mc:Fallback>
        </mc:AlternateContent>
      </w:r>
    </w:p>
    <w:p w14:paraId="34BE8317" w14:textId="76730595" w:rsidR="00AE11C0" w:rsidRPr="00C92886" w:rsidRDefault="00A248F9" w:rsidP="00166E7D">
      <w:pPr>
        <w:tabs>
          <w:tab w:val="center" w:pos="4320"/>
          <w:tab w:val="right" w:pos="8640"/>
        </w:tabs>
        <w:rPr>
          <w:rFonts w:ascii="Trebuchet MS" w:eastAsia="MS Mincho" w:hAnsi="Trebuchet MS"/>
          <w:color w:val="595959" w:themeColor="text1" w:themeTint="A6"/>
          <w:sz w:val="16"/>
        </w:rPr>
      </w:pPr>
      <w:r>
        <w:rPr>
          <w:rFonts w:ascii="Trebuchet MS" w:eastAsia="MS Mincho" w:hAnsi="Trebuchet MS"/>
          <w:color w:val="595959" w:themeColor="text1" w:themeTint="A6"/>
          <w:sz w:val="16"/>
        </w:rPr>
        <w:tab/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2829 W. Howard Pl., 3rd Fl.  Denver, CO 80204   P: 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(</w:t>
      </w:r>
      <w:r w:rsidR="00ED24E1">
        <w:rPr>
          <w:rFonts w:ascii="Trebuchet MS" w:eastAsia="MS Mincho" w:hAnsi="Trebuchet MS"/>
          <w:color w:val="595959" w:themeColor="text1" w:themeTint="A6"/>
          <w:sz w:val="16"/>
        </w:rPr>
        <w:t>303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) 7</w:t>
      </w:r>
      <w:r w:rsidR="00ED24E1">
        <w:rPr>
          <w:rFonts w:ascii="Trebuchet MS" w:eastAsia="MS Mincho" w:hAnsi="Trebuchet MS"/>
          <w:color w:val="595959" w:themeColor="text1" w:themeTint="A6"/>
          <w:sz w:val="16"/>
        </w:rPr>
        <w:t>57</w:t>
      </w:r>
      <w:r w:rsidR="00AE11C0">
        <w:rPr>
          <w:rFonts w:ascii="Trebuchet MS" w:eastAsia="MS Mincho" w:hAnsi="Trebuchet MS"/>
          <w:color w:val="595959" w:themeColor="text1" w:themeTint="A6"/>
          <w:sz w:val="16"/>
        </w:rPr>
        <w:t>-</w:t>
      </w:r>
      <w:r w:rsidR="00ED24E1">
        <w:rPr>
          <w:rFonts w:ascii="Trebuchet MS" w:eastAsia="MS Mincho" w:hAnsi="Trebuchet MS"/>
          <w:color w:val="595959" w:themeColor="text1" w:themeTint="A6"/>
          <w:sz w:val="16"/>
        </w:rPr>
        <w:t>9402</w:t>
      </w:r>
      <w:r w:rsidR="00AE11C0" w:rsidRPr="006B3A74">
        <w:rPr>
          <w:rFonts w:ascii="Trebuchet MS" w:eastAsia="MS Mincho" w:hAnsi="Trebuchet MS"/>
          <w:color w:val="595959" w:themeColor="text1" w:themeTint="A6"/>
          <w:sz w:val="16"/>
        </w:rPr>
        <w:t xml:space="preserve">   F: 303-757-9868</w:t>
      </w:r>
      <w:r w:rsidR="00AE11C0" w:rsidRPr="00C92886">
        <w:rPr>
          <w:rFonts w:ascii="Trebuchet MS" w:eastAsia="MS Mincho" w:hAnsi="Trebuchet MS"/>
          <w:color w:val="595959" w:themeColor="text1" w:themeTint="A6"/>
          <w:sz w:val="16"/>
        </w:rPr>
        <w:t xml:space="preserve">   </w:t>
      </w:r>
      <w:hyperlink r:id="rId11" w:history="1">
        <w:r w:rsidR="00AE11C0" w:rsidRPr="00C92886">
          <w:rPr>
            <w:rFonts w:ascii="Trebuchet MS" w:eastAsia="MS Mincho" w:hAnsi="Trebuchet MS"/>
            <w:color w:val="0000FF"/>
            <w:sz w:val="16"/>
            <w:u w:val="single"/>
          </w:rPr>
          <w:t>www.codot.gov</w:t>
        </w:r>
      </w:hyperlink>
    </w:p>
    <w:sectPr w:rsidR="00AE11C0" w:rsidRPr="00C92886" w:rsidSect="00BC4B23">
      <w:headerReference w:type="first" r:id="rId12"/>
      <w:footerReference w:type="first" r:id="rId13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6447" w14:textId="77777777" w:rsidR="00A41F1C" w:rsidRDefault="00A41F1C" w:rsidP="00370CDA">
      <w:r>
        <w:separator/>
      </w:r>
    </w:p>
  </w:endnote>
  <w:endnote w:type="continuationSeparator" w:id="0">
    <w:p w14:paraId="7D6F7668" w14:textId="77777777" w:rsidR="00A41F1C" w:rsidRDefault="00A41F1C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B390" w14:textId="77777777" w:rsidR="00A41F1C" w:rsidRDefault="00A41F1C" w:rsidP="00370CDA">
      <w:r>
        <w:separator/>
      </w:r>
    </w:p>
  </w:footnote>
  <w:footnote w:type="continuationSeparator" w:id="0">
    <w:p w14:paraId="3EF5FC3A" w14:textId="77777777" w:rsidR="00A41F1C" w:rsidRDefault="00A41F1C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6"/>
  </w:num>
  <w:num w:numId="17" w16cid:durableId="1105072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61A8"/>
    <w:rsid w:val="00007E69"/>
    <w:rsid w:val="00010F16"/>
    <w:rsid w:val="0001139B"/>
    <w:rsid w:val="00016DF0"/>
    <w:rsid w:val="00017692"/>
    <w:rsid w:val="00017E45"/>
    <w:rsid w:val="00023073"/>
    <w:rsid w:val="00024C68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855DF"/>
    <w:rsid w:val="00085C87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9E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084"/>
    <w:rsid w:val="00147318"/>
    <w:rsid w:val="0015001D"/>
    <w:rsid w:val="00152363"/>
    <w:rsid w:val="00156C5F"/>
    <w:rsid w:val="00157C41"/>
    <w:rsid w:val="001617F8"/>
    <w:rsid w:val="00161900"/>
    <w:rsid w:val="00166E7D"/>
    <w:rsid w:val="001672CD"/>
    <w:rsid w:val="00182E29"/>
    <w:rsid w:val="00186543"/>
    <w:rsid w:val="00186C70"/>
    <w:rsid w:val="0019563C"/>
    <w:rsid w:val="001A139E"/>
    <w:rsid w:val="001A243B"/>
    <w:rsid w:val="001B4B68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5C48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599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4E98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546"/>
    <w:rsid w:val="002F7A26"/>
    <w:rsid w:val="003001CB"/>
    <w:rsid w:val="00300B33"/>
    <w:rsid w:val="00316CA6"/>
    <w:rsid w:val="003244ED"/>
    <w:rsid w:val="003248E8"/>
    <w:rsid w:val="00331AFA"/>
    <w:rsid w:val="00333043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4288"/>
    <w:rsid w:val="0037636F"/>
    <w:rsid w:val="0038219E"/>
    <w:rsid w:val="00382620"/>
    <w:rsid w:val="003838D9"/>
    <w:rsid w:val="00383E83"/>
    <w:rsid w:val="00397294"/>
    <w:rsid w:val="00397876"/>
    <w:rsid w:val="003A4B0D"/>
    <w:rsid w:val="003A6982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3F78F4"/>
    <w:rsid w:val="00402F6E"/>
    <w:rsid w:val="00405F0E"/>
    <w:rsid w:val="004063F6"/>
    <w:rsid w:val="00406B24"/>
    <w:rsid w:val="004079C5"/>
    <w:rsid w:val="0041180F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4654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281"/>
    <w:rsid w:val="004F6432"/>
    <w:rsid w:val="004F6D5E"/>
    <w:rsid w:val="004F7055"/>
    <w:rsid w:val="004F71C3"/>
    <w:rsid w:val="004F7D4E"/>
    <w:rsid w:val="00503C6C"/>
    <w:rsid w:val="005053BB"/>
    <w:rsid w:val="0050664A"/>
    <w:rsid w:val="005066A2"/>
    <w:rsid w:val="00510EB6"/>
    <w:rsid w:val="005168D3"/>
    <w:rsid w:val="00532AC2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3426"/>
    <w:rsid w:val="0058442C"/>
    <w:rsid w:val="0058513F"/>
    <w:rsid w:val="00591838"/>
    <w:rsid w:val="005971F2"/>
    <w:rsid w:val="005A4030"/>
    <w:rsid w:val="005A430D"/>
    <w:rsid w:val="005A7C9D"/>
    <w:rsid w:val="005B39C2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0583"/>
    <w:rsid w:val="00602133"/>
    <w:rsid w:val="00602D6A"/>
    <w:rsid w:val="00605738"/>
    <w:rsid w:val="00607646"/>
    <w:rsid w:val="00611841"/>
    <w:rsid w:val="006122E4"/>
    <w:rsid w:val="00612337"/>
    <w:rsid w:val="0061368A"/>
    <w:rsid w:val="006203AC"/>
    <w:rsid w:val="00620CD1"/>
    <w:rsid w:val="006213C4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23D2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5A01"/>
    <w:rsid w:val="007975B2"/>
    <w:rsid w:val="0079779E"/>
    <w:rsid w:val="007A34EF"/>
    <w:rsid w:val="007A392E"/>
    <w:rsid w:val="007A4FB9"/>
    <w:rsid w:val="007A5C3D"/>
    <w:rsid w:val="007A7B3A"/>
    <w:rsid w:val="007B0FD6"/>
    <w:rsid w:val="007B27B8"/>
    <w:rsid w:val="007B2AFD"/>
    <w:rsid w:val="007C30B7"/>
    <w:rsid w:val="007D1A5D"/>
    <w:rsid w:val="007D1A94"/>
    <w:rsid w:val="007D25FB"/>
    <w:rsid w:val="007D4873"/>
    <w:rsid w:val="007D67C2"/>
    <w:rsid w:val="007D6CB8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7E5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B0B54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78F8"/>
    <w:rsid w:val="008F042C"/>
    <w:rsid w:val="008F77E7"/>
    <w:rsid w:val="0090023A"/>
    <w:rsid w:val="00902485"/>
    <w:rsid w:val="00902580"/>
    <w:rsid w:val="00902FEC"/>
    <w:rsid w:val="00903F20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03D2"/>
    <w:rsid w:val="009603D7"/>
    <w:rsid w:val="00962204"/>
    <w:rsid w:val="00964901"/>
    <w:rsid w:val="009669B2"/>
    <w:rsid w:val="009673B2"/>
    <w:rsid w:val="00967B83"/>
    <w:rsid w:val="00972F7F"/>
    <w:rsid w:val="00975369"/>
    <w:rsid w:val="0097646F"/>
    <w:rsid w:val="009801FE"/>
    <w:rsid w:val="00982452"/>
    <w:rsid w:val="00983692"/>
    <w:rsid w:val="00984413"/>
    <w:rsid w:val="00985DD0"/>
    <w:rsid w:val="0098758A"/>
    <w:rsid w:val="00995B37"/>
    <w:rsid w:val="009A1F68"/>
    <w:rsid w:val="009A7E57"/>
    <w:rsid w:val="009B5BEB"/>
    <w:rsid w:val="009B7DA8"/>
    <w:rsid w:val="009C66C5"/>
    <w:rsid w:val="009D19B1"/>
    <w:rsid w:val="009D1A56"/>
    <w:rsid w:val="009D284B"/>
    <w:rsid w:val="009D7B77"/>
    <w:rsid w:val="009E16DF"/>
    <w:rsid w:val="009E6CC5"/>
    <w:rsid w:val="009E74E1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1DB"/>
    <w:rsid w:val="00A10543"/>
    <w:rsid w:val="00A11124"/>
    <w:rsid w:val="00A12DD8"/>
    <w:rsid w:val="00A12E4F"/>
    <w:rsid w:val="00A16983"/>
    <w:rsid w:val="00A20CC5"/>
    <w:rsid w:val="00A23FD9"/>
    <w:rsid w:val="00A2453B"/>
    <w:rsid w:val="00A248F9"/>
    <w:rsid w:val="00A31301"/>
    <w:rsid w:val="00A33FCF"/>
    <w:rsid w:val="00A343C1"/>
    <w:rsid w:val="00A41F1C"/>
    <w:rsid w:val="00A45F01"/>
    <w:rsid w:val="00A50896"/>
    <w:rsid w:val="00A55954"/>
    <w:rsid w:val="00A636B1"/>
    <w:rsid w:val="00A63F2E"/>
    <w:rsid w:val="00A705C0"/>
    <w:rsid w:val="00A739DB"/>
    <w:rsid w:val="00A74094"/>
    <w:rsid w:val="00A740C1"/>
    <w:rsid w:val="00A75912"/>
    <w:rsid w:val="00A87D2E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11C0"/>
    <w:rsid w:val="00AE35CC"/>
    <w:rsid w:val="00AE5A85"/>
    <w:rsid w:val="00AE62B7"/>
    <w:rsid w:val="00AF1BF7"/>
    <w:rsid w:val="00AF6A3B"/>
    <w:rsid w:val="00AF72CA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67726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04EB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DBD"/>
    <w:rsid w:val="00CF6C94"/>
    <w:rsid w:val="00D0123B"/>
    <w:rsid w:val="00D03288"/>
    <w:rsid w:val="00D10630"/>
    <w:rsid w:val="00D208AB"/>
    <w:rsid w:val="00D20D9B"/>
    <w:rsid w:val="00D215D1"/>
    <w:rsid w:val="00D21868"/>
    <w:rsid w:val="00D218C3"/>
    <w:rsid w:val="00D22102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45EE"/>
    <w:rsid w:val="00D55128"/>
    <w:rsid w:val="00D575C0"/>
    <w:rsid w:val="00D6317F"/>
    <w:rsid w:val="00D666E7"/>
    <w:rsid w:val="00D72D5D"/>
    <w:rsid w:val="00D735F4"/>
    <w:rsid w:val="00D740C3"/>
    <w:rsid w:val="00D80F18"/>
    <w:rsid w:val="00D816AE"/>
    <w:rsid w:val="00D83580"/>
    <w:rsid w:val="00D8511E"/>
    <w:rsid w:val="00D85E7A"/>
    <w:rsid w:val="00D863A1"/>
    <w:rsid w:val="00D90611"/>
    <w:rsid w:val="00DA11F8"/>
    <w:rsid w:val="00DB2DF9"/>
    <w:rsid w:val="00DB3E04"/>
    <w:rsid w:val="00DB432E"/>
    <w:rsid w:val="00DC0B15"/>
    <w:rsid w:val="00DC1762"/>
    <w:rsid w:val="00DC541A"/>
    <w:rsid w:val="00DC5574"/>
    <w:rsid w:val="00DC62AA"/>
    <w:rsid w:val="00DD18AC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E6E30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15165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69E3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26B3"/>
    <w:rsid w:val="00EC4088"/>
    <w:rsid w:val="00EC77BE"/>
    <w:rsid w:val="00ED01FF"/>
    <w:rsid w:val="00ED24E1"/>
    <w:rsid w:val="00ED4305"/>
    <w:rsid w:val="00ED517A"/>
    <w:rsid w:val="00EE1868"/>
    <w:rsid w:val="00EE2E04"/>
    <w:rsid w:val="00EE405D"/>
    <w:rsid w:val="00EE4B03"/>
    <w:rsid w:val="00EE63A3"/>
    <w:rsid w:val="00EE6772"/>
    <w:rsid w:val="00EF010C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0EC6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978BE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1BB9"/>
    <w:rsid w:val="00FC24E6"/>
    <w:rsid w:val="00FC63E8"/>
    <w:rsid w:val="00FC7962"/>
    <w:rsid w:val="00FD0A57"/>
    <w:rsid w:val="00FD751C"/>
    <w:rsid w:val="00FE0571"/>
    <w:rsid w:val="00FE50B6"/>
    <w:rsid w:val="00FF1153"/>
    <w:rsid w:val="00FF3C6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dot.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Issuance_Rev_Sec_105-Asphalt_Mat_Density</dc:title>
  <dc:creator>Kayen, Michele</dc:creator>
  <cp:lastModifiedBy>Avgeris, Louis</cp:lastModifiedBy>
  <cp:revision>35</cp:revision>
  <cp:lastPrinted>2018-02-02T16:20:00Z</cp:lastPrinted>
  <dcterms:created xsi:type="dcterms:W3CDTF">2024-12-26T16:21:00Z</dcterms:created>
  <dcterms:modified xsi:type="dcterms:W3CDTF">2025-03-21T16:10:00Z</dcterms:modified>
</cp:coreProperties>
</file>