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032E60" w:rsidP="00B90DD2">
      <w:pPr>
        <w:pStyle w:val="Heading4"/>
        <w:rPr>
          <w:rFonts w:ascii="Times New Roman" w:hAnsi="Times New Roman"/>
          <w:b/>
          <w:bCs/>
          <w:sz w:val="32"/>
        </w:rPr>
      </w:pPr>
      <w:r>
        <w:rPr>
          <w:rFonts w:ascii="Times New Roman" w:hAnsi="Times New Roman"/>
          <w:b/>
          <w:bCs/>
          <w:sz w:val="32"/>
        </w:rPr>
        <w:t>December 23</w:t>
      </w:r>
      <w:r w:rsidR="0079281F">
        <w:rPr>
          <w:rFonts w:ascii="Times New Roman" w:hAnsi="Times New Roman"/>
          <w:b/>
          <w:bCs/>
          <w:sz w:val="32"/>
        </w:rPr>
        <w:t>, 202</w:t>
      </w:r>
      <w:r w:rsidR="00642DD1">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642DD1">
        <w:rPr>
          <w:b/>
          <w:bCs/>
          <w:sz w:val="36"/>
          <w:szCs w:val="36"/>
        </w:rPr>
        <w:t>2</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742AFA">
            <w:pPr>
              <w:spacing w:before="20" w:after="20"/>
              <w:rPr>
                <w:b/>
              </w:rPr>
            </w:pPr>
            <w:r w:rsidRPr="00D61F40">
              <w:rPr>
                <w:b/>
              </w:rPr>
              <w:lastRenderedPageBreak/>
              <w:t xml:space="preserve">Decision Nos. </w:t>
            </w:r>
            <w:r w:rsidR="00E16D35">
              <w:rPr>
                <w:b/>
              </w:rPr>
              <w:t>CO202</w:t>
            </w:r>
            <w:r w:rsidR="00742AFA">
              <w:rPr>
                <w:b/>
              </w:rPr>
              <w:t>2</w:t>
            </w:r>
            <w:r w:rsidR="00E16D35">
              <w:rPr>
                <w:b/>
              </w:rPr>
              <w:t>0013</w:t>
            </w:r>
            <w:r w:rsidR="001F1D90">
              <w:rPr>
                <w:b/>
              </w:rPr>
              <w:t xml:space="preserve"> </w:t>
            </w:r>
            <w:r>
              <w:t>dated January</w:t>
            </w:r>
            <w:r w:rsidRPr="00D61F40">
              <w:t xml:space="preserve"> </w:t>
            </w:r>
            <w:r w:rsidR="00742AFA">
              <w:t>7</w:t>
            </w:r>
            <w:r w:rsidRPr="00D61F40">
              <w:t>, 20</w:t>
            </w:r>
            <w:r w:rsidR="00E16D35">
              <w:t>2</w:t>
            </w:r>
            <w:r w:rsidR="00742AFA">
              <w:t>2</w:t>
            </w:r>
            <w:r w:rsidRPr="00D61F40">
              <w:t xml:space="preserve"> supersedes </w:t>
            </w:r>
            <w:r w:rsidRPr="00D61F40">
              <w:rPr>
                <w:b/>
              </w:rPr>
              <w:t xml:space="preserve">Decision Nos. </w:t>
            </w:r>
            <w:proofErr w:type="spellStart"/>
            <w:r w:rsidRPr="00D61F40">
              <w:rPr>
                <w:b/>
              </w:rPr>
              <w:t>CO</w:t>
            </w:r>
            <w:r w:rsidR="007C7BC5">
              <w:rPr>
                <w:b/>
              </w:rPr>
              <w:t>202</w:t>
            </w:r>
            <w:r w:rsidR="00742AFA">
              <w:rPr>
                <w:b/>
              </w:rPr>
              <w:t>1</w:t>
            </w:r>
            <w:r w:rsidRPr="00D61F40">
              <w:rPr>
                <w:b/>
              </w:rPr>
              <w:t>00</w:t>
            </w:r>
            <w:r w:rsidR="00E16D35">
              <w:rPr>
                <w:b/>
              </w:rPr>
              <w:t>1</w:t>
            </w:r>
            <w:r w:rsidR="001F1D90">
              <w:rPr>
                <w:b/>
              </w:rPr>
              <w:t>3</w:t>
            </w:r>
            <w:proofErr w:type="spellEnd"/>
            <w:r w:rsidR="001F1D90">
              <w:rPr>
                <w:b/>
              </w:rPr>
              <w:t xml:space="preserve"> </w:t>
            </w:r>
            <w:r w:rsidRPr="00D61F40">
              <w:t xml:space="preserve">dated </w:t>
            </w:r>
            <w:r>
              <w:t xml:space="preserve">January </w:t>
            </w:r>
            <w:r w:rsidR="00742AFA">
              <w:t>1</w:t>
            </w:r>
            <w:r>
              <w:t>, 20</w:t>
            </w:r>
            <w:r w:rsidR="007C7BC5">
              <w:t>2</w:t>
            </w:r>
            <w:r w:rsidR="00742AFA">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154D4" w:rsidRDefault="00AF2E30"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443432" w:rsidRDefault="00443432"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p w:rsidR="00032E60" w:rsidRPr="00B94256" w:rsidRDefault="00032E60"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3</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F154D4" w:rsidRDefault="00AF2E30" w:rsidP="002C336E">
            <w:pPr>
              <w:pStyle w:val="Footer"/>
              <w:spacing w:before="40" w:after="20"/>
              <w:jc w:val="center"/>
              <w:rPr>
                <w:rFonts w:ascii="Times New Roman" w:hAnsi="Times New Roman"/>
                <w:b/>
                <w:sz w:val="16"/>
                <w:szCs w:val="16"/>
              </w:rPr>
            </w:pPr>
            <w:r>
              <w:rPr>
                <w:rFonts w:ascii="Times New Roman" w:hAnsi="Times New Roman"/>
                <w:b/>
                <w:sz w:val="16"/>
                <w:szCs w:val="16"/>
              </w:rPr>
              <w:t>2/18/22</w:t>
            </w:r>
          </w:p>
          <w:p w:rsidR="00443432" w:rsidRDefault="00443432" w:rsidP="002C336E">
            <w:pPr>
              <w:pStyle w:val="Footer"/>
              <w:spacing w:before="40" w:after="20"/>
              <w:jc w:val="center"/>
              <w:rPr>
                <w:rFonts w:ascii="Times New Roman" w:hAnsi="Times New Roman"/>
                <w:b/>
                <w:sz w:val="16"/>
                <w:szCs w:val="16"/>
              </w:rPr>
            </w:pPr>
            <w:r>
              <w:rPr>
                <w:rFonts w:ascii="Times New Roman" w:hAnsi="Times New Roman"/>
                <w:b/>
                <w:sz w:val="16"/>
                <w:szCs w:val="16"/>
              </w:rPr>
              <w:t>2/25/22</w:t>
            </w:r>
          </w:p>
          <w:p w:rsidR="00032E60" w:rsidRPr="00140403" w:rsidRDefault="00032E60" w:rsidP="002C336E">
            <w:pPr>
              <w:pStyle w:val="Footer"/>
              <w:spacing w:before="40" w:after="20"/>
              <w:jc w:val="center"/>
              <w:rPr>
                <w:rFonts w:ascii="Times New Roman" w:hAnsi="Times New Roman"/>
                <w:b/>
                <w:sz w:val="16"/>
                <w:szCs w:val="16"/>
              </w:rPr>
            </w:pPr>
            <w:r>
              <w:rPr>
                <w:rFonts w:ascii="Times New Roman" w:hAnsi="Times New Roman"/>
                <w:b/>
                <w:sz w:val="16"/>
                <w:szCs w:val="16"/>
              </w:rPr>
              <w:t>12/23/22</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F154D4" w:rsidRDefault="00AF2E30" w:rsidP="001E74AB">
            <w:pPr>
              <w:pStyle w:val="Footer"/>
              <w:spacing w:after="40"/>
              <w:jc w:val="center"/>
              <w:rPr>
                <w:rFonts w:ascii="Times New Roman" w:hAnsi="Times New Roman"/>
                <w:b/>
                <w:sz w:val="16"/>
                <w:szCs w:val="16"/>
              </w:rPr>
            </w:pPr>
            <w:r>
              <w:rPr>
                <w:rFonts w:ascii="Times New Roman" w:hAnsi="Times New Roman"/>
                <w:b/>
                <w:sz w:val="16"/>
                <w:szCs w:val="16"/>
              </w:rPr>
              <w:t>1</w:t>
            </w:r>
          </w:p>
          <w:p w:rsidR="00443432" w:rsidRDefault="00443432" w:rsidP="006D3CF1">
            <w:pPr>
              <w:pStyle w:val="Footer"/>
              <w:spacing w:after="60"/>
              <w:jc w:val="center"/>
              <w:rPr>
                <w:rFonts w:ascii="Times New Roman" w:hAnsi="Times New Roman"/>
                <w:b/>
                <w:sz w:val="16"/>
                <w:szCs w:val="16"/>
              </w:rPr>
            </w:pPr>
            <w:r>
              <w:rPr>
                <w:rFonts w:ascii="Times New Roman" w:hAnsi="Times New Roman"/>
                <w:b/>
                <w:sz w:val="16"/>
                <w:szCs w:val="16"/>
              </w:rPr>
              <w:t>2</w:t>
            </w:r>
            <w:r w:rsidR="00EA4E86">
              <w:rPr>
                <w:rFonts w:ascii="Times New Roman" w:hAnsi="Times New Roman"/>
                <w:b/>
                <w:sz w:val="16"/>
                <w:szCs w:val="16"/>
              </w:rPr>
              <w:t>, 3, and 7</w:t>
            </w:r>
          </w:p>
          <w:p w:rsidR="00A00C33" w:rsidRPr="00B94256" w:rsidRDefault="00A00C33" w:rsidP="006D3CF1">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F154D4" w:rsidRDefault="00AF2E30" w:rsidP="0075138F">
            <w:pPr>
              <w:spacing w:after="40"/>
              <w:jc w:val="center"/>
              <w:rPr>
                <w:b/>
                <w:sz w:val="16"/>
                <w:szCs w:val="16"/>
              </w:rPr>
            </w:pPr>
            <w:r>
              <w:rPr>
                <w:b/>
                <w:sz w:val="16"/>
                <w:szCs w:val="16"/>
              </w:rPr>
              <w:t>1</w:t>
            </w:r>
          </w:p>
          <w:p w:rsidR="00443432" w:rsidRDefault="00443432" w:rsidP="0075138F">
            <w:pPr>
              <w:spacing w:after="40"/>
              <w:jc w:val="center"/>
              <w:rPr>
                <w:b/>
                <w:sz w:val="16"/>
                <w:szCs w:val="16"/>
              </w:rPr>
            </w:pPr>
            <w:r>
              <w:rPr>
                <w:b/>
                <w:sz w:val="16"/>
                <w:szCs w:val="16"/>
              </w:rPr>
              <w:t>2</w:t>
            </w:r>
          </w:p>
          <w:p w:rsidR="00032E60" w:rsidRPr="001B2022" w:rsidRDefault="00032E60" w:rsidP="0075138F">
            <w:pPr>
              <w:spacing w:after="40"/>
              <w:jc w:val="center"/>
              <w:rPr>
                <w:b/>
                <w:sz w:val="16"/>
                <w:szCs w:val="16"/>
              </w:rPr>
            </w:pPr>
            <w:r>
              <w:rPr>
                <w:b/>
                <w:sz w:val="16"/>
                <w:szCs w:val="16"/>
              </w:rPr>
              <w:t>3</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742AFA">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742AFA">
              <w:rPr>
                <w:rFonts w:ascii="Times New Roman" w:hAnsi="Times New Roman"/>
              </w:rPr>
              <w:t>2</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742AFA">
              <w:t>2</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AF2E30">
            <w:pPr>
              <w:rPr>
                <w:bCs/>
              </w:rPr>
            </w:pPr>
            <w:r>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AF2E30" w:rsidP="00D9067C">
            <w:pPr>
              <w:jc w:val="center"/>
              <w:rPr>
                <w:b/>
              </w:rPr>
            </w:pPr>
            <w:r>
              <w:rPr>
                <w:b/>
              </w:rPr>
              <w:t>1</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133381" w:rsidP="00227B39">
            <w:pPr>
              <w:jc w:val="center"/>
            </w:pPr>
            <w:r>
              <w:t>31.05</w:t>
            </w:r>
          </w:p>
        </w:tc>
        <w:tc>
          <w:tcPr>
            <w:tcW w:w="1800" w:type="dxa"/>
            <w:gridSpan w:val="2"/>
            <w:tcBorders>
              <w:top w:val="single" w:sz="4" w:space="0" w:color="auto"/>
              <w:bottom w:val="single" w:sz="4"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F72F49" w:rsidP="00A65CD3">
            <w:pPr>
              <w:jc w:val="center"/>
            </w:pPr>
            <w:r>
              <w:t>31.37</w:t>
            </w:r>
          </w:p>
        </w:tc>
        <w:tc>
          <w:tcPr>
            <w:tcW w:w="1800" w:type="dxa"/>
            <w:gridSpan w:val="2"/>
            <w:tcBorders>
              <w:top w:val="single" w:sz="4" w:space="0" w:color="auto"/>
              <w:bottom w:val="single" w:sz="12" w:space="0" w:color="auto"/>
            </w:tcBorders>
            <w:vAlign w:val="center"/>
          </w:tcPr>
          <w:p w:rsidR="00003C51" w:rsidRPr="00B53898" w:rsidRDefault="00133381" w:rsidP="00A65CD3">
            <w:pPr>
              <w:jc w:val="center"/>
            </w:pPr>
            <w:r>
              <w:t>12.35</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8E397D" w:rsidP="00A00C33">
            <w:pPr>
              <w:jc w:val="center"/>
            </w:pPr>
            <w:r w:rsidRPr="008E397D">
              <w:t>24</w:t>
            </w:r>
            <w:bookmarkStart w:id="0" w:name="_GoBack"/>
            <w:bookmarkEnd w:id="0"/>
            <w:r w:rsidRPr="008E397D">
              <w:t>.59</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685C04" w:rsidP="0034363E">
            <w:pPr>
              <w:jc w:val="center"/>
              <w:rPr>
                <w:b/>
              </w:rPr>
            </w:pPr>
            <w:r>
              <w:rPr>
                <w:b/>
              </w:rPr>
              <w:t>3</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000C1B5E">
              <w:rPr>
                <w:bCs/>
              </w:rPr>
              <w:t>Routt</w:t>
            </w:r>
            <w:r w:rsidR="0002594F">
              <w:rPr>
                <w:bCs/>
              </w:rPr>
              <w: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061260">
            <w:pPr>
              <w:jc w:val="center"/>
            </w:pPr>
            <w:r w:rsidRPr="00996880">
              <w:t>12.78</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3B71FE">
              <w:t>14.60</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13.85</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F651BA">
              <w:t>13.97</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8B6D0E" w:rsidP="00061260">
            <w:pPr>
              <w:jc w:val="center"/>
              <w:rPr>
                <w:b/>
              </w:rPr>
            </w:pPr>
            <w:r>
              <w:rPr>
                <w:b/>
              </w:rPr>
              <w:t>2</w:t>
            </w: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12.44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14.84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13.54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14.16</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13.09</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12.44</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14.87</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F10116">
              <w:t>9.42</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061260">
            <w:pPr>
              <w:jc w:val="center"/>
            </w:pPr>
            <w:r w:rsidRPr="00EF66CD">
              <w:t>12.39</w:t>
            </w:r>
            <w:r w:rsidR="008B6D0E">
              <w:t xml:space="preserve"> </w:t>
            </w:r>
            <w:r w:rsidR="008B6D0E" w:rsidRPr="00AD3A47">
              <w:rPr>
                <w:b/>
                <w:color w:val="CC0000"/>
                <w:sz w:val="24"/>
                <w:szCs w:val="24"/>
              </w:rPr>
              <w:t>**</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8B6D0E" w:rsidP="00061260">
            <w:pPr>
              <w:jc w:val="center"/>
              <w:rPr>
                <w:b/>
              </w:rPr>
            </w:pPr>
            <w:r>
              <w:rPr>
                <w:b/>
              </w:rPr>
              <w:t>2</w:t>
            </w: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061260">
            <w:pPr>
              <w:jc w:val="center"/>
            </w:pPr>
            <w:r w:rsidRPr="00EF66CD">
              <w:t>12.93</w:t>
            </w:r>
            <w:r w:rsidR="008B6D0E">
              <w:t xml:space="preserve"> </w:t>
            </w:r>
            <w:r w:rsidR="008B6D0E" w:rsidRPr="00AD3A47">
              <w:rPr>
                <w:b/>
                <w:color w:val="CC0000"/>
                <w:sz w:val="24"/>
                <w:szCs w:val="24"/>
              </w:rPr>
              <w:t>**</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8B6D0E" w:rsidP="00061260">
            <w:pPr>
              <w:jc w:val="center"/>
              <w:rPr>
                <w:b/>
              </w:rPr>
            </w:pPr>
            <w:r>
              <w:rPr>
                <w:b/>
              </w:rPr>
              <w:t>2</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5A28F2">
              <w:t>2</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061260">
            <w:pPr>
              <w:jc w:val="center"/>
            </w:pPr>
            <w:r w:rsidRPr="000E319B">
              <w:t>14.60</w:t>
            </w:r>
            <w:r w:rsidR="008B6D0E">
              <w:t xml:space="preserve"> </w:t>
            </w:r>
            <w:r w:rsidR="008B6D0E" w:rsidRPr="00AD3A47">
              <w:rPr>
                <w:b/>
                <w:color w:val="CC0000"/>
                <w:sz w:val="24"/>
                <w:szCs w:val="24"/>
              </w:rPr>
              <w:t>**</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061260">
            <w:pPr>
              <w:jc w:val="center"/>
            </w:pPr>
            <w:r w:rsidRPr="000E319B">
              <w:t>14.04</w:t>
            </w:r>
            <w:r w:rsidR="008B6D0E">
              <w:t xml:space="preserve"> </w:t>
            </w:r>
            <w:r w:rsidR="008B6D0E" w:rsidRPr="00AD3A47">
              <w:rPr>
                <w:b/>
                <w:color w:val="CC0000"/>
                <w:sz w:val="24"/>
                <w:szCs w:val="24"/>
              </w:rPr>
              <w:t>**</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8B6D0E" w:rsidP="00061260">
            <w:pPr>
              <w:jc w:val="center"/>
              <w:rPr>
                <w:b/>
              </w:rPr>
            </w:pPr>
            <w:r>
              <w:rPr>
                <w:b/>
              </w:rPr>
              <w:t>2</w:t>
            </w: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B03C6A" w:rsidRDefault="00B03C6A"/>
    <w:p w:rsidR="00D95621" w:rsidRDefault="00D95621" w:rsidP="00D95621">
      <w:pPr>
        <w:spacing w:after="120"/>
        <w:jc w:val="center"/>
      </w:pPr>
      <w:r>
        <w:rPr>
          <w:b/>
        </w:rPr>
        <w:t xml:space="preserve">MINIMUM </w:t>
      </w:r>
      <w:r w:rsidRPr="00327807">
        <w:rPr>
          <w:b/>
        </w:rPr>
        <w:t xml:space="preserve">WAGE </w:t>
      </w:r>
      <w:r>
        <w:rPr>
          <w:b/>
        </w:rPr>
        <w:t>RATES</w:t>
      </w:r>
    </w:p>
    <w:tbl>
      <w:tblPr>
        <w:tblStyle w:val="TableGrid1"/>
        <w:tblW w:w="0" w:type="auto"/>
        <w:jc w:val="center"/>
        <w:tblLayout w:type="fixed"/>
        <w:tblLook w:val="04A0" w:firstRow="1" w:lastRow="0" w:firstColumn="1" w:lastColumn="0" w:noHBand="0" w:noVBand="1"/>
      </w:tblPr>
      <w:tblGrid>
        <w:gridCol w:w="4896"/>
        <w:gridCol w:w="4896"/>
      </w:tblGrid>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sz w:val="20"/>
                <w:szCs w:val="20"/>
              </w:rPr>
            </w:pPr>
            <w:r w:rsidRPr="00770C1A">
              <w:rPr>
                <w:color w:val="212121"/>
                <w:sz w:val="20"/>
                <w:szCs w:val="20"/>
              </w:rPr>
              <w:t xml:space="preserve">Note: </w:t>
            </w:r>
          </w:p>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sz w:val="20"/>
                <w:szCs w:val="20"/>
              </w:rPr>
            </w:pPr>
            <w:r w:rsidRPr="00770C1A">
              <w:rPr>
                <w:color w:val="212121"/>
                <w:sz w:val="20"/>
                <w:szCs w:val="20"/>
              </w:rPr>
              <w:t>Contracts subject to the Davis-Bacon Act are generally required to pay at least the applicable minimum wage rate required under Executive Order 14026 or Executive Order 13658.</w:t>
            </w:r>
          </w:p>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sz w:val="20"/>
                <w:szCs w:val="20"/>
              </w:rPr>
            </w:pPr>
            <w:r w:rsidRPr="00770C1A">
              <w:rPr>
                <w:color w:val="212121"/>
                <w:sz w:val="20"/>
                <w:szCs w:val="20"/>
              </w:rPr>
              <w:t>Please note that these Executive Orders apply to covered contracts entered into by the federal government that are subject to the Davis-Bacon Act itself, but do not apply to contracts subject only to the Davis-Bacon Related Acts, including those set forth at 29 CFR 5.1(a)(2)-(60).</w:t>
            </w:r>
          </w:p>
        </w:tc>
      </w:tr>
      <w:tr w:rsidR="00D95621" w:rsidRPr="00770C1A" w:rsidTr="00451AA2">
        <w:trPr>
          <w:jc w:val="center"/>
        </w:trPr>
        <w:tc>
          <w:tcPr>
            <w:tcW w:w="4896" w:type="dxa"/>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If the contract is entered into on or after January 30, 2022, or the contract is contract is renewed or extended (e.g., an option is exercised) on or </w:t>
            </w:r>
            <w:r w:rsidR="00DB217B">
              <w:rPr>
                <w:color w:val="212121"/>
                <w:sz w:val="20"/>
                <w:szCs w:val="20"/>
              </w:rPr>
              <w:t xml:space="preserve">after </w:t>
            </w:r>
            <w:r w:rsidRPr="00770C1A">
              <w:rPr>
                <w:color w:val="212121"/>
                <w:sz w:val="20"/>
                <w:szCs w:val="20"/>
              </w:rPr>
              <w:t>January 30, 2022:</w:t>
            </w:r>
          </w:p>
        </w:tc>
        <w:tc>
          <w:tcPr>
            <w:tcW w:w="4896" w:type="dxa"/>
          </w:tcPr>
          <w:p w:rsidR="00D95621" w:rsidRPr="00770C1A" w:rsidRDefault="00D95621" w:rsidP="00451AA2">
            <w:pPr>
              <w:spacing w:before="120" w:after="120"/>
              <w:rPr>
                <w:sz w:val="20"/>
                <w:szCs w:val="20"/>
              </w:rPr>
            </w:pPr>
            <w:r w:rsidRPr="00770C1A">
              <w:rPr>
                <w:sz w:val="20"/>
                <w:szCs w:val="20"/>
              </w:rPr>
              <w:t>Executive Order 14026 generally applies to the contract. The contractor must pay all covered workers at least $15.00 per hour (or the applicable wage rate listed on this wage determination, if it is higher) for all hours spent performing on the contract in 2022.</w:t>
            </w:r>
          </w:p>
        </w:tc>
      </w:tr>
      <w:tr w:rsidR="00D95621" w:rsidRPr="00770C1A" w:rsidTr="00451AA2">
        <w:trPr>
          <w:jc w:val="center"/>
        </w:trPr>
        <w:tc>
          <w:tcPr>
            <w:tcW w:w="4896" w:type="dxa"/>
          </w:tcPr>
          <w:p w:rsidR="00D95621" w:rsidRPr="00770C1A" w:rsidRDefault="00D95621" w:rsidP="00451AA2">
            <w:pPr>
              <w:spacing w:before="120" w:after="120"/>
              <w:rPr>
                <w:sz w:val="20"/>
                <w:szCs w:val="20"/>
              </w:rPr>
            </w:pPr>
            <w:r w:rsidRPr="00770C1A">
              <w:rPr>
                <w:sz w:val="20"/>
                <w:szCs w:val="20"/>
              </w:rPr>
              <w:t xml:space="preserve">If the contract was awarded on or between January 1, 2015 and January 29, 2022, and the contract is not renewed or extended on or after January </w:t>
            </w:r>
            <w:r>
              <w:rPr>
                <w:sz w:val="20"/>
                <w:szCs w:val="20"/>
              </w:rPr>
              <w:t>30</w:t>
            </w:r>
            <w:r w:rsidRPr="00770C1A">
              <w:rPr>
                <w:sz w:val="20"/>
                <w:szCs w:val="20"/>
              </w:rPr>
              <w:t>, 2022:</w:t>
            </w:r>
          </w:p>
        </w:tc>
        <w:tc>
          <w:tcPr>
            <w:tcW w:w="4896" w:type="dxa"/>
          </w:tcPr>
          <w:p w:rsidR="00D95621" w:rsidRPr="00770C1A" w:rsidRDefault="00D95621" w:rsidP="00451AA2">
            <w:pPr>
              <w:spacing w:before="120" w:after="120"/>
              <w:rPr>
                <w:sz w:val="20"/>
                <w:szCs w:val="20"/>
              </w:rPr>
            </w:pPr>
            <w:r w:rsidRPr="00770C1A">
              <w:rPr>
                <w:sz w:val="20"/>
                <w:szCs w:val="20"/>
              </w:rPr>
              <w:t xml:space="preserve">Executive Order 13658 generally applies to the contract. The contractor must pay all covered workers at least $11.25 per hour </w:t>
            </w:r>
            <w:r>
              <w:rPr>
                <w:sz w:val="20"/>
                <w:szCs w:val="20"/>
              </w:rPr>
              <w:t>(</w:t>
            </w:r>
            <w:r w:rsidRPr="00770C1A">
              <w:rPr>
                <w:sz w:val="20"/>
                <w:szCs w:val="20"/>
              </w:rPr>
              <w:t>or applicable wage rate listed on this wage determination, if it is higher) for all hours spent performing on that contract in 2022.</w:t>
            </w:r>
          </w:p>
        </w:tc>
      </w:tr>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The applicable Executive Order minimum wage rate will be adjusted annually. If this contract is covered by one of the Executive Orders and a classification considered necessary for performance of work on the contract does not appear on this wage determination, the contractor must still submit a conformance request.</w:t>
            </w:r>
          </w:p>
        </w:tc>
      </w:tr>
      <w:tr w:rsidR="00D95621" w:rsidRPr="00770C1A" w:rsidTr="00451AA2">
        <w:trPr>
          <w:jc w:val="center"/>
        </w:trPr>
        <w:tc>
          <w:tcPr>
            <w:tcW w:w="4896" w:type="dxa"/>
            <w:gridSpan w:val="2"/>
            <w:shd w:val="clear" w:color="auto" w:fill="FFFFCC"/>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color w:val="212121"/>
                <w:sz w:val="20"/>
                <w:szCs w:val="20"/>
              </w:rPr>
            </w:pPr>
            <w:r w:rsidRPr="00AD3A47">
              <w:rPr>
                <w:b/>
                <w:color w:val="CC0000"/>
                <w:szCs w:val="24"/>
              </w:rPr>
              <w:t>**</w:t>
            </w:r>
            <w:r w:rsidRPr="00770C1A">
              <w:rPr>
                <w:b/>
                <w:color w:val="212121"/>
                <w:sz w:val="20"/>
                <w:szCs w:val="20"/>
              </w:rPr>
              <w:t xml:space="preserve"> Workers in this classification may be entitled to a higher minimum wage under Executive Order 14026 ($15.00) or 13658 ($11.25).  Please see the Note at the top of th</w:t>
            </w:r>
            <w:r w:rsidRPr="00711D63">
              <w:rPr>
                <w:b/>
                <w:color w:val="212121"/>
                <w:sz w:val="20"/>
                <w:szCs w:val="20"/>
              </w:rPr>
              <w:t>is table</w:t>
            </w:r>
            <w:r w:rsidRPr="00770C1A">
              <w:rPr>
                <w:b/>
                <w:color w:val="212121"/>
                <w:sz w:val="20"/>
                <w:szCs w:val="20"/>
              </w:rPr>
              <w:t xml:space="preserve"> for more information.</w:t>
            </w:r>
          </w:p>
        </w:tc>
      </w:tr>
      <w:tr w:rsidR="00D95621" w:rsidRPr="00770C1A" w:rsidTr="00451AA2">
        <w:trPr>
          <w:jc w:val="center"/>
        </w:trPr>
        <w:tc>
          <w:tcPr>
            <w:tcW w:w="4896" w:type="dxa"/>
            <w:gridSpan w:val="2"/>
          </w:tcPr>
          <w:p w:rsidR="00D95621" w:rsidRPr="00770C1A" w:rsidRDefault="00D95621" w:rsidP="0045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sz w:val="20"/>
                <w:szCs w:val="20"/>
              </w:rPr>
            </w:pPr>
            <w:r w:rsidRPr="00770C1A">
              <w:rPr>
                <w:color w:val="212121"/>
                <w:sz w:val="20"/>
                <w:szCs w:val="20"/>
              </w:rPr>
              <w:t xml:space="preserve">For further information, please click on this link: </w:t>
            </w:r>
            <w:hyperlink r:id="rId11" w:history="1">
              <w:r w:rsidRPr="00770C1A">
                <w:rPr>
                  <w:color w:val="0563C1"/>
                  <w:sz w:val="20"/>
                  <w:szCs w:val="20"/>
                  <w:u w:val="single"/>
                </w:rPr>
                <w:t>https://www.dol.gov/agencies/whd/government-contracts/eo14026</w:t>
              </w:r>
            </w:hyperlink>
          </w:p>
        </w:tc>
      </w:tr>
    </w:tbl>
    <w:p w:rsidR="00B03C6A" w:rsidRDefault="00B03C6A"/>
    <w:p w:rsidR="00B03C6A" w:rsidRDefault="00B03C6A"/>
    <w:p w:rsidR="00B03C6A" w:rsidRDefault="00B03C6A">
      <w:r>
        <w:br w:type="page"/>
      </w:r>
    </w:p>
    <w:p w:rsidR="00B03C6A" w:rsidRDefault="00B03C6A" w:rsidP="00247DDB"/>
    <w:p w:rsidR="00247DDB" w:rsidRPr="00247DDB" w:rsidRDefault="00247DDB" w:rsidP="00247DDB">
      <w:r w:rsidRPr="00247DDB">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5A28F2">
        <w:rPr>
          <w:b/>
          <w:sz w:val="24"/>
          <w:szCs w:val="24"/>
          <w:u w:val="single"/>
        </w:rPr>
        <w:t>2</w:t>
      </w:r>
      <w:r w:rsidR="00E16D35">
        <w:rPr>
          <w:b/>
          <w:sz w:val="24"/>
          <w:szCs w:val="24"/>
          <w:u w:val="single"/>
        </w:rPr>
        <w:t>0013</w:t>
      </w:r>
    </w:p>
    <w:sectPr w:rsidR="0019508D" w:rsidRPr="00EB13C3" w:rsidSect="001F6708">
      <w:headerReference w:type="default" r:id="rId12"/>
      <w:headerReference w:type="first" r:id="rId13"/>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DF" w:rsidRDefault="00B035DF">
      <w:r>
        <w:separator/>
      </w:r>
    </w:p>
  </w:endnote>
  <w:endnote w:type="continuationSeparator" w:id="0">
    <w:p w:rsidR="00B035DF" w:rsidRDefault="00B0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DF" w:rsidRDefault="00B035DF">
      <w:r>
        <w:separator/>
      </w:r>
    </w:p>
  </w:footnote>
  <w:footnote w:type="continuationSeparator" w:id="0">
    <w:p w:rsidR="00B035DF" w:rsidRDefault="00B03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8E397D">
      <w:rPr>
        <w:noProof/>
      </w:rPr>
      <w:t>9</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032E60">
      <w:t>December 23</w:t>
    </w:r>
    <w:r w:rsidR="00132DBB">
      <w:t>,</w:t>
    </w:r>
    <w:r w:rsidR="006B5E34">
      <w:t xml:space="preserve"> 202</w:t>
    </w:r>
    <w:r w:rsidR="00742AFA">
      <w:t>2</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742AFA">
      <w:t>2</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594F"/>
    <w:rsid w:val="000270D5"/>
    <w:rsid w:val="00027468"/>
    <w:rsid w:val="00030B2E"/>
    <w:rsid w:val="00032E60"/>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B5E"/>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67822"/>
    <w:rsid w:val="0067102F"/>
    <w:rsid w:val="006717B4"/>
    <w:rsid w:val="006720C1"/>
    <w:rsid w:val="0067227F"/>
    <w:rsid w:val="00672AE7"/>
    <w:rsid w:val="00673ADF"/>
    <w:rsid w:val="006759A3"/>
    <w:rsid w:val="006762AD"/>
    <w:rsid w:val="006815E7"/>
    <w:rsid w:val="00685244"/>
    <w:rsid w:val="00685AA3"/>
    <w:rsid w:val="00685C04"/>
    <w:rsid w:val="00687DC8"/>
    <w:rsid w:val="00690458"/>
    <w:rsid w:val="006924AD"/>
    <w:rsid w:val="0069525A"/>
    <w:rsid w:val="00695523"/>
    <w:rsid w:val="00696CDC"/>
    <w:rsid w:val="00696F6E"/>
    <w:rsid w:val="006A025D"/>
    <w:rsid w:val="006A1D5F"/>
    <w:rsid w:val="006A4758"/>
    <w:rsid w:val="006A59B2"/>
    <w:rsid w:val="006B07E8"/>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D92"/>
    <w:rsid w:val="008C119F"/>
    <w:rsid w:val="008C3162"/>
    <w:rsid w:val="008C3D23"/>
    <w:rsid w:val="008C4CFE"/>
    <w:rsid w:val="008C5FFD"/>
    <w:rsid w:val="008D24BF"/>
    <w:rsid w:val="008D4D80"/>
    <w:rsid w:val="008D5432"/>
    <w:rsid w:val="008D5B59"/>
    <w:rsid w:val="008D62F9"/>
    <w:rsid w:val="008E1A66"/>
    <w:rsid w:val="008E397D"/>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A00A69"/>
    <w:rsid w:val="00A00C33"/>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5DF"/>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9054A"/>
    <w:rsid w:val="00C92F8F"/>
    <w:rsid w:val="00C93EA3"/>
    <w:rsid w:val="00C94E89"/>
    <w:rsid w:val="00C95DC3"/>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0C6"/>
    <w:rsid w:val="00D07948"/>
    <w:rsid w:val="00D100D4"/>
    <w:rsid w:val="00D17E95"/>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33E7E"/>
    <w:rsid w:val="00F3633D"/>
    <w:rsid w:val="00F36DF0"/>
    <w:rsid w:val="00F40E2E"/>
    <w:rsid w:val="00F434E0"/>
    <w:rsid w:val="00F458F6"/>
    <w:rsid w:val="00F52885"/>
    <w:rsid w:val="00F530D2"/>
    <w:rsid w:val="00F544E7"/>
    <w:rsid w:val="00F54912"/>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23289663"/>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agencies/whd/government-contracts/eo140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25C2B-3190-49FC-93AB-9F14B547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73</cp:revision>
  <cp:lastPrinted>2018-01-05T23:42:00Z</cp:lastPrinted>
  <dcterms:created xsi:type="dcterms:W3CDTF">2018-03-04T12:02:00Z</dcterms:created>
  <dcterms:modified xsi:type="dcterms:W3CDTF">2022-12-27T21:25:00Z</dcterms:modified>
</cp:coreProperties>
</file>