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D5B5" w14:textId="2392D553" w:rsidR="008D0E3C" w:rsidRPr="001017DC" w:rsidRDefault="008D0E3C" w:rsidP="001017DC">
      <w:pPr>
        <w:tabs>
          <w:tab w:val="right" w:pos="8640"/>
        </w:tabs>
        <w:rPr>
          <w:rFonts w:ascii="Trebuchet MS" w:hAnsi="Trebuchet MS"/>
          <w:sz w:val="24"/>
          <w:szCs w:val="24"/>
        </w:rPr>
      </w:pPr>
      <w:r w:rsidRPr="001017DC">
        <w:rPr>
          <w:rFonts w:ascii="Trebuchet MS" w:hAnsi="Trebuchet MS"/>
          <w:sz w:val="24"/>
          <w:szCs w:val="24"/>
        </w:rPr>
        <w:tab/>
      </w:r>
    </w:p>
    <w:p w14:paraId="52FB5366"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0EBB574F" w14:textId="77777777" w:rsidR="008D0E3C" w:rsidRPr="001017DC" w:rsidRDefault="008D0E3C" w:rsidP="00D5685B">
      <w:pPr>
        <w:overflowPunct w:val="0"/>
        <w:autoSpaceDE w:val="0"/>
        <w:autoSpaceDN w:val="0"/>
        <w:adjustRightInd w:val="0"/>
        <w:textAlignment w:val="baseline"/>
        <w:rPr>
          <w:rFonts w:ascii="Trebuchet MS" w:hAnsi="Trebuchet MS"/>
          <w:b/>
          <w:bCs/>
          <w:color w:val="000000"/>
          <w:sz w:val="24"/>
          <w:szCs w:val="24"/>
        </w:rPr>
      </w:pPr>
      <w:r w:rsidRPr="001017DC">
        <w:rPr>
          <w:rFonts w:ascii="Trebuchet MS" w:hAnsi="Trebuchet MS"/>
          <w:b/>
          <w:bCs/>
          <w:color w:val="000000"/>
          <w:sz w:val="24"/>
          <w:szCs w:val="24"/>
        </w:rPr>
        <w:t xml:space="preserve">Section 403 of the Standard Specifications is hereby revised for this project to include the following: </w:t>
      </w:r>
    </w:p>
    <w:p w14:paraId="441130B7" w14:textId="77777777" w:rsidR="008D0E3C" w:rsidRPr="001017DC" w:rsidRDefault="008D0E3C" w:rsidP="00D5685B">
      <w:pPr>
        <w:overflowPunct w:val="0"/>
        <w:autoSpaceDE w:val="0"/>
        <w:autoSpaceDN w:val="0"/>
        <w:adjustRightInd w:val="0"/>
        <w:jc w:val="center"/>
        <w:textAlignment w:val="baseline"/>
        <w:rPr>
          <w:rFonts w:ascii="Trebuchet MS" w:hAnsi="Trebuchet MS"/>
          <w:b/>
          <w:bCs/>
          <w:color w:val="000000"/>
          <w:sz w:val="24"/>
          <w:szCs w:val="24"/>
        </w:rPr>
      </w:pPr>
    </w:p>
    <w:p w14:paraId="6286AD1A" w14:textId="2566D459" w:rsidR="008D0E3C" w:rsidRPr="001017DC" w:rsidRDefault="001017DC" w:rsidP="001017DC">
      <w:pPr>
        <w:pStyle w:val="Heading2"/>
      </w:pPr>
      <w:r w:rsidRPr="001017DC">
        <w:t xml:space="preserve">Description </w:t>
      </w:r>
    </w:p>
    <w:p w14:paraId="63ABA95E" w14:textId="77777777" w:rsidR="008D0E3C" w:rsidRPr="001017DC" w:rsidRDefault="008D0E3C" w:rsidP="00D5685B">
      <w:pPr>
        <w:overflowPunct w:val="0"/>
        <w:autoSpaceDE w:val="0"/>
        <w:autoSpaceDN w:val="0"/>
        <w:adjustRightInd w:val="0"/>
        <w:jc w:val="center"/>
        <w:textAlignment w:val="baseline"/>
        <w:rPr>
          <w:rFonts w:ascii="Trebuchet MS" w:hAnsi="Trebuchet MS"/>
          <w:color w:val="000000"/>
          <w:sz w:val="24"/>
          <w:szCs w:val="24"/>
        </w:rPr>
      </w:pPr>
    </w:p>
    <w:p w14:paraId="4B8D5CB4"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This work consists of constructing one test section of Hot Mix Asphalt (HMA) using polyphosphoric acid (PPA)-modified binder in accordance with these specifications and in conformity with the lines and details shown on the plans or established. </w:t>
      </w:r>
    </w:p>
    <w:p w14:paraId="092A5244" w14:textId="77777777" w:rsidR="008D0E3C" w:rsidRPr="001017DC" w:rsidRDefault="008D0E3C" w:rsidP="00D5685B">
      <w:pPr>
        <w:overflowPunct w:val="0"/>
        <w:autoSpaceDE w:val="0"/>
        <w:autoSpaceDN w:val="0"/>
        <w:adjustRightInd w:val="0"/>
        <w:jc w:val="center"/>
        <w:textAlignment w:val="baseline"/>
        <w:rPr>
          <w:rFonts w:ascii="Trebuchet MS" w:hAnsi="Trebuchet MS"/>
          <w:b/>
          <w:bCs/>
          <w:color w:val="000000"/>
          <w:sz w:val="24"/>
          <w:szCs w:val="24"/>
        </w:rPr>
      </w:pPr>
    </w:p>
    <w:p w14:paraId="37A2AB42" w14:textId="0E06F33C" w:rsidR="008D0E3C" w:rsidRPr="001017DC" w:rsidRDefault="001017DC" w:rsidP="001017DC">
      <w:pPr>
        <w:pStyle w:val="Heading2"/>
      </w:pPr>
      <w:r w:rsidRPr="001017DC">
        <w:t xml:space="preserve">Materials </w:t>
      </w:r>
    </w:p>
    <w:p w14:paraId="7690D16C" w14:textId="77777777" w:rsidR="008D0E3C" w:rsidRPr="001017DC" w:rsidRDefault="008D0E3C" w:rsidP="00D5685B">
      <w:pPr>
        <w:overflowPunct w:val="0"/>
        <w:autoSpaceDE w:val="0"/>
        <w:autoSpaceDN w:val="0"/>
        <w:adjustRightInd w:val="0"/>
        <w:jc w:val="center"/>
        <w:textAlignment w:val="baseline"/>
        <w:rPr>
          <w:rFonts w:ascii="Trebuchet MS" w:hAnsi="Trebuchet MS"/>
          <w:color w:val="000000"/>
          <w:sz w:val="24"/>
          <w:szCs w:val="24"/>
        </w:rPr>
      </w:pPr>
    </w:p>
    <w:p w14:paraId="2CBF2342"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Hot Mix Asphalt (PPA) shall be HMA produced with PPA-modified binder. Unless otherwise recommended by the supplier of the PPA-modified binder, PPA shall be added to the binder during manufacture at a rate of 0.5 percent of the binder mass. The PPA-modified binder shall satisfy all current CDOT binder specifications as detailed in Section 702, except that 0.5 percent polyphosphoric acid will be allowed in the binder used for the HMA placed in the test section. Binder manufactured without PPA will not be allowed for use in the test section. The binder manufacturer shall be certified to supply binder to CDOT in accordance with CP-11.  PPA modified binder used in warm mix asphalt shall be compatible with warm mix asphalt technology.</w:t>
      </w:r>
    </w:p>
    <w:p w14:paraId="3BB85ABE"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2A7DF49B" w14:textId="410561D8" w:rsidR="008D0E3C" w:rsidRPr="001017DC" w:rsidRDefault="001017DC" w:rsidP="001017DC">
      <w:pPr>
        <w:pStyle w:val="Heading2"/>
      </w:pPr>
      <w:r w:rsidRPr="001017DC">
        <w:t>Construction Requirements</w:t>
      </w:r>
      <w:r w:rsidR="008D0E3C" w:rsidRPr="001017DC">
        <w:t xml:space="preserve"> </w:t>
      </w:r>
    </w:p>
    <w:p w14:paraId="3D1DA005" w14:textId="77777777" w:rsidR="008D0E3C" w:rsidRPr="001017DC" w:rsidRDefault="008D0E3C" w:rsidP="00D5685B">
      <w:pPr>
        <w:overflowPunct w:val="0"/>
        <w:autoSpaceDE w:val="0"/>
        <w:autoSpaceDN w:val="0"/>
        <w:adjustRightInd w:val="0"/>
        <w:jc w:val="center"/>
        <w:textAlignment w:val="baseline"/>
        <w:rPr>
          <w:rFonts w:ascii="Trebuchet MS" w:hAnsi="Trebuchet MS"/>
          <w:color w:val="000000"/>
          <w:sz w:val="24"/>
          <w:szCs w:val="24"/>
        </w:rPr>
      </w:pPr>
    </w:p>
    <w:p w14:paraId="3490C51F"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The PPA-modified binder shall be introduced into the Contractor’s plant in accordance with the binder manufacturer’s recommendations. </w:t>
      </w:r>
    </w:p>
    <w:p w14:paraId="30E6FFEB"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28F4A30E" w14:textId="0BED10D9"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One test section shall be placed using the PPA-modified HMA. The test section shall be placed as </w:t>
      </w:r>
      <w:r w:rsidR="001017DC" w:rsidRPr="001017DC">
        <w:rPr>
          <w:rFonts w:ascii="Trebuchet MS" w:hAnsi="Trebuchet MS"/>
          <w:color w:val="000000"/>
          <w:sz w:val="24"/>
          <w:szCs w:val="24"/>
        </w:rPr>
        <w:t>directed but</w:t>
      </w:r>
      <w:r w:rsidRPr="001017DC">
        <w:rPr>
          <w:rFonts w:ascii="Trebuchet MS" w:hAnsi="Trebuchet MS"/>
          <w:color w:val="000000"/>
          <w:sz w:val="24"/>
          <w:szCs w:val="24"/>
        </w:rPr>
        <w:t xml:space="preserve"> shall not be placed until the conventional HMA used on the project has been verified and has been produced in accordance with specifications for at least 5,000 tons. The test section shall consist of approximately 1000 tons of </w:t>
      </w:r>
      <w:r w:rsidR="001017DC" w:rsidRPr="001017DC">
        <w:rPr>
          <w:rFonts w:ascii="Trebuchet MS" w:hAnsi="Trebuchet MS"/>
          <w:color w:val="000000"/>
          <w:sz w:val="24"/>
          <w:szCs w:val="24"/>
        </w:rPr>
        <w:t>mix,</w:t>
      </w:r>
      <w:r w:rsidRPr="001017DC">
        <w:rPr>
          <w:rFonts w:ascii="Trebuchet MS" w:hAnsi="Trebuchet MS"/>
          <w:color w:val="000000"/>
          <w:sz w:val="24"/>
          <w:szCs w:val="24"/>
        </w:rPr>
        <w:t xml:space="preserve"> or the quantity of mix required to utilize two 6,000-gallon transport trucks of the PPA-modified binder. The mixture comprising the test section shall be the approved HMA mix </w:t>
      </w:r>
      <w:r w:rsidR="001017DC" w:rsidRPr="001017DC">
        <w:rPr>
          <w:rFonts w:ascii="Trebuchet MS" w:hAnsi="Trebuchet MS"/>
          <w:color w:val="000000"/>
          <w:sz w:val="24"/>
          <w:szCs w:val="24"/>
        </w:rPr>
        <w:t>design but</w:t>
      </w:r>
      <w:r w:rsidRPr="001017DC">
        <w:rPr>
          <w:rFonts w:ascii="Trebuchet MS" w:hAnsi="Trebuchet MS"/>
          <w:color w:val="000000"/>
          <w:sz w:val="24"/>
          <w:szCs w:val="24"/>
        </w:rPr>
        <w:t xml:space="preserve"> shall include the prescribed PPA-modified binder rather than the binder approved for use in the approved HMA mix design.  The </w:t>
      </w:r>
      <w:r w:rsidR="00B8361C" w:rsidRPr="001017DC">
        <w:rPr>
          <w:rFonts w:ascii="Trebuchet MS" w:hAnsi="Trebuchet MS"/>
          <w:color w:val="000000"/>
          <w:sz w:val="24"/>
          <w:szCs w:val="24"/>
        </w:rPr>
        <w:t xml:space="preserve"> Contractor</w:t>
      </w:r>
      <w:r w:rsidRPr="001017DC">
        <w:rPr>
          <w:rFonts w:ascii="Trebuchet MS" w:hAnsi="Trebuchet MS"/>
          <w:color w:val="000000"/>
          <w:sz w:val="24"/>
          <w:szCs w:val="24"/>
        </w:rPr>
        <w:t xml:space="preserve"> shall prepare and test the PPA-modified HMA at the  </w:t>
      </w:r>
      <w:r w:rsidR="00053686" w:rsidRPr="001017DC">
        <w:rPr>
          <w:rFonts w:ascii="Trebuchet MS" w:hAnsi="Trebuchet MS"/>
          <w:color w:val="000000"/>
          <w:sz w:val="24"/>
          <w:szCs w:val="24"/>
        </w:rPr>
        <w:t xml:space="preserve">Form 43 </w:t>
      </w:r>
      <w:r w:rsidRPr="001017DC">
        <w:rPr>
          <w:rFonts w:ascii="Trebuchet MS" w:hAnsi="Trebuchet MS"/>
          <w:color w:val="000000"/>
          <w:sz w:val="24"/>
          <w:szCs w:val="24"/>
        </w:rPr>
        <w:t>target AC content prior to placement. Unless otherwise approved, the test section mix production targets shall be as prescribed on the current Form#43 at the time of test section construction. Plant mixing temperature and placement temperature shall be in accordance with manufacturer’s recommendations.</w:t>
      </w:r>
    </w:p>
    <w:p w14:paraId="4C200AE7"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044F3050" w14:textId="3F7C3DB6"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The </w:t>
      </w:r>
      <w:r w:rsidR="00B8361C" w:rsidRPr="001017DC">
        <w:rPr>
          <w:rFonts w:ascii="Trebuchet MS" w:hAnsi="Trebuchet MS"/>
          <w:color w:val="000000"/>
          <w:sz w:val="24"/>
          <w:szCs w:val="24"/>
        </w:rPr>
        <w:t xml:space="preserve"> Contractor</w:t>
      </w:r>
      <w:r w:rsidRPr="001017DC">
        <w:rPr>
          <w:rFonts w:ascii="Trebuchet MS" w:hAnsi="Trebuchet MS"/>
          <w:color w:val="000000"/>
          <w:sz w:val="24"/>
          <w:szCs w:val="24"/>
        </w:rPr>
        <w:t xml:space="preserve"> may, at their cost, place and test material off-site prior to placement on the project test section. The Contractor shall verify their current compaction process at the </w:t>
      </w:r>
      <w:r w:rsidRPr="001017DC">
        <w:rPr>
          <w:rFonts w:ascii="Trebuchet MS" w:hAnsi="Trebuchet MS"/>
          <w:color w:val="000000"/>
          <w:sz w:val="24"/>
          <w:szCs w:val="24"/>
        </w:rPr>
        <w:lastRenderedPageBreak/>
        <w:t>start of the test section in accordance with Section 401. QC density testing shall be conducted at a frequency of one per 250 tons, minimum, during test section placement.</w:t>
      </w:r>
    </w:p>
    <w:p w14:paraId="6CFD3238"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1096FECD"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Unless otherwise approved, acceptance testing for the test section shall be in accordance with Standard Specifications for HMA acceptance. If approved, the test section may have element pay factors set equal to one and may be excluded as areas for sampling for joint density. </w:t>
      </w:r>
    </w:p>
    <w:p w14:paraId="0BB9B28D" w14:textId="77777777" w:rsidR="008D0E3C" w:rsidRPr="001017DC" w:rsidRDefault="008D0E3C" w:rsidP="00D5685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overflowPunct w:val="0"/>
        <w:autoSpaceDE w:val="0"/>
        <w:autoSpaceDN w:val="0"/>
        <w:adjustRightInd w:val="0"/>
        <w:spacing w:line="240" w:lineRule="atLeast"/>
        <w:textAlignment w:val="baseline"/>
        <w:rPr>
          <w:rFonts w:ascii="Trebuchet MS" w:hAnsi="Trebuchet MS"/>
          <w:sz w:val="24"/>
          <w:szCs w:val="24"/>
        </w:rPr>
      </w:pPr>
    </w:p>
    <w:p w14:paraId="6E0387E9" w14:textId="1C5853C0"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Additional data collection, sampling and testing may be conducted during test section construction. The  </w:t>
      </w:r>
      <w:r w:rsidR="00B8361C" w:rsidRPr="001017DC">
        <w:rPr>
          <w:rFonts w:ascii="Trebuchet MS" w:hAnsi="Trebuchet MS"/>
          <w:color w:val="000000"/>
          <w:sz w:val="24"/>
          <w:szCs w:val="24"/>
        </w:rPr>
        <w:t xml:space="preserve">Contractor </w:t>
      </w:r>
      <w:r w:rsidRPr="001017DC">
        <w:rPr>
          <w:rFonts w:ascii="Trebuchet MS" w:hAnsi="Trebuchet MS"/>
          <w:color w:val="000000"/>
          <w:sz w:val="24"/>
          <w:szCs w:val="24"/>
        </w:rPr>
        <w:t xml:space="preserve">shall support these activities as directed for the test section. </w:t>
      </w:r>
    </w:p>
    <w:p w14:paraId="1881FACB" w14:textId="77777777" w:rsidR="008D0E3C" w:rsidRPr="001017DC" w:rsidRDefault="008D0E3C" w:rsidP="00D5685B">
      <w:pPr>
        <w:overflowPunct w:val="0"/>
        <w:autoSpaceDE w:val="0"/>
        <w:autoSpaceDN w:val="0"/>
        <w:adjustRightInd w:val="0"/>
        <w:textAlignment w:val="baseline"/>
        <w:rPr>
          <w:rFonts w:ascii="Trebuchet MS" w:hAnsi="Trebuchet MS"/>
          <w:sz w:val="24"/>
          <w:szCs w:val="24"/>
        </w:rPr>
      </w:pPr>
    </w:p>
    <w:p w14:paraId="4D7F0F0B" w14:textId="0A014740" w:rsidR="008D0E3C" w:rsidRPr="001017DC" w:rsidRDefault="001017DC" w:rsidP="001017DC">
      <w:pPr>
        <w:pStyle w:val="Heading2"/>
      </w:pPr>
      <w:r w:rsidRPr="001017DC">
        <w:t xml:space="preserve">Method </w:t>
      </w:r>
      <w:r>
        <w:t>o</w:t>
      </w:r>
      <w:r w:rsidRPr="001017DC">
        <w:t xml:space="preserve">f Measurement </w:t>
      </w:r>
    </w:p>
    <w:p w14:paraId="1E70F5E9" w14:textId="77777777" w:rsidR="008D0E3C" w:rsidRPr="001017DC" w:rsidRDefault="008D0E3C" w:rsidP="00D5685B">
      <w:pPr>
        <w:overflowPunct w:val="0"/>
        <w:autoSpaceDE w:val="0"/>
        <w:autoSpaceDN w:val="0"/>
        <w:adjustRightInd w:val="0"/>
        <w:jc w:val="center"/>
        <w:textAlignment w:val="baseline"/>
        <w:rPr>
          <w:rFonts w:ascii="Trebuchet MS" w:hAnsi="Trebuchet MS"/>
          <w:color w:val="000000"/>
          <w:sz w:val="24"/>
          <w:szCs w:val="24"/>
        </w:rPr>
      </w:pPr>
    </w:p>
    <w:p w14:paraId="6E96A81C" w14:textId="337414CA"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Hot Mix Asphalt (PPA) will be measured</w:t>
      </w:r>
      <w:r w:rsidR="00B8361C" w:rsidRPr="001017DC">
        <w:rPr>
          <w:rFonts w:ascii="Trebuchet MS" w:hAnsi="Trebuchet MS"/>
          <w:color w:val="000000"/>
          <w:sz w:val="24"/>
          <w:szCs w:val="24"/>
        </w:rPr>
        <w:t xml:space="preserve"> as prescribed in subsection </w:t>
      </w:r>
      <w:r w:rsidR="001017DC" w:rsidRPr="001017DC">
        <w:rPr>
          <w:rFonts w:ascii="Trebuchet MS" w:hAnsi="Trebuchet MS"/>
          <w:color w:val="000000"/>
          <w:sz w:val="24"/>
          <w:szCs w:val="24"/>
        </w:rPr>
        <w:t>401.21.</w:t>
      </w:r>
      <w:r w:rsidRPr="001017DC">
        <w:rPr>
          <w:rFonts w:ascii="Trebuchet MS" w:hAnsi="Trebuchet MS"/>
          <w:color w:val="000000"/>
          <w:sz w:val="24"/>
          <w:szCs w:val="24"/>
        </w:rPr>
        <w:t xml:space="preserve"> </w:t>
      </w:r>
    </w:p>
    <w:p w14:paraId="24BC2A6B"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61B4023E" w14:textId="3E417957" w:rsidR="008D0E3C" w:rsidRDefault="001017DC" w:rsidP="001017DC">
      <w:pPr>
        <w:pStyle w:val="Heading2"/>
      </w:pPr>
      <w:r w:rsidRPr="001017DC">
        <w:t xml:space="preserve">Basis </w:t>
      </w:r>
      <w:r>
        <w:t>o</w:t>
      </w:r>
      <w:r w:rsidRPr="001017DC">
        <w:t xml:space="preserve">f Payment </w:t>
      </w:r>
    </w:p>
    <w:p w14:paraId="12FF3A7D" w14:textId="77777777" w:rsidR="001017DC" w:rsidRPr="001017DC" w:rsidRDefault="001017DC" w:rsidP="001017DC"/>
    <w:p w14:paraId="51C6E747"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The accepted quantities will be paid for at the contract unit price for the pay item listed below and shall include all aggregate, binder, additives, equipment, labor, testing and sampling, and all other work necessary to complete the work as described. </w:t>
      </w:r>
    </w:p>
    <w:p w14:paraId="56A37811"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p>
    <w:p w14:paraId="584205E2" w14:textId="77777777" w:rsidR="008D0E3C" w:rsidRPr="001017DC" w:rsidRDefault="008D0E3C" w:rsidP="00D5685B">
      <w:pPr>
        <w:overflowPunct w:val="0"/>
        <w:autoSpaceDE w:val="0"/>
        <w:autoSpaceDN w:val="0"/>
        <w:adjustRightInd w:val="0"/>
        <w:textAlignment w:val="baseline"/>
        <w:rPr>
          <w:rFonts w:ascii="Trebuchet MS" w:hAnsi="Trebuchet MS"/>
          <w:color w:val="000000"/>
          <w:sz w:val="24"/>
          <w:szCs w:val="24"/>
        </w:rPr>
      </w:pPr>
      <w:r w:rsidRPr="001017DC">
        <w:rPr>
          <w:rFonts w:ascii="Trebuchet MS" w:hAnsi="Trebuchet MS"/>
          <w:color w:val="000000"/>
          <w:sz w:val="24"/>
          <w:szCs w:val="24"/>
        </w:rPr>
        <w:t xml:space="preserve">Payment will be made under: </w:t>
      </w:r>
    </w:p>
    <w:p w14:paraId="77E8838B" w14:textId="77777777" w:rsidR="008D0E3C" w:rsidRPr="001017DC" w:rsidRDefault="008D0E3C" w:rsidP="00D5685B">
      <w:pPr>
        <w:widowControl w:val="0"/>
        <w:overflowPunct w:val="0"/>
        <w:autoSpaceDE w:val="0"/>
        <w:autoSpaceDN w:val="0"/>
        <w:adjustRightInd w:val="0"/>
        <w:spacing w:line="240" w:lineRule="atLeast"/>
        <w:textAlignment w:val="baseline"/>
        <w:rPr>
          <w:rFonts w:ascii="Trebuchet MS" w:hAnsi="Trebuchet MS"/>
          <w:sz w:val="24"/>
          <w:szCs w:val="24"/>
        </w:rPr>
      </w:pPr>
    </w:p>
    <w:tbl>
      <w:tblPr>
        <w:tblStyle w:val="PlainTable1"/>
        <w:tblW w:w="7180" w:type="dxa"/>
        <w:tblLook w:val="0420" w:firstRow="1" w:lastRow="0" w:firstColumn="0" w:lastColumn="0" w:noHBand="0" w:noVBand="1"/>
        <w:tblCaption w:val="Section 403 Basis of Payment table"/>
        <w:tblDescription w:val="Contains Pay Item Name and Pay Unit for each cost item&#10;"/>
      </w:tblPr>
      <w:tblGrid>
        <w:gridCol w:w="5480"/>
        <w:gridCol w:w="1700"/>
      </w:tblGrid>
      <w:tr w:rsidR="00A50B27" w:rsidRPr="00A50B27" w14:paraId="5DD09180" w14:textId="77777777" w:rsidTr="00A50B27">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64F54A6D" w14:textId="77777777" w:rsidR="00A50B27" w:rsidRPr="00A50B27" w:rsidRDefault="00A50B27" w:rsidP="00A50B27">
            <w:pPr>
              <w:rPr>
                <w:rFonts w:ascii="Trebuchet MS" w:hAnsi="Trebuchet MS" w:cs="Calibri"/>
                <w:b/>
                <w:bCs/>
                <w:sz w:val="24"/>
                <w:szCs w:val="24"/>
              </w:rPr>
            </w:pPr>
            <w:r w:rsidRPr="00A50B27">
              <w:rPr>
                <w:rFonts w:ascii="Trebuchet MS" w:hAnsi="Trebuchet MS" w:cs="Calibri"/>
                <w:b/>
                <w:bCs/>
                <w:sz w:val="24"/>
                <w:szCs w:val="24"/>
              </w:rPr>
              <w:t>Pay Item</w:t>
            </w:r>
          </w:p>
        </w:tc>
        <w:tc>
          <w:tcPr>
            <w:tcW w:w="1700" w:type="dxa"/>
            <w:noWrap/>
            <w:hideMark/>
          </w:tcPr>
          <w:p w14:paraId="31351E1A" w14:textId="77777777" w:rsidR="00A50B27" w:rsidRPr="00A50B27" w:rsidRDefault="00A50B27" w:rsidP="00A50B27">
            <w:pPr>
              <w:rPr>
                <w:rFonts w:ascii="Trebuchet MS" w:hAnsi="Trebuchet MS" w:cs="Calibri"/>
                <w:b/>
                <w:bCs/>
                <w:sz w:val="24"/>
                <w:szCs w:val="24"/>
              </w:rPr>
            </w:pPr>
            <w:r w:rsidRPr="00A50B27">
              <w:rPr>
                <w:rFonts w:ascii="Trebuchet MS" w:hAnsi="Trebuchet MS" w:cs="Calibri"/>
                <w:b/>
                <w:bCs/>
                <w:sz w:val="24"/>
                <w:szCs w:val="24"/>
              </w:rPr>
              <w:t>Pay Unit</w:t>
            </w:r>
          </w:p>
        </w:tc>
      </w:tr>
      <w:tr w:rsidR="00A50B27" w:rsidRPr="00A50B27" w14:paraId="6CD9C87E" w14:textId="77777777" w:rsidTr="00A50B27">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56AD556" w14:textId="77777777" w:rsidR="00A50B27" w:rsidRPr="00A50B27" w:rsidRDefault="00A50B27" w:rsidP="00A50B27">
            <w:pPr>
              <w:rPr>
                <w:rFonts w:ascii="Trebuchet MS" w:hAnsi="Trebuchet MS" w:cs="Calibri"/>
                <w:color w:val="000000"/>
                <w:sz w:val="24"/>
                <w:szCs w:val="24"/>
              </w:rPr>
            </w:pPr>
            <w:r w:rsidRPr="00A50B27">
              <w:rPr>
                <w:rFonts w:ascii="Trebuchet MS" w:hAnsi="Trebuchet MS" w:cs="Calibri"/>
                <w:color w:val="000000"/>
                <w:sz w:val="24"/>
                <w:szCs w:val="24"/>
              </w:rPr>
              <w:t>Hot Mix Asphalt (PPA)</w:t>
            </w:r>
          </w:p>
        </w:tc>
        <w:tc>
          <w:tcPr>
            <w:tcW w:w="1700" w:type="dxa"/>
            <w:noWrap/>
            <w:hideMark/>
          </w:tcPr>
          <w:p w14:paraId="0E87050F" w14:textId="77777777" w:rsidR="00A50B27" w:rsidRPr="00A50B27" w:rsidRDefault="00A50B27" w:rsidP="00A50B27">
            <w:pPr>
              <w:rPr>
                <w:rFonts w:ascii="Trebuchet MS" w:hAnsi="Trebuchet MS" w:cs="Calibri"/>
                <w:color w:val="000000"/>
                <w:sz w:val="24"/>
                <w:szCs w:val="24"/>
              </w:rPr>
            </w:pPr>
            <w:r w:rsidRPr="00A50B27">
              <w:rPr>
                <w:rFonts w:ascii="Trebuchet MS" w:hAnsi="Trebuchet MS" w:cs="Calibri"/>
                <w:color w:val="000000"/>
                <w:sz w:val="24"/>
                <w:szCs w:val="24"/>
              </w:rPr>
              <w:t>Ton</w:t>
            </w:r>
          </w:p>
        </w:tc>
      </w:tr>
    </w:tbl>
    <w:p w14:paraId="15E66174" w14:textId="77777777" w:rsidR="008D0E3C" w:rsidRPr="001017DC" w:rsidRDefault="008D0E3C" w:rsidP="00D5685B">
      <w:pPr>
        <w:keepLines/>
        <w:tabs>
          <w:tab w:val="left" w:pos="1440"/>
          <w:tab w:val="left" w:pos="3600"/>
          <w:tab w:val="left" w:pos="4680"/>
        </w:tabs>
        <w:overflowPunct w:val="0"/>
        <w:autoSpaceDE w:val="0"/>
        <w:autoSpaceDN w:val="0"/>
        <w:adjustRightInd w:val="0"/>
        <w:ind w:right="-187"/>
        <w:textAlignment w:val="baseline"/>
        <w:outlineLvl w:val="0"/>
        <w:rPr>
          <w:rFonts w:ascii="Trebuchet MS" w:hAnsi="Trebuchet MS"/>
          <w:sz w:val="24"/>
          <w:szCs w:val="24"/>
        </w:rPr>
      </w:pPr>
    </w:p>
    <w:p w14:paraId="0157AEC4" w14:textId="77777777" w:rsidR="00F24C0A" w:rsidRPr="001017DC" w:rsidRDefault="00F24C0A" w:rsidP="00F24C0A">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1017DC">
        <w:rPr>
          <w:rFonts w:ascii="Trebuchet MS" w:hAnsi="Trebuchet MS"/>
          <w:color w:val="0070C0"/>
          <w:sz w:val="24"/>
          <w:szCs w:val="24"/>
        </w:rPr>
        <w:t>*******************************************************************************************</w:t>
      </w:r>
    </w:p>
    <w:p w14:paraId="1BD84C34" w14:textId="480D8D59" w:rsidR="00F24C0A" w:rsidRPr="001017DC" w:rsidRDefault="001017DC" w:rsidP="00F24C0A">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1017DC">
        <w:rPr>
          <w:rFonts w:ascii="Trebuchet MS" w:hAnsi="Trebuchet MS"/>
          <w:b/>
          <w:color w:val="0070C0"/>
          <w:sz w:val="24"/>
          <w:szCs w:val="24"/>
        </w:rPr>
        <w:t xml:space="preserve">Instruction </w:t>
      </w:r>
      <w:r>
        <w:rPr>
          <w:rFonts w:ascii="Trebuchet MS" w:hAnsi="Trebuchet MS"/>
          <w:b/>
          <w:color w:val="0070C0"/>
          <w:sz w:val="24"/>
          <w:szCs w:val="24"/>
        </w:rPr>
        <w:t>t</w:t>
      </w:r>
      <w:r w:rsidRPr="001017DC">
        <w:rPr>
          <w:rFonts w:ascii="Trebuchet MS" w:hAnsi="Trebuchet MS"/>
          <w:b/>
          <w:color w:val="0070C0"/>
          <w:sz w:val="24"/>
          <w:szCs w:val="24"/>
        </w:rPr>
        <w:t>o Designers</w:t>
      </w:r>
      <w:r w:rsidR="00F24C0A" w:rsidRPr="001017DC">
        <w:rPr>
          <w:rFonts w:ascii="Trebuchet MS" w:hAnsi="Trebuchet MS"/>
          <w:color w:val="0070C0"/>
          <w:sz w:val="24"/>
          <w:szCs w:val="24"/>
        </w:rPr>
        <w:t xml:space="preserve"> (delete instruction from final draft):</w:t>
      </w:r>
    </w:p>
    <w:p w14:paraId="53F026CE" w14:textId="77777777" w:rsidR="00F24C0A" w:rsidRPr="001017DC" w:rsidRDefault="00F24C0A" w:rsidP="00F24C0A">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p>
    <w:p w14:paraId="698C1574" w14:textId="359DC3EE" w:rsidR="008D0E3C" w:rsidRPr="001017DC" w:rsidRDefault="00F24C0A" w:rsidP="001017DC">
      <w:pPr>
        <w:keepLines/>
        <w:tabs>
          <w:tab w:val="left" w:pos="1440"/>
          <w:tab w:val="left" w:pos="3600"/>
          <w:tab w:val="left" w:pos="4680"/>
        </w:tabs>
        <w:overflowPunct w:val="0"/>
        <w:autoSpaceDE w:val="0"/>
        <w:autoSpaceDN w:val="0"/>
        <w:adjustRightInd w:val="0"/>
        <w:ind w:right="-187"/>
        <w:textAlignment w:val="baseline"/>
        <w:rPr>
          <w:rFonts w:ascii="Trebuchet MS" w:hAnsi="Trebuchet MS"/>
          <w:sz w:val="24"/>
          <w:szCs w:val="24"/>
        </w:rPr>
      </w:pPr>
      <w:r w:rsidRPr="001017DC">
        <w:rPr>
          <w:rFonts w:ascii="Trebuchet MS" w:hAnsi="Trebuchet MS"/>
          <w:color w:val="0070C0"/>
          <w:sz w:val="24"/>
          <w:szCs w:val="24"/>
        </w:rPr>
        <w:t>Use this special provision when polyphosphoric acid (PPA)-modified binder is to be added to Hot Mix Asphalt, as determined by the Region Materials Engineer.</w:t>
      </w:r>
    </w:p>
    <w:p w14:paraId="3E2003CB" w14:textId="77777777" w:rsidR="008D0E3C" w:rsidRPr="001017DC" w:rsidRDefault="008D0E3C" w:rsidP="00A27C35">
      <w:pPr>
        <w:rPr>
          <w:rFonts w:ascii="Trebuchet MS" w:hAnsi="Trebuchet MS"/>
          <w:sz w:val="24"/>
          <w:szCs w:val="24"/>
        </w:rPr>
      </w:pPr>
    </w:p>
    <w:p w14:paraId="6D3E57DD" w14:textId="77777777" w:rsidR="008D0E3C" w:rsidRPr="001017DC" w:rsidRDefault="008D0E3C" w:rsidP="00A27C35">
      <w:pPr>
        <w:rPr>
          <w:rFonts w:ascii="Trebuchet MS" w:hAnsi="Trebuchet MS"/>
          <w:sz w:val="24"/>
          <w:szCs w:val="24"/>
        </w:rPr>
      </w:pPr>
    </w:p>
    <w:p w14:paraId="0BBDA051" w14:textId="77777777" w:rsidR="008D0E3C" w:rsidRPr="001017DC" w:rsidRDefault="008D0E3C" w:rsidP="00A27C35">
      <w:pPr>
        <w:rPr>
          <w:rFonts w:ascii="Trebuchet MS" w:hAnsi="Trebuchet MS"/>
          <w:sz w:val="24"/>
          <w:szCs w:val="24"/>
        </w:rPr>
      </w:pPr>
    </w:p>
    <w:p w14:paraId="04BBED9D" w14:textId="77777777" w:rsidR="008D0E3C" w:rsidRPr="001017DC" w:rsidRDefault="008D0E3C" w:rsidP="00A27C35">
      <w:pPr>
        <w:rPr>
          <w:rFonts w:ascii="Trebuchet MS" w:hAnsi="Trebuchet MS"/>
          <w:sz w:val="24"/>
          <w:szCs w:val="24"/>
        </w:rPr>
      </w:pPr>
    </w:p>
    <w:p w14:paraId="38975DA1" w14:textId="77777777" w:rsidR="008D0E3C" w:rsidRPr="001017DC" w:rsidRDefault="008D0E3C" w:rsidP="00A27C35">
      <w:pPr>
        <w:rPr>
          <w:rFonts w:ascii="Trebuchet MS" w:hAnsi="Trebuchet MS"/>
          <w:sz w:val="24"/>
          <w:szCs w:val="24"/>
        </w:rPr>
      </w:pPr>
    </w:p>
    <w:p w14:paraId="21EFA8CE" w14:textId="77777777" w:rsidR="008D0E3C" w:rsidRPr="001017DC" w:rsidRDefault="008D0E3C" w:rsidP="00A27C35">
      <w:pPr>
        <w:rPr>
          <w:rFonts w:ascii="Trebuchet MS" w:hAnsi="Trebuchet MS"/>
          <w:sz w:val="24"/>
          <w:szCs w:val="24"/>
        </w:rPr>
      </w:pPr>
    </w:p>
    <w:p w14:paraId="022BACF9" w14:textId="77777777" w:rsidR="008D0E3C" w:rsidRPr="001017DC" w:rsidRDefault="008D0E3C" w:rsidP="00A27C35">
      <w:pPr>
        <w:rPr>
          <w:rFonts w:ascii="Trebuchet MS" w:hAnsi="Trebuchet MS"/>
          <w:sz w:val="24"/>
          <w:szCs w:val="24"/>
        </w:rPr>
      </w:pPr>
    </w:p>
    <w:p w14:paraId="60978088" w14:textId="77777777" w:rsidR="008D0E3C" w:rsidRPr="001017DC" w:rsidRDefault="008D0E3C" w:rsidP="00A27C35">
      <w:pPr>
        <w:rPr>
          <w:rFonts w:ascii="Trebuchet MS" w:hAnsi="Trebuchet MS"/>
          <w:sz w:val="24"/>
          <w:szCs w:val="24"/>
        </w:rPr>
      </w:pPr>
    </w:p>
    <w:p w14:paraId="2F2AC477" w14:textId="77777777" w:rsidR="008D0E3C" w:rsidRPr="001017DC" w:rsidRDefault="008D0E3C" w:rsidP="00A27C35">
      <w:pPr>
        <w:rPr>
          <w:rFonts w:ascii="Trebuchet MS" w:hAnsi="Trebuchet MS"/>
          <w:sz w:val="24"/>
          <w:szCs w:val="24"/>
        </w:rPr>
      </w:pPr>
    </w:p>
    <w:p w14:paraId="16BFD8A8" w14:textId="77777777" w:rsidR="008D0E3C" w:rsidRPr="001017DC" w:rsidRDefault="008D0E3C" w:rsidP="00A27C35">
      <w:pPr>
        <w:rPr>
          <w:rFonts w:ascii="Trebuchet MS" w:hAnsi="Trebuchet MS"/>
          <w:sz w:val="24"/>
          <w:szCs w:val="24"/>
        </w:rPr>
      </w:pPr>
    </w:p>
    <w:p w14:paraId="58E76D30" w14:textId="77777777" w:rsidR="008D0E3C" w:rsidRPr="001017DC" w:rsidRDefault="008D0E3C" w:rsidP="00A27C35">
      <w:pPr>
        <w:rPr>
          <w:rFonts w:ascii="Trebuchet MS" w:hAnsi="Trebuchet MS"/>
          <w:sz w:val="24"/>
          <w:szCs w:val="24"/>
        </w:rPr>
      </w:pPr>
    </w:p>
    <w:p w14:paraId="4FB73CCF" w14:textId="77777777" w:rsidR="00835CD4" w:rsidRPr="001017DC" w:rsidRDefault="00835CD4">
      <w:pPr>
        <w:rPr>
          <w:rFonts w:ascii="Trebuchet MS" w:hAnsi="Trebuchet MS"/>
          <w:sz w:val="24"/>
          <w:szCs w:val="24"/>
        </w:rPr>
      </w:pPr>
    </w:p>
    <w:sectPr w:rsidR="00835CD4" w:rsidRPr="001017DC"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760A" w14:textId="77777777" w:rsidR="00F873CB" w:rsidRDefault="00F873CB" w:rsidP="00F878BD">
      <w:r>
        <w:separator/>
      </w:r>
    </w:p>
  </w:endnote>
  <w:endnote w:type="continuationSeparator" w:id="0">
    <w:p w14:paraId="1429DC02" w14:textId="77777777" w:rsidR="00F873CB" w:rsidRDefault="00F873CB"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FBF6" w14:textId="77777777" w:rsidR="00F873CB" w:rsidRDefault="00F873CB" w:rsidP="00F878BD">
      <w:r>
        <w:separator/>
      </w:r>
    </w:p>
  </w:footnote>
  <w:footnote w:type="continuationSeparator" w:id="0">
    <w:p w14:paraId="7B2CB69D" w14:textId="77777777" w:rsidR="00F873CB" w:rsidRDefault="00F873CB"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1B" w14:textId="77777777" w:rsidR="001017DC" w:rsidRPr="001017DC" w:rsidRDefault="001017DC" w:rsidP="001017DC">
    <w:pPr>
      <w:rPr>
        <w:rFonts w:ascii="Trebuchet MS" w:hAnsi="Trebuchet MS"/>
        <w:sz w:val="22"/>
        <w:szCs w:val="22"/>
      </w:rPr>
    </w:pPr>
    <w:r w:rsidRPr="001017DC">
      <w:rPr>
        <w:rFonts w:ascii="Trebuchet MS" w:hAnsi="Trebuchet MS"/>
        <w:sz w:val="22"/>
        <w:szCs w:val="22"/>
      </w:rPr>
      <w:t>Pilot Project Special Provision: 403hmappa</w:t>
    </w:r>
  </w:p>
  <w:p w14:paraId="533EC364" w14:textId="77777777" w:rsidR="001017DC" w:rsidRDefault="001017DC" w:rsidP="001017DC">
    <w:pPr>
      <w:rPr>
        <w:rFonts w:ascii="Trebuchet MS" w:hAnsi="Trebuchet MS"/>
        <w:sz w:val="22"/>
        <w:szCs w:val="22"/>
      </w:rPr>
    </w:pPr>
    <w:r w:rsidRPr="001017DC">
      <w:rPr>
        <w:rFonts w:ascii="Trebuchet MS" w:hAnsi="Trebuchet MS"/>
        <w:sz w:val="22"/>
        <w:szCs w:val="22"/>
      </w:rPr>
      <w:t>Date: 4/20/2017</w:t>
    </w:r>
  </w:p>
  <w:p w14:paraId="29DAB137" w14:textId="77777777" w:rsidR="001017DC" w:rsidRPr="001017DC" w:rsidRDefault="001017DC" w:rsidP="001017DC">
    <w:pPr>
      <w:rPr>
        <w:rFonts w:ascii="Trebuchet MS" w:hAnsi="Trebuchet MS"/>
        <w:sz w:val="22"/>
        <w:szCs w:val="22"/>
      </w:rPr>
    </w:pPr>
    <w:r w:rsidRPr="001017DC">
      <w:rPr>
        <w:rFonts w:ascii="Trebuchet MS" w:hAnsi="Trebuchet MS"/>
        <w:sz w:val="22"/>
        <w:szCs w:val="22"/>
      </w:rPr>
      <w:t>ADA 8.25.23</w:t>
    </w:r>
  </w:p>
  <w:sdt>
    <w:sdtPr>
      <w:rPr>
        <w:rFonts w:ascii="Trebuchet MS" w:hAnsi="Trebuchet MS"/>
        <w:b/>
        <w:bCs/>
        <w:sz w:val="28"/>
        <w:szCs w:val="28"/>
      </w:rPr>
      <w:id w:val="-177507334"/>
      <w:docPartObj>
        <w:docPartGallery w:val="Page Numbers (Top of Page)"/>
        <w:docPartUnique/>
      </w:docPartObj>
    </w:sdtPr>
    <w:sdtContent>
      <w:p w14:paraId="1A7440D0" w14:textId="77777777" w:rsidR="001017DC" w:rsidRDefault="001017DC" w:rsidP="001017D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overflowPunct w:val="0"/>
          <w:autoSpaceDE w:val="0"/>
          <w:autoSpaceDN w:val="0"/>
          <w:adjustRightInd w:val="0"/>
          <w:spacing w:line="240" w:lineRule="atLeast"/>
          <w:jc w:val="center"/>
          <w:textAlignment w:val="baseline"/>
          <w:rPr>
            <w:rFonts w:ascii="Trebuchet MS" w:hAnsi="Trebuchet MS"/>
            <w:sz w:val="24"/>
            <w:szCs w:val="24"/>
          </w:rPr>
        </w:pPr>
        <w:r w:rsidRPr="001017DC">
          <w:rPr>
            <w:rFonts w:ascii="Trebuchet MS" w:hAnsi="Trebuchet MS"/>
          </w:rPr>
          <w:fldChar w:fldCharType="begin"/>
        </w:r>
        <w:r w:rsidRPr="001017DC">
          <w:rPr>
            <w:rFonts w:ascii="Trebuchet MS" w:hAnsi="Trebuchet MS"/>
          </w:rPr>
          <w:instrText xml:space="preserve"> PAGE   \* MERGEFORMAT </w:instrText>
        </w:r>
        <w:r w:rsidRPr="001017DC">
          <w:rPr>
            <w:rFonts w:ascii="Trebuchet MS" w:hAnsi="Trebuchet MS"/>
          </w:rPr>
          <w:fldChar w:fldCharType="separate"/>
        </w:r>
        <w:r w:rsidRPr="001017DC">
          <w:rPr>
            <w:rFonts w:ascii="Trebuchet MS" w:hAnsi="Trebuchet MS"/>
            <w:noProof/>
          </w:rPr>
          <w:t>2</w:t>
        </w:r>
        <w:r w:rsidRPr="001017DC">
          <w:rPr>
            <w:rFonts w:ascii="Trebuchet MS" w:hAnsi="Trebuchet MS"/>
            <w:noProof/>
          </w:rPr>
          <w:fldChar w:fldCharType="end"/>
        </w:r>
        <w:r w:rsidRPr="001017DC">
          <w:rPr>
            <w:rFonts w:ascii="Trebuchet MS" w:hAnsi="Trebuchet MS"/>
            <w:sz w:val="24"/>
            <w:szCs w:val="24"/>
          </w:rPr>
          <w:t xml:space="preserve"> </w:t>
        </w:r>
      </w:p>
      <w:p w14:paraId="0AACC59A" w14:textId="21BA8AA6" w:rsidR="001017DC" w:rsidRPr="001017DC" w:rsidRDefault="001017DC" w:rsidP="001017DC">
        <w:pPr>
          <w:pStyle w:val="Heading1"/>
        </w:pPr>
        <w:r w:rsidRPr="001017DC">
          <w:t>Revision of Section 403</w:t>
        </w:r>
      </w:p>
      <w:p w14:paraId="37A48BC6" w14:textId="4BAB2F9F" w:rsidR="001017DC" w:rsidRPr="001017DC" w:rsidRDefault="001017DC" w:rsidP="001017DC">
        <w:pPr>
          <w:pStyle w:val="Heading1"/>
        </w:pPr>
        <w:r w:rsidRPr="001017DC">
          <w:t>Hot Mix Asphalt (PPA)</w:t>
        </w:r>
      </w:p>
    </w:sdtContent>
  </w:sdt>
  <w:p w14:paraId="106B6CDE" w14:textId="79CC8F5B" w:rsidR="001017DC" w:rsidRPr="001017DC" w:rsidRDefault="001017DC" w:rsidP="008B08F4">
    <w:pPr>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87013">
    <w:abstractNumId w:val="1"/>
  </w:num>
  <w:num w:numId="2" w16cid:durableId="995451405">
    <w:abstractNumId w:val="11"/>
  </w:num>
  <w:num w:numId="3" w16cid:durableId="2117670767">
    <w:abstractNumId w:val="17"/>
  </w:num>
  <w:num w:numId="4" w16cid:durableId="1316956415">
    <w:abstractNumId w:val="2"/>
  </w:num>
  <w:num w:numId="5" w16cid:durableId="694308234">
    <w:abstractNumId w:val="14"/>
  </w:num>
  <w:num w:numId="6" w16cid:durableId="389577523">
    <w:abstractNumId w:val="16"/>
  </w:num>
  <w:num w:numId="7" w16cid:durableId="1955746771">
    <w:abstractNumId w:val="6"/>
  </w:num>
  <w:num w:numId="8" w16cid:durableId="922026424">
    <w:abstractNumId w:val="15"/>
  </w:num>
  <w:num w:numId="9" w16cid:durableId="1411854151">
    <w:abstractNumId w:val="0"/>
  </w:num>
  <w:num w:numId="10" w16cid:durableId="1170565331">
    <w:abstractNumId w:val="5"/>
  </w:num>
  <w:num w:numId="11" w16cid:durableId="2098163805">
    <w:abstractNumId w:val="9"/>
  </w:num>
  <w:num w:numId="12" w16cid:durableId="1293093057">
    <w:abstractNumId w:val="4"/>
  </w:num>
  <w:num w:numId="13" w16cid:durableId="601841693">
    <w:abstractNumId w:val="10"/>
  </w:num>
  <w:num w:numId="14" w16cid:durableId="592204465">
    <w:abstractNumId w:val="7"/>
  </w:num>
  <w:num w:numId="15" w16cid:durableId="1865513697">
    <w:abstractNumId w:val="12"/>
  </w:num>
  <w:num w:numId="16" w16cid:durableId="521240029">
    <w:abstractNumId w:val="18"/>
  </w:num>
  <w:num w:numId="17" w16cid:durableId="165025244">
    <w:abstractNumId w:val="20"/>
  </w:num>
  <w:num w:numId="18" w16cid:durableId="1611819623">
    <w:abstractNumId w:val="3"/>
  </w:num>
  <w:num w:numId="19" w16cid:durableId="2120177815">
    <w:abstractNumId w:val="19"/>
  </w:num>
  <w:num w:numId="20" w16cid:durableId="1480613498">
    <w:abstractNumId w:val="8"/>
  </w:num>
  <w:num w:numId="21" w16cid:durableId="123813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225FA"/>
    <w:rsid w:val="000244A2"/>
    <w:rsid w:val="00024AEE"/>
    <w:rsid w:val="00053686"/>
    <w:rsid w:val="00085D20"/>
    <w:rsid w:val="0009291B"/>
    <w:rsid w:val="000C3C6B"/>
    <w:rsid w:val="000E3C78"/>
    <w:rsid w:val="000E5204"/>
    <w:rsid w:val="001017DC"/>
    <w:rsid w:val="0010474A"/>
    <w:rsid w:val="0010525A"/>
    <w:rsid w:val="00192F40"/>
    <w:rsid w:val="00197524"/>
    <w:rsid w:val="001A7BED"/>
    <w:rsid w:val="001C3F85"/>
    <w:rsid w:val="001D4BDD"/>
    <w:rsid w:val="001E2C1C"/>
    <w:rsid w:val="00214CEC"/>
    <w:rsid w:val="00222B35"/>
    <w:rsid w:val="00230276"/>
    <w:rsid w:val="00240F9D"/>
    <w:rsid w:val="002714AF"/>
    <w:rsid w:val="00272482"/>
    <w:rsid w:val="0027523C"/>
    <w:rsid w:val="002C208E"/>
    <w:rsid w:val="003162A2"/>
    <w:rsid w:val="003823FC"/>
    <w:rsid w:val="00394329"/>
    <w:rsid w:val="003C3F1C"/>
    <w:rsid w:val="003E0046"/>
    <w:rsid w:val="003E4531"/>
    <w:rsid w:val="004249F3"/>
    <w:rsid w:val="00441D2F"/>
    <w:rsid w:val="004B09DE"/>
    <w:rsid w:val="004D0A9B"/>
    <w:rsid w:val="004F0EBB"/>
    <w:rsid w:val="004F1849"/>
    <w:rsid w:val="004F79CD"/>
    <w:rsid w:val="005040D7"/>
    <w:rsid w:val="005179E1"/>
    <w:rsid w:val="00523E48"/>
    <w:rsid w:val="0056039E"/>
    <w:rsid w:val="00561A34"/>
    <w:rsid w:val="005707C9"/>
    <w:rsid w:val="00572D1D"/>
    <w:rsid w:val="005B6EC1"/>
    <w:rsid w:val="0062722C"/>
    <w:rsid w:val="006B1A52"/>
    <w:rsid w:val="0070029E"/>
    <w:rsid w:val="00706DF8"/>
    <w:rsid w:val="00710A9C"/>
    <w:rsid w:val="0071231C"/>
    <w:rsid w:val="00726A77"/>
    <w:rsid w:val="007735BF"/>
    <w:rsid w:val="007854AB"/>
    <w:rsid w:val="007D24E5"/>
    <w:rsid w:val="00814549"/>
    <w:rsid w:val="008331F6"/>
    <w:rsid w:val="00835CD4"/>
    <w:rsid w:val="00870736"/>
    <w:rsid w:val="00874778"/>
    <w:rsid w:val="0088732B"/>
    <w:rsid w:val="00891B09"/>
    <w:rsid w:val="00897666"/>
    <w:rsid w:val="008B08F4"/>
    <w:rsid w:val="008B3BFC"/>
    <w:rsid w:val="008C59FF"/>
    <w:rsid w:val="008D0E3C"/>
    <w:rsid w:val="008D3261"/>
    <w:rsid w:val="008D4DE9"/>
    <w:rsid w:val="008E6E23"/>
    <w:rsid w:val="008F5A7E"/>
    <w:rsid w:val="00912546"/>
    <w:rsid w:val="00923AF8"/>
    <w:rsid w:val="00935ABF"/>
    <w:rsid w:val="009363F9"/>
    <w:rsid w:val="00973DFA"/>
    <w:rsid w:val="00987248"/>
    <w:rsid w:val="009A40E9"/>
    <w:rsid w:val="009B3EF3"/>
    <w:rsid w:val="009F3FE4"/>
    <w:rsid w:val="00A14275"/>
    <w:rsid w:val="00A27DE7"/>
    <w:rsid w:val="00A368E6"/>
    <w:rsid w:val="00A50B27"/>
    <w:rsid w:val="00A54F34"/>
    <w:rsid w:val="00A6183A"/>
    <w:rsid w:val="00A7142E"/>
    <w:rsid w:val="00A73269"/>
    <w:rsid w:val="00A75DD1"/>
    <w:rsid w:val="00A76618"/>
    <w:rsid w:val="00A850F4"/>
    <w:rsid w:val="00A92397"/>
    <w:rsid w:val="00AA36CC"/>
    <w:rsid w:val="00AB028C"/>
    <w:rsid w:val="00AB5B65"/>
    <w:rsid w:val="00AC7AF4"/>
    <w:rsid w:val="00AE5C02"/>
    <w:rsid w:val="00AF0759"/>
    <w:rsid w:val="00B03922"/>
    <w:rsid w:val="00B12639"/>
    <w:rsid w:val="00B25927"/>
    <w:rsid w:val="00B8361C"/>
    <w:rsid w:val="00B91FF1"/>
    <w:rsid w:val="00BB22A1"/>
    <w:rsid w:val="00BD4394"/>
    <w:rsid w:val="00BE721F"/>
    <w:rsid w:val="00C26D30"/>
    <w:rsid w:val="00C40133"/>
    <w:rsid w:val="00C45F33"/>
    <w:rsid w:val="00C5094A"/>
    <w:rsid w:val="00C65DB8"/>
    <w:rsid w:val="00C82257"/>
    <w:rsid w:val="00C93280"/>
    <w:rsid w:val="00CC309C"/>
    <w:rsid w:val="00D13D83"/>
    <w:rsid w:val="00D16104"/>
    <w:rsid w:val="00D5605D"/>
    <w:rsid w:val="00DE7DCD"/>
    <w:rsid w:val="00E0363D"/>
    <w:rsid w:val="00E208F0"/>
    <w:rsid w:val="00E272DE"/>
    <w:rsid w:val="00E51D69"/>
    <w:rsid w:val="00E5511D"/>
    <w:rsid w:val="00E5788C"/>
    <w:rsid w:val="00E647BB"/>
    <w:rsid w:val="00E85CC9"/>
    <w:rsid w:val="00EA5566"/>
    <w:rsid w:val="00EA7A41"/>
    <w:rsid w:val="00EC2A21"/>
    <w:rsid w:val="00ED497E"/>
    <w:rsid w:val="00EF1243"/>
    <w:rsid w:val="00EF208C"/>
    <w:rsid w:val="00F07B65"/>
    <w:rsid w:val="00F24C0A"/>
    <w:rsid w:val="00F4638D"/>
    <w:rsid w:val="00F605A4"/>
    <w:rsid w:val="00F873CB"/>
    <w:rsid w:val="00F878BD"/>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017D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overflowPunct w:val="0"/>
      <w:autoSpaceDE w:val="0"/>
      <w:autoSpaceDN w:val="0"/>
      <w:adjustRightInd w:val="0"/>
      <w:spacing w:line="240" w:lineRule="atLeast"/>
      <w:jc w:val="center"/>
      <w:textAlignment w:val="baseline"/>
      <w:outlineLvl w:val="0"/>
    </w:pPr>
    <w:rPr>
      <w:rFonts w:ascii="Trebuchet MS" w:hAnsi="Trebuchet MS"/>
      <w:b/>
      <w:bCs/>
      <w:sz w:val="28"/>
      <w:szCs w:val="28"/>
    </w:rPr>
  </w:style>
  <w:style w:type="paragraph" w:styleId="Heading2">
    <w:name w:val="heading 2"/>
    <w:basedOn w:val="Normal"/>
    <w:next w:val="Normal"/>
    <w:qFormat/>
    <w:rsid w:val="001017DC"/>
    <w:pPr>
      <w:overflowPunct w:val="0"/>
      <w:autoSpaceDE w:val="0"/>
      <w:autoSpaceDN w:val="0"/>
      <w:adjustRightInd w:val="0"/>
      <w:jc w:val="center"/>
      <w:textAlignment w:val="baseline"/>
      <w:outlineLvl w:val="1"/>
    </w:pPr>
    <w:rPr>
      <w:rFonts w:ascii="Trebuchet MS" w:hAnsi="Trebuchet MS"/>
      <w:b/>
      <w:bCs/>
      <w:color w:val="000000"/>
      <w:sz w:val="28"/>
      <w:szCs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1017DC"/>
    <w:rPr>
      <w:rFonts w:ascii="Trebuchet MS" w:hAnsi="Trebuchet MS"/>
      <w:b/>
      <w:bCs/>
      <w:sz w:val="28"/>
      <w:szCs w:val="28"/>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table" w:styleId="PlainTable1">
    <w:name w:val="Plain Table 1"/>
    <w:basedOn w:val="TableNormal"/>
    <w:uiPriority w:val="41"/>
    <w:rsid w:val="00A50B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1448084708">
      <w:bodyDiv w:val="1"/>
      <w:marLeft w:val="0"/>
      <w:marRight w:val="0"/>
      <w:marTop w:val="0"/>
      <w:marBottom w:val="0"/>
      <w:divBdr>
        <w:top w:val="none" w:sz="0" w:space="0" w:color="auto"/>
        <w:left w:val="none" w:sz="0" w:space="0" w:color="auto"/>
        <w:bottom w:val="none" w:sz="0" w:space="0" w:color="auto"/>
        <w:right w:val="none" w:sz="0" w:space="0" w:color="auto"/>
      </w:divBdr>
    </w:div>
    <w:div w:id="20676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3329</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403 Hot Mix Asphalt (PPA)</vt:lpstr>
    </vt:vector>
  </TitlesOfParts>
  <Company>Staff Design</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 Hot Mix Asphalt (PPA)</dc:title>
  <dc:subject/>
  <dc:creator>coyv</dc:creator>
  <cp:keywords/>
  <cp:lastModifiedBy>Kayen, Michele</cp:lastModifiedBy>
  <cp:revision>5</cp:revision>
  <cp:lastPrinted>2000-06-16T18:28:00Z</cp:lastPrinted>
  <dcterms:created xsi:type="dcterms:W3CDTF">2023-08-25T14:56:00Z</dcterms:created>
  <dcterms:modified xsi:type="dcterms:W3CDTF">2024-02-01T22:20:00Z</dcterms:modified>
</cp:coreProperties>
</file>