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94" w:rsidRDefault="002D1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r w:rsidRPr="002D17A6">
        <w:rPr>
          <w:rFonts w:ascii="Arial" w:hAnsi="Arial"/>
          <w:sz w:val="28"/>
        </w:rPr>
        <w:t>October 1, 2019</w:t>
      </w:r>
    </w:p>
    <w:p w:rsidR="002D17A6" w:rsidRPr="00144A94" w:rsidRDefault="002D1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REVISION OF SECTION 401</w:t>
      </w: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 xml:space="preserve">TOLERANCES FOR </w:t>
      </w:r>
      <w:r w:rsidR="00A32F3F" w:rsidRPr="00144A94">
        <w:rPr>
          <w:rFonts w:ascii="Arial" w:hAnsi="Arial"/>
          <w:sz w:val="28"/>
        </w:rPr>
        <w:t>HOT MIX ASPHALT</w:t>
      </w:r>
      <w:r w:rsidRPr="00144A94">
        <w:rPr>
          <w:rFonts w:ascii="Arial" w:hAnsi="Arial"/>
          <w:sz w:val="28"/>
        </w:rPr>
        <w:t xml:space="preserve"> (VOIDS ACCEPTANCE)</w:t>
      </w:r>
    </w:p>
    <w:p w:rsidR="002D5092" w:rsidRDefault="002D5092">
      <w:pPr>
        <w:widowControl w:val="0"/>
        <w:tabs>
          <w:tab w:val="left" w:pos="0"/>
          <w:tab w:val="left" w:pos="360"/>
          <w:tab w:val="left" w:pos="720"/>
        </w:tabs>
        <w:jc w:val="center"/>
        <w:rPr>
          <w:b/>
          <w:sz w:val="40"/>
        </w:rPr>
      </w:pPr>
    </w:p>
    <w:p w:rsidR="002D5092" w:rsidRDefault="002D5092">
      <w:pPr>
        <w:widowControl w:val="0"/>
        <w:tabs>
          <w:tab w:val="left" w:pos="0"/>
          <w:tab w:val="left" w:pos="360"/>
          <w:tab w:val="left" w:pos="720"/>
        </w:tabs>
        <w:jc w:val="center"/>
        <w:rPr>
          <w:b/>
          <w:sz w:val="40"/>
        </w:rPr>
      </w:pPr>
      <w:r>
        <w:rPr>
          <w:b/>
          <w:sz w:val="40"/>
        </w:rPr>
        <w:t>NOTICE</w:t>
      </w: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Staff Design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issued by Staff Design unless such use is first approved by the Specification Unit of Staff Design.  The instructions for use on CDOT construction projects appear below.</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color w:val="000000"/>
          <w:sz w:val="28"/>
        </w:rPr>
      </w:pPr>
      <w:r>
        <w:rPr>
          <w:rFonts w:ascii="Arial" w:hAnsi="Arial"/>
          <w:b/>
          <w:smallCaps/>
          <w:color w:val="800000"/>
          <w:sz w:val="28"/>
        </w:rPr>
        <w:t xml:space="preserve">Instructions for use on CDOT construction projects:  </w:t>
      </w:r>
    </w:p>
    <w:p w:rsidR="002D5092" w:rsidRDefault="002D5092">
      <w:pPr>
        <w:widowControl w:val="0"/>
        <w:tabs>
          <w:tab w:val="left" w:pos="0"/>
          <w:tab w:val="left" w:pos="360"/>
        </w:tabs>
        <w:rPr>
          <w:color w:val="000000"/>
          <w:sz w:val="28"/>
        </w:rPr>
      </w:pPr>
    </w:p>
    <w:p w:rsidR="002D5092" w:rsidRDefault="002D5092">
      <w:pPr>
        <w:pStyle w:val="BodyText"/>
      </w:pPr>
      <w:r>
        <w:t>Use this standard special provision on projects with hot bituminous pavement when acceptance is based on asphalt content, voids in the mineral aggregate, air voids, and in-place density.</w:t>
      </w:r>
    </w:p>
    <w:p w:rsidR="002D5092" w:rsidRDefault="002D5092">
      <w:pPr>
        <w:widowControl w:val="0"/>
        <w:rPr>
          <w:color w:val="000000"/>
          <w:sz w:val="28"/>
        </w:rPr>
      </w:pPr>
    </w:p>
    <w:p w:rsidR="002D5092" w:rsidRDefault="002D5092">
      <w:pPr>
        <w:widowControl w:val="0"/>
        <w:rPr>
          <w:color w:val="000000"/>
          <w:sz w:val="28"/>
        </w:rPr>
      </w:pPr>
    </w:p>
    <w:p w:rsidR="002D5092" w:rsidRDefault="002D5092">
      <w:pPr>
        <w:widowControl w:val="0"/>
        <w:jc w:val="both"/>
        <w:rPr>
          <w:rFonts w:ascii="Arial" w:hAnsi="Arial"/>
          <w:color w:val="000000"/>
        </w:rPr>
        <w:sectPr w:rsidR="002D5092">
          <w:type w:val="continuous"/>
          <w:pgSz w:w="12240" w:h="15840"/>
          <w:pgMar w:top="1560" w:right="1080" w:bottom="719" w:left="1080" w:header="720" w:footer="720" w:gutter="0"/>
          <w:pgNumType w:start="1"/>
          <w:cols w:space="720"/>
        </w:sectPr>
      </w:pPr>
    </w:p>
    <w:p w:rsidR="002D17A6" w:rsidRDefault="002D17A6" w:rsidP="002D17A6">
      <w:pPr>
        <w:widowControl w:val="0"/>
        <w:tabs>
          <w:tab w:val="left" w:pos="0"/>
          <w:tab w:val="left" w:pos="360"/>
          <w:tab w:val="left" w:pos="720"/>
          <w:tab w:val="left" w:pos="1080"/>
          <w:tab w:val="left" w:pos="1440"/>
          <w:tab w:val="left" w:pos="1800"/>
        </w:tabs>
        <w:jc w:val="right"/>
        <w:rPr>
          <w:rFonts w:ascii="Arial" w:hAnsi="Arial" w:cs="Arial"/>
        </w:rPr>
      </w:pPr>
      <w:r w:rsidRPr="002D17A6">
        <w:rPr>
          <w:rFonts w:ascii="Arial" w:hAnsi="Arial" w:cs="Arial"/>
        </w:rPr>
        <w:lastRenderedPageBreak/>
        <w:t>October 1, 2019</w:t>
      </w:r>
    </w:p>
    <w:p w:rsidR="002D17A6" w:rsidRDefault="002D17A6" w:rsidP="002D17A6">
      <w:pPr>
        <w:widowControl w:val="0"/>
        <w:tabs>
          <w:tab w:val="left" w:pos="0"/>
          <w:tab w:val="left" w:pos="360"/>
          <w:tab w:val="left" w:pos="720"/>
          <w:tab w:val="left" w:pos="1080"/>
          <w:tab w:val="left" w:pos="1440"/>
          <w:tab w:val="left" w:pos="1800"/>
        </w:tabs>
        <w:jc w:val="right"/>
        <w:rPr>
          <w:rFonts w:ascii="Arial" w:hAnsi="Arial" w:cs="Arial"/>
        </w:rPr>
      </w:pPr>
      <w:bookmarkStart w:id="0" w:name="_GoBack"/>
      <w:bookmarkEnd w:id="0"/>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REVISION OF SECTION 401</w:t>
      </w:r>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 xml:space="preserve">TOLERANCES FOR </w:t>
      </w:r>
      <w:r w:rsidR="00A32F3F">
        <w:rPr>
          <w:rFonts w:ascii="Arial" w:hAnsi="Arial"/>
        </w:rPr>
        <w:t>HOT MIX ASPHALT</w:t>
      </w:r>
      <w:r>
        <w:rPr>
          <w:rFonts w:ascii="Arial" w:hAnsi="Arial"/>
        </w:rPr>
        <w:t xml:space="preserve"> (VOIDS ACCEPTANCE)</w:t>
      </w:r>
    </w:p>
    <w:p w:rsidR="002D5092" w:rsidRDefault="002D5092">
      <w:pPr>
        <w:rPr>
          <w:rFonts w:ascii="Arial" w:hAnsi="Arial"/>
        </w:rPr>
      </w:pPr>
    </w:p>
    <w:p w:rsidR="002D5092"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Arial" w:hAnsi="Arial"/>
        </w:rPr>
      </w:pPr>
      <w:r>
        <w:rPr>
          <w:rFonts w:ascii="Arial" w:hAnsi="Arial"/>
        </w:rPr>
        <w:t>Section 401 of the Standard Specifications is hereby revised for this project as follows:</w:t>
      </w:r>
    </w:p>
    <w:p w:rsidR="002D5092" w:rsidRDefault="00144A94"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Arial" w:hAnsi="Arial"/>
        </w:rPr>
      </w:pPr>
      <w:r>
        <w:rPr>
          <w:rFonts w:ascii="Arial" w:hAnsi="Arial"/>
        </w:rPr>
        <w:t>In subsection 401.02(b</w:t>
      </w:r>
      <w:r w:rsidR="002D5092">
        <w:rPr>
          <w:rFonts w:ascii="Arial" w:hAnsi="Arial"/>
        </w:rPr>
        <w:t>) delete Table 401</w:t>
      </w:r>
      <w:r w:rsidR="002D5092">
        <w:rPr>
          <w:rFonts w:ascii="Arial" w:hAnsi="Arial"/>
        </w:rPr>
        <w:noBreakHyphen/>
        <w:t>1, including the footnotes, and replace with the following:</w:t>
      </w:r>
    </w:p>
    <w:p w:rsidR="002D5092" w:rsidRDefault="002D5092" w:rsidP="003E0A99">
      <w:pPr>
        <w:pStyle w:val="Heading1"/>
      </w:pPr>
      <w:r>
        <w:t>Table 401-1</w:t>
      </w:r>
    </w:p>
    <w:p w:rsidR="002D5092"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center"/>
        <w:rPr>
          <w:b/>
          <w:sz w:val="22"/>
        </w:rPr>
      </w:pPr>
      <w:r>
        <w:rPr>
          <w:b/>
          <w:sz w:val="22"/>
        </w:rPr>
        <w:t xml:space="preserve">Tolerances for Hot </w:t>
      </w:r>
      <w:r w:rsidR="00397942">
        <w:rPr>
          <w:b/>
          <w:sz w:val="22"/>
        </w:rPr>
        <w:t>Mix Asphalt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2"/>
        <w:gridCol w:w="2304"/>
      </w:tblGrid>
      <w:tr w:rsidR="004E5F7B" w:rsidTr="00BC222E">
        <w:trPr>
          <w:trHeight w:val="360"/>
          <w:jc w:val="center"/>
        </w:trPr>
        <w:tc>
          <w:tcPr>
            <w:tcW w:w="4032" w:type="dxa"/>
            <w:tcBorders>
              <w:top w:val="double" w:sz="4" w:space="0" w:color="auto"/>
              <w:bottom w:val="single" w:sz="12" w:space="0" w:color="auto"/>
            </w:tcBorders>
            <w:vAlign w:val="center"/>
          </w:tcPr>
          <w:p w:rsidR="004E5F7B" w:rsidRDefault="004E5F7B" w:rsidP="004E5F7B">
            <w:pPr>
              <w:jc w:val="center"/>
            </w:pPr>
            <w:r>
              <w:rPr>
                <w:b/>
                <w:sz w:val="22"/>
              </w:rPr>
              <w:t>Element</w:t>
            </w:r>
          </w:p>
        </w:tc>
        <w:tc>
          <w:tcPr>
            <w:tcW w:w="2304" w:type="dxa"/>
            <w:tcBorders>
              <w:top w:val="double" w:sz="4" w:space="0" w:color="auto"/>
              <w:bottom w:val="single" w:sz="12" w:space="0" w:color="auto"/>
            </w:tcBorders>
            <w:vAlign w:val="center"/>
          </w:tcPr>
          <w:p w:rsidR="004E5F7B" w:rsidRDefault="004E5F7B" w:rsidP="004E5F7B">
            <w:pPr>
              <w:jc w:val="center"/>
            </w:pPr>
            <w:r>
              <w:rPr>
                <w:b/>
                <w:sz w:val="22"/>
              </w:rPr>
              <w:t>Tolerance</w:t>
            </w:r>
          </w:p>
        </w:tc>
      </w:tr>
      <w:tr w:rsidR="004E5F7B" w:rsidTr="00BC222E">
        <w:trPr>
          <w:trHeight w:val="360"/>
          <w:jc w:val="center"/>
        </w:trPr>
        <w:tc>
          <w:tcPr>
            <w:tcW w:w="4032" w:type="dxa"/>
            <w:tcBorders>
              <w:top w:val="single" w:sz="12" w:space="0" w:color="auto"/>
            </w:tcBorders>
            <w:shd w:val="clear" w:color="auto" w:fill="D9D9D9" w:themeFill="background1" w:themeFillShade="D9"/>
            <w:vAlign w:val="center"/>
          </w:tcPr>
          <w:p w:rsidR="004E5F7B" w:rsidRDefault="004E5F7B" w:rsidP="004E5F7B">
            <w:r>
              <w:rPr>
                <w:sz w:val="22"/>
              </w:rPr>
              <w:t>Asphalt Cement Content</w:t>
            </w:r>
          </w:p>
        </w:tc>
        <w:tc>
          <w:tcPr>
            <w:tcW w:w="2304" w:type="dxa"/>
            <w:tcBorders>
              <w:top w:val="single" w:sz="12" w:space="0" w:color="auto"/>
            </w:tcBorders>
            <w:shd w:val="clear" w:color="auto" w:fill="D9D9D9" w:themeFill="background1" w:themeFillShade="D9"/>
          </w:tcPr>
          <w:p w:rsidR="004E5F7B" w:rsidRDefault="004E5F7B">
            <w:pPr>
              <w:jc w:val="center"/>
            </w:pPr>
            <w:r>
              <w:rPr>
                <w:sz w:val="22"/>
                <w:u w:val="single"/>
              </w:rPr>
              <w:t>+</w:t>
            </w:r>
            <w:r>
              <w:rPr>
                <w:sz w:val="22"/>
              </w:rPr>
              <w:t xml:space="preserve">  0.3 %</w:t>
            </w:r>
          </w:p>
        </w:tc>
      </w:tr>
      <w:tr w:rsidR="004E5F7B" w:rsidTr="00BC222E">
        <w:trPr>
          <w:trHeight w:val="360"/>
          <w:jc w:val="center"/>
        </w:trPr>
        <w:tc>
          <w:tcPr>
            <w:tcW w:w="4032" w:type="dxa"/>
            <w:vAlign w:val="center"/>
          </w:tcPr>
          <w:p w:rsidR="004E5F7B" w:rsidRDefault="004E5F7B" w:rsidP="004E5F7B">
            <w:r>
              <w:rPr>
                <w:sz w:val="22"/>
              </w:rPr>
              <w:t>Voids in the Mineral Aggregate (VMA)</w:t>
            </w:r>
          </w:p>
        </w:tc>
        <w:tc>
          <w:tcPr>
            <w:tcW w:w="2304" w:type="dxa"/>
          </w:tcPr>
          <w:p w:rsidR="004E5F7B" w:rsidRDefault="004E5F7B">
            <w:pPr>
              <w:jc w:val="center"/>
            </w:pPr>
            <w:r>
              <w:rPr>
                <w:sz w:val="22"/>
                <w:u w:val="single"/>
              </w:rPr>
              <w:t>+</w:t>
            </w:r>
            <w:r>
              <w:rPr>
                <w:sz w:val="22"/>
              </w:rPr>
              <w:t xml:space="preserve"> 1.2 %</w:t>
            </w:r>
          </w:p>
        </w:tc>
      </w:tr>
      <w:tr w:rsidR="004E5F7B" w:rsidTr="00BC222E">
        <w:trPr>
          <w:trHeight w:val="360"/>
          <w:jc w:val="center"/>
        </w:trPr>
        <w:tc>
          <w:tcPr>
            <w:tcW w:w="4032" w:type="dxa"/>
            <w:shd w:val="clear" w:color="auto" w:fill="D9D9D9" w:themeFill="background1" w:themeFillShade="D9"/>
            <w:vAlign w:val="center"/>
          </w:tcPr>
          <w:p w:rsidR="004E5F7B" w:rsidRDefault="004E5F7B" w:rsidP="004E5F7B">
            <w:r>
              <w:rPr>
                <w:sz w:val="22"/>
              </w:rPr>
              <w:t>Air Voids</w:t>
            </w:r>
          </w:p>
        </w:tc>
        <w:tc>
          <w:tcPr>
            <w:tcW w:w="2304" w:type="dxa"/>
            <w:shd w:val="clear" w:color="auto" w:fill="D9D9D9" w:themeFill="background1" w:themeFillShade="D9"/>
          </w:tcPr>
          <w:p w:rsidR="004E5F7B" w:rsidRDefault="004E5F7B">
            <w:pPr>
              <w:jc w:val="center"/>
            </w:pPr>
            <w:r>
              <w:rPr>
                <w:sz w:val="22"/>
                <w:u w:val="single"/>
              </w:rPr>
              <w:t>+</w:t>
            </w:r>
            <w:r>
              <w:rPr>
                <w:sz w:val="22"/>
              </w:rPr>
              <w:t xml:space="preserve"> 1.2 %</w:t>
            </w:r>
          </w:p>
        </w:tc>
      </w:tr>
    </w:tbl>
    <w:p w:rsidR="004E5F7B" w:rsidRDefault="004E5F7B">
      <w:pPr>
        <w:jc w:val="center"/>
      </w:pPr>
    </w:p>
    <w:sectPr w:rsidR="004E5F7B" w:rsidSect="00EC6CE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30" w:rsidRDefault="00082930" w:rsidP="002D5092">
      <w:pPr>
        <w:pStyle w:val="Header"/>
      </w:pPr>
      <w:r>
        <w:separator/>
      </w:r>
    </w:p>
  </w:endnote>
  <w:endnote w:type="continuationSeparator" w:id="0">
    <w:p w:rsidR="00082930" w:rsidRDefault="00082930" w:rsidP="002D509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30" w:rsidRDefault="00082930" w:rsidP="002D5092">
      <w:pPr>
        <w:pStyle w:val="Header"/>
      </w:pPr>
      <w:r>
        <w:separator/>
      </w:r>
    </w:p>
  </w:footnote>
  <w:footnote w:type="continuationSeparator" w:id="0">
    <w:p w:rsidR="00082930" w:rsidRDefault="00082930" w:rsidP="002D5092">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2"/>
    <w:rsid w:val="00082930"/>
    <w:rsid w:val="00144A94"/>
    <w:rsid w:val="001E3FBF"/>
    <w:rsid w:val="00252671"/>
    <w:rsid w:val="002D17A6"/>
    <w:rsid w:val="002D5092"/>
    <w:rsid w:val="00397942"/>
    <w:rsid w:val="003E0A99"/>
    <w:rsid w:val="004E5F7B"/>
    <w:rsid w:val="0055327B"/>
    <w:rsid w:val="005643FB"/>
    <w:rsid w:val="005868FD"/>
    <w:rsid w:val="00686E5B"/>
    <w:rsid w:val="006970E9"/>
    <w:rsid w:val="006A79C7"/>
    <w:rsid w:val="00705B59"/>
    <w:rsid w:val="00734DB6"/>
    <w:rsid w:val="007755A7"/>
    <w:rsid w:val="007B0C64"/>
    <w:rsid w:val="0082339C"/>
    <w:rsid w:val="008A18EB"/>
    <w:rsid w:val="008A6ACD"/>
    <w:rsid w:val="00A01174"/>
    <w:rsid w:val="00A04928"/>
    <w:rsid w:val="00A32F3F"/>
    <w:rsid w:val="00A63D6C"/>
    <w:rsid w:val="00BC222E"/>
    <w:rsid w:val="00BE24BD"/>
    <w:rsid w:val="00BF2B31"/>
    <w:rsid w:val="00CB6144"/>
    <w:rsid w:val="00CF755C"/>
    <w:rsid w:val="00D5614D"/>
    <w:rsid w:val="00EB5426"/>
    <w:rsid w:val="00EC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8E335"/>
  <w15:docId w15:val="{4D265E93-AAC3-42AB-8862-3C57EAB3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E6"/>
  </w:style>
  <w:style w:type="paragraph" w:styleId="Heading1">
    <w:name w:val="heading 1"/>
    <w:basedOn w:val="Normal"/>
    <w:next w:val="Normal"/>
    <w:qFormat/>
    <w:rsid w:val="00EC6CE6"/>
    <w:pPr>
      <w:keepNext/>
      <w:widowControl w:val="0"/>
      <w:tabs>
        <w:tab w:val="left" w:pos="0"/>
        <w:tab w:val="left" w:pos="360"/>
        <w:tab w:val="left" w:pos="0"/>
        <w:tab w:val="left" w:pos="360"/>
        <w:tab w:val="left" w:pos="0"/>
        <w:tab w:val="left" w:pos="360"/>
        <w:tab w:val="left" w:pos="0"/>
        <w:tab w:val="left" w:pos="360"/>
      </w:tabs>
      <w:spacing w:line="264" w:lineRule="atLeas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E6"/>
    <w:pPr>
      <w:widowControl w:val="0"/>
    </w:pPr>
    <w:rPr>
      <w:noProof/>
      <w:color w:val="000000"/>
      <w:sz w:val="28"/>
    </w:rPr>
  </w:style>
  <w:style w:type="paragraph" w:styleId="Header">
    <w:name w:val="header"/>
    <w:basedOn w:val="Normal"/>
    <w:rsid w:val="00A32F3F"/>
    <w:pPr>
      <w:tabs>
        <w:tab w:val="center" w:pos="4320"/>
        <w:tab w:val="right" w:pos="8640"/>
      </w:tabs>
    </w:pPr>
  </w:style>
  <w:style w:type="paragraph" w:styleId="Footer">
    <w:name w:val="footer"/>
    <w:basedOn w:val="Normal"/>
    <w:rsid w:val="00A32F3F"/>
    <w:pPr>
      <w:tabs>
        <w:tab w:val="center" w:pos="4320"/>
        <w:tab w:val="right" w:pos="8640"/>
      </w:tabs>
    </w:pPr>
  </w:style>
  <w:style w:type="table" w:styleId="TableGrid">
    <w:name w:val="Table Grid"/>
    <w:basedOn w:val="TableNormal"/>
    <w:rsid w:val="004E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9</cp:revision>
  <dcterms:created xsi:type="dcterms:W3CDTF">2016-09-20T21:52:00Z</dcterms:created>
  <dcterms:modified xsi:type="dcterms:W3CDTF">2019-08-01T17:07:00Z</dcterms:modified>
</cp:coreProperties>
</file>