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A2" w:rsidRPr="00FA2FA7" w:rsidRDefault="00B81FA2" w:rsidP="00B81FA2">
      <w:pPr>
        <w:widowControl/>
        <w:autoSpaceDE/>
        <w:autoSpaceDN/>
        <w:spacing w:before="240" w:after="240"/>
        <w:jc w:val="center"/>
        <w:rPr>
          <w:rFonts w:ascii="Times New Roman" w:eastAsia="Times New Roman" w:hAnsi="Times New Roman" w:cs="Times New Roman"/>
          <w:b/>
          <w:bCs/>
          <w:sz w:val="40"/>
          <w:szCs w:val="40"/>
        </w:rPr>
      </w:pPr>
      <w:r w:rsidRPr="00FA2FA7">
        <w:rPr>
          <w:rFonts w:ascii="Times New Roman" w:eastAsia="Times New Roman" w:hAnsi="Times New Roman" w:cs="Times New Roman"/>
          <w:b/>
          <w:bCs/>
          <w:sz w:val="40"/>
          <w:szCs w:val="40"/>
        </w:rPr>
        <w:t>NOTICE</w:t>
      </w:r>
    </w:p>
    <w:p w:rsidR="00B81FA2" w:rsidRDefault="00B81FA2" w:rsidP="00FA2FA7">
      <w:pPr>
        <w:widowControl/>
        <w:autoSpaceDE/>
        <w:autoSpaceDN/>
        <w:jc w:val="both"/>
        <w:rPr>
          <w:rFonts w:ascii="Times New Roman" w:eastAsia="Times New Roman" w:hAnsi="Times New Roman" w:cs="Times New Roman"/>
          <w:sz w:val="28"/>
          <w:szCs w:val="24"/>
        </w:rPr>
      </w:pPr>
      <w:r w:rsidRPr="00FA2FA7">
        <w:rPr>
          <w:rFonts w:ascii="Times New Roman" w:eastAsia="Times New Roman" w:hAnsi="Times New Roman" w:cs="Times New Roman"/>
          <w:sz w:val="28"/>
          <w:szCs w:val="24"/>
        </w:rPr>
        <w:t xml:space="preserve">This is a standard special provision that revises CDOT’s </w:t>
      </w:r>
      <w:r w:rsidRPr="00FA2FA7">
        <w:rPr>
          <w:rFonts w:ascii="Times New Roman" w:eastAsia="Times New Roman" w:hAnsi="Times New Roman" w:cs="Times New Roman"/>
          <w:i/>
          <w:sz w:val="28"/>
          <w:szCs w:val="24"/>
        </w:rPr>
        <w:t>Standard Speci</w:t>
      </w:r>
      <w:bookmarkStart w:id="0" w:name="_GoBack"/>
      <w:bookmarkEnd w:id="0"/>
      <w:r w:rsidRPr="00FA2FA7">
        <w:rPr>
          <w:rFonts w:ascii="Times New Roman" w:eastAsia="Times New Roman" w:hAnsi="Times New Roman" w:cs="Times New Roman"/>
          <w:i/>
          <w:sz w:val="28"/>
          <w:szCs w:val="24"/>
        </w:rPr>
        <w:t>fications for Road and Bridge Construction</w:t>
      </w:r>
      <w:r w:rsidRPr="00FA2FA7">
        <w:rPr>
          <w:rFonts w:ascii="Times New Roman" w:eastAsia="Times New Roman" w:hAnsi="Times New Roman" w:cs="Times New Roman"/>
          <w:sz w:val="28"/>
          <w:szCs w:val="24"/>
        </w:rPr>
        <w:t>. It has gone through a formal review and approval process and has been issued by CDOT’s Construction Services Branch with formal instructions regarding its use. It is to be used as written without change. Do not use modified versions of this special provision nor use this special provision in a manner other than specified in the instructions unless such use is first approved by the Construction Services Branch. The instructions for use on CDOT construction projects appear below.</w:t>
      </w:r>
    </w:p>
    <w:p w:rsidR="00FA2FA7" w:rsidRPr="00FA2FA7" w:rsidRDefault="00FA2FA7" w:rsidP="00FA2FA7">
      <w:pPr>
        <w:widowControl/>
        <w:autoSpaceDE/>
        <w:autoSpaceDN/>
        <w:jc w:val="both"/>
        <w:rPr>
          <w:rFonts w:ascii="Times New Roman" w:eastAsia="Times New Roman" w:hAnsi="Times New Roman" w:cs="Times New Roman"/>
          <w:sz w:val="28"/>
          <w:szCs w:val="24"/>
        </w:rPr>
      </w:pPr>
    </w:p>
    <w:p w:rsidR="00B81FA2" w:rsidRDefault="00B81FA2" w:rsidP="00FA2FA7">
      <w:pPr>
        <w:widowControl/>
        <w:autoSpaceDE/>
        <w:autoSpaceDN/>
        <w:jc w:val="both"/>
        <w:rPr>
          <w:rFonts w:ascii="Times New Roman" w:eastAsia="Times New Roman" w:hAnsi="Times New Roman" w:cs="Times New Roman"/>
          <w:sz w:val="28"/>
          <w:szCs w:val="24"/>
        </w:rPr>
      </w:pPr>
      <w:r w:rsidRPr="00FA2FA7">
        <w:rPr>
          <w:rFonts w:ascii="Times New Roman" w:eastAsia="Times New Roman" w:hAnsi="Times New Roman" w:cs="Times New Roman"/>
          <w:sz w:val="28"/>
          <w:szCs w:val="24"/>
        </w:rPr>
        <w:t xml:space="preserve">Other agencies that use the </w:t>
      </w:r>
      <w:r w:rsidRPr="00FA2FA7">
        <w:rPr>
          <w:rFonts w:ascii="Times New Roman" w:eastAsia="Times New Roman" w:hAnsi="Times New Roman" w:cs="Times New Roman"/>
          <w:i/>
          <w:sz w:val="28"/>
          <w:szCs w:val="24"/>
        </w:rPr>
        <w:t xml:space="preserve">Standard Specifications for Road and Bridge Construction </w:t>
      </w:r>
      <w:r w:rsidRPr="00FA2FA7">
        <w:rPr>
          <w:rFonts w:ascii="Times New Roman" w:eastAsia="Times New Roman" w:hAnsi="Times New Roman" w:cs="Times New Roman"/>
          <w:sz w:val="28"/>
          <w:szCs w:val="24"/>
        </w:rPr>
        <w:t>to administer construction projects may use this special provision as appropriate and at their own risk.</w:t>
      </w:r>
    </w:p>
    <w:p w:rsidR="00FA2FA7" w:rsidRPr="00FA2FA7" w:rsidRDefault="00FA2FA7" w:rsidP="00FA2FA7">
      <w:pPr>
        <w:widowControl/>
        <w:autoSpaceDE/>
        <w:autoSpaceDN/>
        <w:jc w:val="both"/>
        <w:rPr>
          <w:rFonts w:ascii="Times New Roman" w:eastAsia="Times New Roman" w:hAnsi="Times New Roman" w:cs="Times New Roman"/>
          <w:sz w:val="28"/>
          <w:szCs w:val="24"/>
        </w:rPr>
      </w:pPr>
    </w:p>
    <w:p w:rsidR="00B81FA2" w:rsidRPr="00FA2FA7" w:rsidRDefault="00B81FA2" w:rsidP="00FA2FA7">
      <w:pPr>
        <w:widowControl/>
        <w:autoSpaceDE/>
        <w:autoSpaceDN/>
        <w:jc w:val="both"/>
        <w:rPr>
          <w:rFonts w:ascii="Times New Roman" w:eastAsia="Calibri" w:hAnsi="Times New Roman" w:cs="Times New Roman"/>
          <w:b/>
          <w:bCs/>
          <w:color w:val="800000"/>
          <w:sz w:val="28"/>
          <w:szCs w:val="28"/>
        </w:rPr>
      </w:pPr>
      <w:r w:rsidRPr="00FA2FA7">
        <w:rPr>
          <w:rFonts w:ascii="Times New Roman" w:eastAsia="Calibri" w:hAnsi="Times New Roman" w:cs="Times New Roman"/>
          <w:b/>
          <w:bCs/>
          <w:color w:val="800000"/>
          <w:sz w:val="28"/>
          <w:szCs w:val="28"/>
        </w:rPr>
        <w:t>Instructions for use on CDOT construction projects:</w:t>
      </w:r>
    </w:p>
    <w:p w:rsidR="00B81FA2" w:rsidRPr="00FA2FA7" w:rsidRDefault="00B81FA2" w:rsidP="00FA2FA7">
      <w:pPr>
        <w:widowControl/>
        <w:autoSpaceDE/>
        <w:autoSpaceDN/>
        <w:jc w:val="both"/>
        <w:rPr>
          <w:rFonts w:ascii="Times New Roman" w:eastAsia="Times New Roman" w:hAnsi="Times New Roman" w:cs="Times New Roman"/>
          <w:sz w:val="28"/>
          <w:szCs w:val="24"/>
        </w:rPr>
      </w:pPr>
      <w:r w:rsidRPr="00FA2FA7">
        <w:rPr>
          <w:rFonts w:ascii="Times New Roman" w:eastAsia="Times New Roman" w:hAnsi="Times New Roman" w:cs="Times New Roman"/>
          <w:sz w:val="28"/>
          <w:szCs w:val="24"/>
        </w:rPr>
        <w:t>Use this standard special provision on all projects.</w:t>
      </w:r>
    </w:p>
    <w:p w:rsidR="00B81FA2" w:rsidRPr="00FA2FA7" w:rsidRDefault="00546915" w:rsidP="00FA2FA7">
      <w:pPr>
        <w:widowControl/>
        <w:autoSpaceDE/>
        <w:rPr>
          <w:rFonts w:ascii="Times New Roman" w:eastAsia="Times New Roman" w:hAnsi="Times New Roman" w:cs="Times New Roman"/>
          <w:sz w:val="28"/>
          <w:szCs w:val="28"/>
          <w:lang w:eastAsia="ar-SA"/>
        </w:rPr>
      </w:pPr>
      <w:bookmarkStart w:id="1" w:name="_Toc464117928"/>
      <w:bookmarkStart w:id="2" w:name="_Toc465662505"/>
      <w:bookmarkStart w:id="3" w:name="_Toc471726521"/>
      <w:bookmarkStart w:id="4" w:name="_Toc479171905"/>
      <w:r w:rsidRPr="00FA2FA7">
        <w:rPr>
          <w:rFonts w:ascii="Times New Roman" w:eastAsia="Times New Roman" w:hAnsi="Times New Roman" w:cs="Times New Roman"/>
          <w:sz w:val="28"/>
          <w:szCs w:val="28"/>
          <w:lang w:eastAsia="ar-SA"/>
        </w:rPr>
        <w:br w:type="page"/>
      </w:r>
      <w:r w:rsidR="001C29A3" w:rsidRPr="00CC7E1C">
        <w:rPr>
          <w:rFonts w:eastAsia="Times New Roman"/>
          <w:bCs/>
          <w:kern w:val="2"/>
          <w:sz w:val="20"/>
          <w:szCs w:val="20"/>
        </w:rPr>
        <w:lastRenderedPageBreak/>
        <w:t xml:space="preserve">Section </w:t>
      </w:r>
      <w:r w:rsidR="00623403">
        <w:rPr>
          <w:rFonts w:eastAsia="Times New Roman"/>
          <w:bCs/>
          <w:kern w:val="2"/>
          <w:sz w:val="20"/>
          <w:szCs w:val="20"/>
        </w:rPr>
        <w:t>601</w:t>
      </w:r>
      <w:r w:rsidR="001C29A3"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CC7E1C" w:rsidRDefault="00B81FA2" w:rsidP="00B85137">
      <w:pPr>
        <w:rPr>
          <w:rFonts w:eastAsia="Calibri"/>
          <w:sz w:val="20"/>
          <w:szCs w:val="20"/>
        </w:rPr>
      </w:pPr>
    </w:p>
    <w:p w:rsidR="001C29A3" w:rsidRPr="00CC7E1C" w:rsidRDefault="0087409F" w:rsidP="00B85137">
      <w:pPr>
        <w:rPr>
          <w:rFonts w:eastAsia="Calibri"/>
          <w:sz w:val="20"/>
          <w:szCs w:val="20"/>
        </w:rPr>
      </w:pPr>
      <w:r>
        <w:rPr>
          <w:rFonts w:eastAsia="Calibri"/>
          <w:sz w:val="20"/>
          <w:szCs w:val="20"/>
        </w:rPr>
        <w:t>In Subsection 601.05 d</w:t>
      </w:r>
      <w:r w:rsidR="00B85137" w:rsidRPr="00CC7E1C">
        <w:rPr>
          <w:rFonts w:eastAsia="Calibri"/>
          <w:sz w:val="20"/>
          <w:szCs w:val="20"/>
        </w:rPr>
        <w:t>elete</w:t>
      </w:r>
      <w:r w:rsidR="00B22977">
        <w:rPr>
          <w:rFonts w:eastAsia="Calibri"/>
          <w:sz w:val="20"/>
          <w:szCs w:val="20"/>
        </w:rPr>
        <w:t xml:space="preserve"> </w:t>
      </w:r>
      <w:r w:rsidR="00623403">
        <w:rPr>
          <w:rFonts w:eastAsia="Calibri"/>
          <w:sz w:val="20"/>
          <w:szCs w:val="20"/>
        </w:rPr>
        <w:t xml:space="preserve">the last five paragraphs </w:t>
      </w:r>
      <w:r w:rsidR="00B85137" w:rsidRPr="00CC7E1C">
        <w:rPr>
          <w:rFonts w:eastAsia="Calibri"/>
          <w:sz w:val="20"/>
          <w:szCs w:val="20"/>
        </w:rPr>
        <w:t xml:space="preserve">and replace </w:t>
      </w:r>
      <w:r>
        <w:rPr>
          <w:rFonts w:eastAsia="Calibri"/>
          <w:sz w:val="20"/>
          <w:szCs w:val="20"/>
        </w:rPr>
        <w:t xml:space="preserve">them </w:t>
      </w:r>
      <w:r w:rsidR="00B85137" w:rsidRPr="00CC7E1C">
        <w:rPr>
          <w:rFonts w:eastAsia="Calibri"/>
          <w:sz w:val="20"/>
          <w:szCs w:val="20"/>
        </w:rPr>
        <w:t>with the following:</w:t>
      </w:r>
    </w:p>
    <w:bookmarkEnd w:id="1"/>
    <w:bookmarkEnd w:id="2"/>
    <w:bookmarkEnd w:id="3"/>
    <w:bookmarkEnd w:id="4"/>
    <w:p w:rsidR="00623403" w:rsidRPr="00623403" w:rsidRDefault="00623403" w:rsidP="007507E1">
      <w:pPr>
        <w:spacing w:before="120" w:after="120" w:line="276" w:lineRule="auto"/>
        <w:ind w:left="270"/>
        <w:rPr>
          <w:sz w:val="20"/>
          <w:szCs w:val="20"/>
        </w:rPr>
      </w:pPr>
      <w:r w:rsidRPr="00623403">
        <w:rPr>
          <w:sz w:val="20"/>
          <w:szCs w:val="20"/>
        </w:rPr>
        <w:t xml:space="preserve">The Contractor shall submit a new Concrete Mix Design Report meeting the above requirements when a change occurs in the source, type, or proportions of cement, slag cement, fly ash, high-reactivity </w:t>
      </w:r>
      <w:proofErr w:type="spellStart"/>
      <w:r w:rsidRPr="00623403">
        <w:rPr>
          <w:sz w:val="20"/>
          <w:szCs w:val="20"/>
        </w:rPr>
        <w:t>pozzolan</w:t>
      </w:r>
      <w:proofErr w:type="spellEnd"/>
      <w:r w:rsidRPr="00623403">
        <w:rPr>
          <w:sz w:val="20"/>
          <w:szCs w:val="20"/>
        </w:rPr>
        <w:t>, silica fume, or aggregate. When a change occurs in the source of approved admixtures, the Contractor shall submit a letter electronically sealed by the Concrete Mix Design Engineer approving the changes to the existing mix design. The Engineer shall approve the change prior to use.</w:t>
      </w:r>
    </w:p>
    <w:p w:rsidR="00623403" w:rsidRPr="00623403" w:rsidRDefault="00623403" w:rsidP="007507E1">
      <w:pPr>
        <w:spacing w:before="120" w:after="120" w:line="276" w:lineRule="auto"/>
        <w:ind w:left="270"/>
        <w:rPr>
          <w:sz w:val="20"/>
          <w:szCs w:val="20"/>
        </w:rPr>
      </w:pPr>
      <w:r w:rsidRPr="00623403">
        <w:rPr>
          <w:sz w:val="20"/>
          <w:szCs w:val="20"/>
        </w:rPr>
        <w:t>The Engineer may permit the use of approved accelerating, retarding or hydration stabilizing admixtures to existing mix designs when documentation includes the following:</w:t>
      </w:r>
    </w:p>
    <w:p w:rsidR="00623403" w:rsidRPr="00623403" w:rsidRDefault="00623403" w:rsidP="007507E1">
      <w:pPr>
        <w:pStyle w:val="ListParagraph"/>
        <w:numPr>
          <w:ilvl w:val="0"/>
          <w:numId w:val="14"/>
        </w:numPr>
        <w:spacing w:before="120" w:after="240" w:line="276" w:lineRule="auto"/>
        <w:rPr>
          <w:sz w:val="20"/>
          <w:szCs w:val="20"/>
        </w:rPr>
      </w:pPr>
      <w:r w:rsidRPr="00623403">
        <w:rPr>
          <w:sz w:val="20"/>
          <w:szCs w:val="20"/>
        </w:rPr>
        <w:t>The manufacturer's recommended dosage of the admixture</w:t>
      </w:r>
    </w:p>
    <w:p w:rsidR="00623403" w:rsidRPr="00623403" w:rsidRDefault="00623403" w:rsidP="007507E1">
      <w:pPr>
        <w:pStyle w:val="ListParagraph"/>
        <w:numPr>
          <w:ilvl w:val="0"/>
          <w:numId w:val="14"/>
        </w:numPr>
        <w:spacing w:before="120" w:after="240" w:line="276" w:lineRule="auto"/>
        <w:rPr>
          <w:sz w:val="20"/>
          <w:szCs w:val="20"/>
        </w:rPr>
      </w:pPr>
      <w:r w:rsidRPr="00623403">
        <w:rPr>
          <w:sz w:val="20"/>
          <w:szCs w:val="20"/>
        </w:rPr>
        <w:t>A letter approving the changes to the existing mix design electronically sealed by the Concrete Mix Design Engineer.</w:t>
      </w:r>
    </w:p>
    <w:p w:rsidR="00623403" w:rsidRPr="00623403" w:rsidRDefault="00623403" w:rsidP="007507E1">
      <w:pPr>
        <w:spacing w:before="120" w:after="120" w:line="276" w:lineRule="auto"/>
        <w:ind w:left="270"/>
        <w:rPr>
          <w:sz w:val="20"/>
          <w:szCs w:val="20"/>
        </w:rPr>
      </w:pPr>
      <w:r w:rsidRPr="00623403">
        <w:rPr>
          <w:sz w:val="20"/>
          <w:szCs w:val="20"/>
        </w:rPr>
        <w:t>Unless otherwise permitted by the Engineer, the product of only one type of hydraulic cement from one source of any one brand shall be used in a concrete mix design.</w:t>
      </w:r>
    </w:p>
    <w:p w:rsidR="00623403" w:rsidRPr="00623403" w:rsidRDefault="00623403" w:rsidP="007507E1">
      <w:pPr>
        <w:spacing w:before="120" w:after="120" w:line="276" w:lineRule="auto"/>
        <w:ind w:left="270"/>
        <w:rPr>
          <w:sz w:val="20"/>
          <w:szCs w:val="20"/>
        </w:rPr>
      </w:pPr>
      <w:r w:rsidRPr="00623403">
        <w:rPr>
          <w:sz w:val="20"/>
          <w:szCs w:val="20"/>
        </w:rPr>
        <w:t>When Fiber-Reinforced Concrete is specified in the Contract, polyolefin fibers may be added to an approved mix design except when Macro Fiber-Reinforced Concrete is specified. If Macro Fiber-Reinforced Concrete is specified a new trial mix will be required. When polyolefin fibers are added to an approved concrete mix design, the Contractor shall submit a letter electronically se</w:t>
      </w:r>
      <w:r>
        <w:rPr>
          <w:sz w:val="20"/>
          <w:szCs w:val="20"/>
        </w:rPr>
        <w:t xml:space="preserve">aled by the Concrete Mix Design </w:t>
      </w:r>
      <w:r w:rsidRPr="00623403">
        <w:rPr>
          <w:sz w:val="20"/>
          <w:szCs w:val="20"/>
        </w:rPr>
        <w:t>Engineer approving the changes. The Engineer will approve the letter prior to use. The electronically sealed letter shall include the following:</w:t>
      </w:r>
    </w:p>
    <w:p w:rsidR="00623403" w:rsidRPr="00623403" w:rsidRDefault="00623403" w:rsidP="007507E1">
      <w:pPr>
        <w:pStyle w:val="ListParagraph"/>
        <w:numPr>
          <w:ilvl w:val="0"/>
          <w:numId w:val="17"/>
        </w:numPr>
        <w:spacing w:before="120" w:line="276" w:lineRule="auto"/>
        <w:rPr>
          <w:sz w:val="20"/>
          <w:szCs w:val="20"/>
        </w:rPr>
      </w:pPr>
      <w:r w:rsidRPr="00623403">
        <w:rPr>
          <w:sz w:val="20"/>
          <w:szCs w:val="20"/>
        </w:rPr>
        <w:t>The mix design number, both the CDOT mix ID number and the suppliers mix ID number.</w:t>
      </w:r>
    </w:p>
    <w:p w:rsidR="00623403" w:rsidRPr="00623403" w:rsidRDefault="00623403" w:rsidP="007507E1">
      <w:pPr>
        <w:pStyle w:val="ListParagraph"/>
        <w:numPr>
          <w:ilvl w:val="0"/>
          <w:numId w:val="17"/>
        </w:numPr>
        <w:spacing w:before="120" w:after="240" w:line="276" w:lineRule="auto"/>
        <w:rPr>
          <w:sz w:val="20"/>
          <w:szCs w:val="20"/>
        </w:rPr>
      </w:pPr>
      <w:r w:rsidRPr="00623403">
        <w:rPr>
          <w:sz w:val="20"/>
          <w:szCs w:val="20"/>
        </w:rPr>
        <w:t>The brand and type of polyolefin fibers.</w:t>
      </w:r>
    </w:p>
    <w:p w:rsidR="00623403" w:rsidRPr="00623403" w:rsidRDefault="00623403" w:rsidP="007507E1">
      <w:pPr>
        <w:pStyle w:val="ListParagraph"/>
        <w:numPr>
          <w:ilvl w:val="0"/>
          <w:numId w:val="17"/>
        </w:numPr>
        <w:spacing w:before="120" w:line="276" w:lineRule="auto"/>
        <w:rPr>
          <w:sz w:val="20"/>
          <w:szCs w:val="20"/>
        </w:rPr>
      </w:pPr>
      <w:r w:rsidRPr="00623403">
        <w:rPr>
          <w:sz w:val="20"/>
          <w:szCs w:val="20"/>
        </w:rPr>
        <w:t>The dosage of polyolefin fibers in pounds per cubic yard.</w:t>
      </w:r>
    </w:p>
    <w:p w:rsidR="00623403" w:rsidRPr="00623403" w:rsidRDefault="00623403" w:rsidP="007507E1">
      <w:pPr>
        <w:pStyle w:val="ListParagraph"/>
        <w:numPr>
          <w:ilvl w:val="0"/>
          <w:numId w:val="17"/>
        </w:numPr>
        <w:spacing w:before="120" w:after="240" w:line="276" w:lineRule="auto"/>
        <w:rPr>
          <w:sz w:val="20"/>
          <w:szCs w:val="20"/>
        </w:rPr>
      </w:pPr>
      <w:r w:rsidRPr="00623403">
        <w:rPr>
          <w:sz w:val="20"/>
          <w:szCs w:val="20"/>
        </w:rPr>
        <w:t>Adjustment to the fine aggregate batch weight.</w:t>
      </w:r>
    </w:p>
    <w:p w:rsidR="00B53DE4" w:rsidRDefault="00623403" w:rsidP="007507E1">
      <w:pPr>
        <w:spacing w:after="100" w:afterAutospacing="1" w:line="276" w:lineRule="auto"/>
        <w:ind w:left="270"/>
        <w:rPr>
          <w:sz w:val="20"/>
          <w:szCs w:val="20"/>
        </w:rPr>
      </w:pPr>
      <w:r w:rsidRPr="00623403">
        <w:rPr>
          <w:sz w:val="20"/>
          <w:szCs w:val="20"/>
        </w:rPr>
        <w:t>Review and approval of the concrete mix design by the Engineer does not constitute acceptance of the concrete. Acceptance will be based solely on the test results of concrete placed on the project.</w:t>
      </w:r>
    </w:p>
    <w:p w:rsidR="002935ED" w:rsidRPr="00CC7E1C" w:rsidRDefault="002935ED" w:rsidP="002935ED">
      <w:pPr>
        <w:rPr>
          <w:rFonts w:eastAsia="Calibri"/>
          <w:sz w:val="20"/>
          <w:szCs w:val="20"/>
        </w:rPr>
      </w:pPr>
      <w:r>
        <w:rPr>
          <w:rFonts w:eastAsia="Calibri"/>
          <w:sz w:val="20"/>
          <w:szCs w:val="20"/>
        </w:rPr>
        <w:t xml:space="preserve">Delete Subsection 601.10 (c) 8. </w:t>
      </w:r>
      <w:r w:rsidRPr="00CC7E1C">
        <w:rPr>
          <w:rFonts w:eastAsia="Calibri"/>
          <w:sz w:val="20"/>
          <w:szCs w:val="20"/>
        </w:rPr>
        <w:t xml:space="preserve">and replace </w:t>
      </w:r>
      <w:r>
        <w:rPr>
          <w:rFonts w:eastAsia="Calibri"/>
          <w:sz w:val="20"/>
          <w:szCs w:val="20"/>
        </w:rPr>
        <w:t xml:space="preserve">it </w:t>
      </w:r>
      <w:r w:rsidRPr="00CC7E1C">
        <w:rPr>
          <w:rFonts w:eastAsia="Calibri"/>
          <w:sz w:val="20"/>
          <w:szCs w:val="20"/>
        </w:rPr>
        <w:t>with the following:</w:t>
      </w:r>
    </w:p>
    <w:p w:rsidR="002935ED" w:rsidRPr="007507E1" w:rsidRDefault="002935ED" w:rsidP="007507E1">
      <w:pPr>
        <w:pStyle w:val="ListParagraph"/>
        <w:numPr>
          <w:ilvl w:val="0"/>
          <w:numId w:val="18"/>
        </w:numPr>
        <w:spacing w:before="120" w:after="240" w:line="276" w:lineRule="auto"/>
        <w:rPr>
          <w:sz w:val="20"/>
          <w:szCs w:val="20"/>
        </w:rPr>
      </w:pPr>
      <w:r w:rsidRPr="007507E1">
        <w:rPr>
          <w:sz w:val="20"/>
          <w:szCs w:val="20"/>
        </w:rPr>
        <w:t>The Contractor shall submit two sets of the fabricator's shop and erection drawings to the Engineer. The drawings shall be designed and electronically sealed by the Contractor's Engineer. The drawings will not be approved or returned to the Contractor. The drawings shall indicate the grade of steel, the physical and section properties of all permanent steel bridge deck form sheets, and attachment details.</w:t>
      </w:r>
    </w:p>
    <w:p w:rsidR="002935ED" w:rsidRPr="002935ED" w:rsidRDefault="002935ED" w:rsidP="00E56E83">
      <w:pPr>
        <w:rPr>
          <w:rFonts w:eastAsia="Calibri"/>
          <w:sz w:val="20"/>
          <w:szCs w:val="20"/>
        </w:rPr>
      </w:pPr>
      <w:r w:rsidRPr="002935ED">
        <w:rPr>
          <w:rFonts w:eastAsia="Calibri"/>
          <w:sz w:val="20"/>
          <w:szCs w:val="20"/>
        </w:rPr>
        <w:t>Delete Subsection 601.</w:t>
      </w:r>
      <w:r>
        <w:rPr>
          <w:rFonts w:eastAsia="Calibri"/>
          <w:sz w:val="20"/>
          <w:szCs w:val="20"/>
        </w:rPr>
        <w:t xml:space="preserve">11 </w:t>
      </w:r>
      <w:r w:rsidRPr="002935ED">
        <w:rPr>
          <w:rFonts w:eastAsia="Calibri"/>
          <w:sz w:val="20"/>
          <w:szCs w:val="20"/>
        </w:rPr>
        <w:t>(</w:t>
      </w:r>
      <w:r>
        <w:rPr>
          <w:rFonts w:eastAsia="Calibri"/>
          <w:sz w:val="20"/>
          <w:szCs w:val="20"/>
        </w:rPr>
        <w:t>a</w:t>
      </w:r>
      <w:r w:rsidRPr="002935ED">
        <w:rPr>
          <w:rFonts w:eastAsia="Calibri"/>
          <w:sz w:val="20"/>
          <w:szCs w:val="20"/>
        </w:rPr>
        <w:t>) and replace it with the following:</w:t>
      </w:r>
    </w:p>
    <w:p w:rsidR="002935ED" w:rsidRPr="007507E1" w:rsidRDefault="002935ED" w:rsidP="007507E1">
      <w:pPr>
        <w:pStyle w:val="ListParagraph"/>
        <w:numPr>
          <w:ilvl w:val="0"/>
          <w:numId w:val="19"/>
        </w:numPr>
        <w:spacing w:before="120" w:after="120" w:line="276" w:lineRule="auto"/>
        <w:ind w:left="540"/>
        <w:rPr>
          <w:sz w:val="20"/>
          <w:szCs w:val="20"/>
        </w:rPr>
      </w:pPr>
      <w:r w:rsidRPr="007507E1">
        <w:rPr>
          <w:i/>
          <w:sz w:val="20"/>
          <w:szCs w:val="20"/>
        </w:rPr>
        <w:t>General.</w:t>
      </w:r>
      <w:r w:rsidRPr="007507E1">
        <w:rPr>
          <w:sz w:val="20"/>
          <w:szCs w:val="20"/>
        </w:rPr>
        <w:t xml:space="preserve"> The Contractor shall be responsible for designing and constructing </w:t>
      </w:r>
      <w:proofErr w:type="spellStart"/>
      <w:r w:rsidRPr="007507E1">
        <w:rPr>
          <w:sz w:val="20"/>
          <w:szCs w:val="20"/>
        </w:rPr>
        <w:t>falsework</w:t>
      </w:r>
      <w:proofErr w:type="spellEnd"/>
      <w:r w:rsidRPr="007507E1">
        <w:rPr>
          <w:sz w:val="20"/>
          <w:szCs w:val="20"/>
        </w:rPr>
        <w:t xml:space="preserve">. The Contractor's Engineer shall determine whether </w:t>
      </w:r>
      <w:proofErr w:type="spellStart"/>
      <w:r w:rsidRPr="007507E1">
        <w:rPr>
          <w:sz w:val="20"/>
          <w:szCs w:val="20"/>
        </w:rPr>
        <w:t>falsework</w:t>
      </w:r>
      <w:proofErr w:type="spellEnd"/>
      <w:r w:rsidRPr="007507E1">
        <w:rPr>
          <w:sz w:val="20"/>
          <w:szCs w:val="20"/>
        </w:rPr>
        <w:t xml:space="preserve"> is necessary. When the Contractor's Engineer determines </w:t>
      </w:r>
      <w:proofErr w:type="spellStart"/>
      <w:r w:rsidRPr="007507E1">
        <w:rPr>
          <w:sz w:val="20"/>
          <w:szCs w:val="20"/>
        </w:rPr>
        <w:t>falsework</w:t>
      </w:r>
      <w:proofErr w:type="spellEnd"/>
      <w:r w:rsidRPr="007507E1">
        <w:rPr>
          <w:sz w:val="20"/>
          <w:szCs w:val="20"/>
        </w:rPr>
        <w:t xml:space="preserve"> is unnecessary, the Contractor shall submit a written statement signed by the Contractor's Engineer so stating. The Contractor’s Engineer shall prepare and electronically seal all </w:t>
      </w:r>
      <w:proofErr w:type="spellStart"/>
      <w:r w:rsidRPr="007507E1">
        <w:rPr>
          <w:sz w:val="20"/>
          <w:szCs w:val="20"/>
        </w:rPr>
        <w:t>falsework</w:t>
      </w:r>
      <w:proofErr w:type="spellEnd"/>
      <w:r w:rsidRPr="007507E1">
        <w:rPr>
          <w:sz w:val="20"/>
          <w:szCs w:val="20"/>
        </w:rPr>
        <w:t xml:space="preserve"> drawings including revisions, which shall meet the requirements of subsection 601.11. The Contractor shall stamp the drawings “Approved for Con</w:t>
      </w:r>
      <w:r w:rsidR="00C5111B" w:rsidRPr="007507E1">
        <w:rPr>
          <w:sz w:val="20"/>
          <w:szCs w:val="20"/>
        </w:rPr>
        <w:t>struction</w:t>
      </w:r>
      <w:r w:rsidRPr="007507E1">
        <w:rPr>
          <w:sz w:val="20"/>
          <w:szCs w:val="20"/>
        </w:rPr>
        <w:t>” and submit to the Engineer. The Engineer will not approve the drawings.</w:t>
      </w:r>
    </w:p>
    <w:sectPr w:rsidR="002935ED" w:rsidRPr="007507E1"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4A" w:rsidRDefault="00A6704A" w:rsidP="00546915">
      <w:r>
        <w:separator/>
      </w:r>
    </w:p>
  </w:endnote>
  <w:endnote w:type="continuationSeparator" w:id="0">
    <w:p w:rsidR="00A6704A" w:rsidRDefault="00A6704A"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A6704A">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4A" w:rsidRDefault="00A6704A" w:rsidP="00546915">
      <w:r>
        <w:separator/>
      </w:r>
    </w:p>
  </w:footnote>
  <w:footnote w:type="continuationSeparator" w:id="0">
    <w:p w:rsidR="00A6704A" w:rsidRDefault="00A6704A"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9523EE" w:rsidRDefault="00FA2FA7" w:rsidP="00653447">
    <w:pPr>
      <w:spacing w:line="240" w:lineRule="exact"/>
      <w:jc w:val="right"/>
      <w:rPr>
        <w:sz w:val="20"/>
      </w:rPr>
    </w:pPr>
    <w:r>
      <w:rPr>
        <w:sz w:val="20"/>
      </w:rPr>
      <w:t xml:space="preserve">January </w:t>
    </w:r>
    <w:r w:rsidR="00B46681">
      <w:rPr>
        <w:sz w:val="20"/>
      </w:rPr>
      <w:t>20</w:t>
    </w:r>
    <w:r>
      <w:rPr>
        <w:sz w:val="20"/>
      </w:rPr>
      <w:t>, 2021</w:t>
    </w:r>
  </w:p>
  <w:p w:rsidR="0091246E" w:rsidRPr="009523EE" w:rsidRDefault="00AE689A" w:rsidP="00653447">
    <w:pPr>
      <w:spacing w:line="240" w:lineRule="exact"/>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BE5F0F">
      <w:rPr>
        <w:noProof/>
        <w:sz w:val="20"/>
        <w:szCs w:val="20"/>
      </w:rPr>
      <w:t>1</w:t>
    </w:r>
    <w:r w:rsidRPr="009523EE">
      <w:rPr>
        <w:noProof/>
        <w:sz w:val="20"/>
        <w:szCs w:val="20"/>
      </w:rPr>
      <w:fldChar w:fldCharType="end"/>
    </w:r>
  </w:p>
  <w:p w:rsidR="0091246E" w:rsidRPr="009523EE" w:rsidRDefault="00AE689A" w:rsidP="00653447">
    <w:pPr>
      <w:spacing w:line="240" w:lineRule="exact"/>
      <w:jc w:val="center"/>
      <w:rPr>
        <w:noProof/>
        <w:sz w:val="20"/>
        <w:szCs w:val="20"/>
      </w:rPr>
    </w:pPr>
    <w:r w:rsidRPr="009523EE">
      <w:rPr>
        <w:noProof/>
        <w:sz w:val="20"/>
        <w:szCs w:val="20"/>
      </w:rPr>
      <w:t xml:space="preserve">REVISION OF SECTION </w:t>
    </w:r>
    <w:r w:rsidR="00623403">
      <w:rPr>
        <w:noProof/>
        <w:sz w:val="20"/>
        <w:szCs w:val="20"/>
      </w:rPr>
      <w:t>601</w:t>
    </w:r>
  </w:p>
  <w:p w:rsidR="0050655F" w:rsidRPr="009523EE" w:rsidRDefault="00623403" w:rsidP="00653447">
    <w:pPr>
      <w:spacing w:line="240" w:lineRule="exact"/>
      <w:jc w:val="center"/>
      <w:rPr>
        <w:sz w:val="20"/>
      </w:rPr>
    </w:pPr>
    <w:r w:rsidRPr="00623403">
      <w:rPr>
        <w:noProof/>
        <w:sz w:val="20"/>
        <w:szCs w:val="20"/>
      </w:rPr>
      <w:t>STRUCTURAL CONCRETE</w:t>
    </w:r>
  </w:p>
  <w:p w:rsidR="00FE1818" w:rsidRDefault="00FE18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FA2FA7" w:rsidP="00B85137">
    <w:pPr>
      <w:jc w:val="right"/>
      <w:rPr>
        <w:sz w:val="28"/>
        <w:szCs w:val="28"/>
      </w:rPr>
    </w:pPr>
    <w:r>
      <w:rPr>
        <w:sz w:val="28"/>
        <w:szCs w:val="28"/>
      </w:rPr>
      <w:t xml:space="preserve">January </w:t>
    </w:r>
    <w:r w:rsidR="00BE5F0F">
      <w:rPr>
        <w:sz w:val="28"/>
        <w:szCs w:val="28"/>
      </w:rPr>
      <w:t>20</w:t>
    </w:r>
    <w:r>
      <w:rPr>
        <w:sz w:val="28"/>
        <w:szCs w:val="28"/>
      </w:rPr>
      <w:t>, 2021</w:t>
    </w:r>
  </w:p>
  <w:p w:rsidR="00790BB3" w:rsidRPr="00B85137" w:rsidRDefault="00A6704A" w:rsidP="00B81FA2">
    <w:pPr>
      <w:rPr>
        <w:sz w:val="28"/>
        <w:szCs w:val="28"/>
      </w:rPr>
    </w:pPr>
  </w:p>
  <w:p w:rsidR="00790BB3" w:rsidRPr="00B85137" w:rsidRDefault="00AE689A" w:rsidP="00B81FA2">
    <w:pPr>
      <w:jc w:val="center"/>
      <w:rPr>
        <w:noProof/>
        <w:sz w:val="28"/>
        <w:szCs w:val="28"/>
      </w:rPr>
    </w:pPr>
    <w:r w:rsidRPr="00B85137">
      <w:rPr>
        <w:noProof/>
        <w:sz w:val="28"/>
        <w:szCs w:val="28"/>
      </w:rPr>
      <w:t xml:space="preserve">REVISION OF SECTION </w:t>
    </w:r>
    <w:r w:rsidR="00623403">
      <w:rPr>
        <w:noProof/>
        <w:sz w:val="28"/>
        <w:szCs w:val="28"/>
      </w:rPr>
      <w:t>601</w:t>
    </w:r>
  </w:p>
  <w:p w:rsidR="00790BB3" w:rsidRDefault="00623403" w:rsidP="00B53DE4">
    <w:pPr>
      <w:jc w:val="center"/>
      <w:rPr>
        <w:sz w:val="28"/>
        <w:szCs w:val="28"/>
      </w:rPr>
    </w:pPr>
    <w:r w:rsidRPr="00623403">
      <w:rPr>
        <w:sz w:val="28"/>
        <w:szCs w:val="28"/>
      </w:rPr>
      <w:t>STRUCTURAL CONCRETE</w:t>
    </w:r>
  </w:p>
  <w:p w:rsidR="00623403" w:rsidRPr="00CC7E1C" w:rsidRDefault="00623403" w:rsidP="00623403">
    <w:pP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D2437"/>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B67"/>
    <w:multiLevelType w:val="hybridMultilevel"/>
    <w:tmpl w:val="FB5C8348"/>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91D"/>
    <w:multiLevelType w:val="hybridMultilevel"/>
    <w:tmpl w:val="6D106D30"/>
    <w:lvl w:ilvl="0" w:tplc="F4063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C"/>
    <w:multiLevelType w:val="hybridMultilevel"/>
    <w:tmpl w:val="5EBE284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17E4"/>
    <w:multiLevelType w:val="hybridMultilevel"/>
    <w:tmpl w:val="5DDC58E4"/>
    <w:lvl w:ilvl="0" w:tplc="F7BA5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ADD7C18"/>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425D"/>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A60C0"/>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80D4F"/>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136CC"/>
    <w:multiLevelType w:val="hybridMultilevel"/>
    <w:tmpl w:val="1F845ABC"/>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41B4B"/>
    <w:multiLevelType w:val="hybridMultilevel"/>
    <w:tmpl w:val="BE706D0A"/>
    <w:lvl w:ilvl="0" w:tplc="DB2CE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57BDC"/>
    <w:multiLevelType w:val="hybridMultilevel"/>
    <w:tmpl w:val="E34461F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5"/>
  </w:num>
  <w:num w:numId="5">
    <w:abstractNumId w:val="10"/>
  </w:num>
  <w:num w:numId="6">
    <w:abstractNumId w:val="11"/>
  </w:num>
  <w:num w:numId="7">
    <w:abstractNumId w:val="9"/>
  </w:num>
  <w:num w:numId="8">
    <w:abstractNumId w:val="2"/>
  </w:num>
  <w:num w:numId="9">
    <w:abstractNumId w:val="15"/>
  </w:num>
  <w:num w:numId="10">
    <w:abstractNumId w:val="18"/>
  </w:num>
  <w:num w:numId="11">
    <w:abstractNumId w:val="4"/>
  </w:num>
  <w:num w:numId="12">
    <w:abstractNumId w:val="1"/>
  </w:num>
  <w:num w:numId="13">
    <w:abstractNumId w:val="13"/>
  </w:num>
  <w:num w:numId="14">
    <w:abstractNumId w:val="8"/>
  </w:num>
  <w:num w:numId="15">
    <w:abstractNumId w:val="17"/>
  </w:num>
  <w:num w:numId="16">
    <w:abstractNumId w:val="12"/>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4249C"/>
    <w:rsid w:val="001B4F94"/>
    <w:rsid w:val="001C29A3"/>
    <w:rsid w:val="001F160A"/>
    <w:rsid w:val="00204981"/>
    <w:rsid w:val="00216438"/>
    <w:rsid w:val="00266A6F"/>
    <w:rsid w:val="00290888"/>
    <w:rsid w:val="0029210B"/>
    <w:rsid w:val="002935ED"/>
    <w:rsid w:val="003A367B"/>
    <w:rsid w:val="003A79BB"/>
    <w:rsid w:val="00401A8E"/>
    <w:rsid w:val="00405749"/>
    <w:rsid w:val="004831EC"/>
    <w:rsid w:val="0050655F"/>
    <w:rsid w:val="00522ED0"/>
    <w:rsid w:val="00525A60"/>
    <w:rsid w:val="00546915"/>
    <w:rsid w:val="00582491"/>
    <w:rsid w:val="00623403"/>
    <w:rsid w:val="00645CAB"/>
    <w:rsid w:val="00666198"/>
    <w:rsid w:val="00686DD2"/>
    <w:rsid w:val="006E55E3"/>
    <w:rsid w:val="007507E1"/>
    <w:rsid w:val="0076048A"/>
    <w:rsid w:val="00770C48"/>
    <w:rsid w:val="007D5144"/>
    <w:rsid w:val="008255DE"/>
    <w:rsid w:val="0087409F"/>
    <w:rsid w:val="00886B49"/>
    <w:rsid w:val="008B42A8"/>
    <w:rsid w:val="009523EE"/>
    <w:rsid w:val="009E2B9A"/>
    <w:rsid w:val="00A3115C"/>
    <w:rsid w:val="00A6704A"/>
    <w:rsid w:val="00AC42C2"/>
    <w:rsid w:val="00AD6FA6"/>
    <w:rsid w:val="00AE689A"/>
    <w:rsid w:val="00B12FBB"/>
    <w:rsid w:val="00B134A5"/>
    <w:rsid w:val="00B22977"/>
    <w:rsid w:val="00B46681"/>
    <w:rsid w:val="00B53DE4"/>
    <w:rsid w:val="00B81FA2"/>
    <w:rsid w:val="00B85137"/>
    <w:rsid w:val="00BB2891"/>
    <w:rsid w:val="00BB60A9"/>
    <w:rsid w:val="00BC36E5"/>
    <w:rsid w:val="00BE5F0F"/>
    <w:rsid w:val="00C4718E"/>
    <w:rsid w:val="00C5111B"/>
    <w:rsid w:val="00C72106"/>
    <w:rsid w:val="00CC7E1C"/>
    <w:rsid w:val="00D03DD7"/>
    <w:rsid w:val="00D23644"/>
    <w:rsid w:val="00D67A75"/>
    <w:rsid w:val="00D717E8"/>
    <w:rsid w:val="00E56E83"/>
    <w:rsid w:val="00EA45C8"/>
    <w:rsid w:val="00EE273C"/>
    <w:rsid w:val="00F326A1"/>
    <w:rsid w:val="00F40860"/>
    <w:rsid w:val="00FA2FA7"/>
    <w:rsid w:val="00FE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33028"/>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5049-45BA-46E3-97D0-046964C9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9</cp:revision>
  <dcterms:created xsi:type="dcterms:W3CDTF">2020-11-02T20:14:00Z</dcterms:created>
  <dcterms:modified xsi:type="dcterms:W3CDTF">2021-01-20T02:28:00Z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