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F86C7" w14:textId="475BC167" w:rsidR="004F79CD" w:rsidRDefault="004F79CD" w:rsidP="004F79CD"/>
    <w:p w14:paraId="3193C6D4" w14:textId="2985C43E" w:rsidR="00C978D2" w:rsidRDefault="00C978D2" w:rsidP="006829F0">
      <w:pPr>
        <w:tabs>
          <w:tab w:val="right" w:pos="8640"/>
          <w:tab w:val="right" w:pos="9720"/>
        </w:tabs>
        <w:jc w:val="center"/>
        <w:rPr>
          <w:sz w:val="28"/>
          <w:szCs w:val="28"/>
        </w:rPr>
      </w:pPr>
      <w:r>
        <w:rPr>
          <w:b/>
          <w:bCs/>
          <w:sz w:val="40"/>
          <w:szCs w:val="40"/>
        </w:rPr>
        <w:t>NOTICE</w:t>
      </w:r>
    </w:p>
    <w:p w14:paraId="0D3F80DF"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83F93EC" w14:textId="05B28CCE"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w:t>
      </w:r>
      <w:r w:rsidR="00A64735" w:rsidRPr="00A64735">
        <w:rPr>
          <w:sz w:val="28"/>
          <w:szCs w:val="24"/>
        </w:rPr>
        <w:t>CDOT’s Construction Engineering Services Branch</w:t>
      </w:r>
      <w:r w:rsidR="00A64735">
        <w:rPr>
          <w:sz w:val="28"/>
          <w:szCs w:val="24"/>
        </w:rPr>
        <w:t xml:space="preserve"> </w:t>
      </w:r>
      <w:r>
        <w:rPr>
          <w:sz w:val="28"/>
          <w:szCs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1A1AA552"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B44F370"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6F3BCF73"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E48A111" w14:textId="097E5233"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7A89CFE9" w14:textId="77777777" w:rsidR="00C55C2D" w:rsidRPr="00546915" w:rsidRDefault="00C55C2D" w:rsidP="00C55C2D">
      <w:pPr>
        <w:suppressAutoHyphens/>
      </w:pPr>
      <w:r w:rsidRPr="00546915">
        <w:rPr>
          <w:sz w:val="28"/>
          <w:szCs w:val="28"/>
          <w:lang w:eastAsia="ar-SA"/>
        </w:rPr>
        <w:t>Use this standard special provision on all projects.</w:t>
      </w:r>
    </w:p>
    <w:p w14:paraId="2357FC6B" w14:textId="232C6E22" w:rsidR="00C978D2" w:rsidRDefault="00C978D2"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0B4C10E" w14:textId="44B3E2A2" w:rsidR="00C978D2" w:rsidRDefault="00C978D2">
      <w:r>
        <w:br w:type="page"/>
      </w:r>
    </w:p>
    <w:p w14:paraId="00F25616" w14:textId="77777777" w:rsidR="00874DE6" w:rsidRPr="001A1427" w:rsidRDefault="00874DE6" w:rsidP="00874DE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64" w:lineRule="atLeast"/>
        <w:jc w:val="center"/>
        <w:rPr>
          <w:rFonts w:ascii="Arial" w:hAnsi="Arial" w:cs="Arial"/>
        </w:rPr>
      </w:pPr>
    </w:p>
    <w:p w14:paraId="62333C94" w14:textId="6E10198D" w:rsidR="00024AEE" w:rsidRPr="001A1427" w:rsidRDefault="00024AEE" w:rsidP="006C526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after="160" w:line="264" w:lineRule="atLeast"/>
        <w:rPr>
          <w:rFonts w:ascii="Arial" w:hAnsi="Arial" w:cs="Arial"/>
        </w:rPr>
      </w:pPr>
      <w:r w:rsidRPr="001A1427">
        <w:rPr>
          <w:rFonts w:ascii="Arial" w:hAnsi="Arial" w:cs="Arial"/>
        </w:rPr>
        <w:t xml:space="preserve">Section </w:t>
      </w:r>
      <w:r w:rsidR="00874DE6" w:rsidRPr="001A1427">
        <w:rPr>
          <w:rFonts w:ascii="Arial" w:hAnsi="Arial" w:cs="Arial"/>
        </w:rPr>
        <w:t>10</w:t>
      </w:r>
      <w:r w:rsidR="001A1427" w:rsidRPr="001A1427">
        <w:rPr>
          <w:rFonts w:ascii="Arial" w:hAnsi="Arial" w:cs="Arial"/>
        </w:rPr>
        <w:t>6</w:t>
      </w:r>
      <w:r w:rsidRPr="001A1427">
        <w:rPr>
          <w:rFonts w:ascii="Arial" w:hAnsi="Arial" w:cs="Arial"/>
        </w:rPr>
        <w:t xml:space="preserve"> of the Standard Specifications</w:t>
      </w:r>
      <w:bookmarkStart w:id="0" w:name="_GoBack"/>
      <w:bookmarkEnd w:id="0"/>
      <w:r w:rsidRPr="001A1427">
        <w:rPr>
          <w:rFonts w:ascii="Arial" w:hAnsi="Arial" w:cs="Arial"/>
        </w:rPr>
        <w:t xml:space="preserve"> is hereby revised for this project as follows:</w:t>
      </w:r>
    </w:p>
    <w:p w14:paraId="606159F2" w14:textId="785DBF4D" w:rsidR="00024AEE" w:rsidRPr="001A1427" w:rsidRDefault="00874DE6" w:rsidP="006C526A">
      <w:pPr>
        <w:pStyle w:val="Heading6"/>
        <w:spacing w:after="160"/>
        <w:rPr>
          <w:rFonts w:ascii="Arial" w:hAnsi="Arial" w:cs="Arial"/>
        </w:rPr>
      </w:pPr>
      <w:r w:rsidRPr="001A1427">
        <w:rPr>
          <w:rFonts w:ascii="Arial" w:hAnsi="Arial" w:cs="Arial"/>
        </w:rPr>
        <w:t xml:space="preserve">Delete </w:t>
      </w:r>
      <w:r w:rsidR="00024AEE" w:rsidRPr="001A1427">
        <w:rPr>
          <w:rFonts w:ascii="Arial" w:hAnsi="Arial" w:cs="Arial"/>
        </w:rPr>
        <w:t xml:space="preserve">Subsection </w:t>
      </w:r>
      <w:r w:rsidRPr="001A1427">
        <w:rPr>
          <w:rFonts w:ascii="Arial" w:hAnsi="Arial" w:cs="Arial"/>
        </w:rPr>
        <w:t>10</w:t>
      </w:r>
      <w:r w:rsidR="001A1427" w:rsidRPr="001A1427">
        <w:rPr>
          <w:rFonts w:ascii="Arial" w:hAnsi="Arial" w:cs="Arial"/>
        </w:rPr>
        <w:t>6</w:t>
      </w:r>
      <w:r w:rsidRPr="001A1427">
        <w:rPr>
          <w:rFonts w:ascii="Arial" w:hAnsi="Arial" w:cs="Arial"/>
        </w:rPr>
        <w:t>.0</w:t>
      </w:r>
      <w:r w:rsidR="001A1427" w:rsidRPr="001A1427">
        <w:rPr>
          <w:rFonts w:ascii="Arial" w:hAnsi="Arial" w:cs="Arial"/>
        </w:rPr>
        <w:t>2</w:t>
      </w:r>
      <w:r w:rsidRPr="001A1427">
        <w:rPr>
          <w:rFonts w:ascii="Arial" w:hAnsi="Arial" w:cs="Arial"/>
        </w:rPr>
        <w:t xml:space="preserve"> (b)</w:t>
      </w:r>
      <w:r w:rsidR="00024AEE" w:rsidRPr="001A1427">
        <w:rPr>
          <w:rFonts w:ascii="Arial" w:hAnsi="Arial" w:cs="Arial"/>
        </w:rPr>
        <w:t xml:space="preserve"> </w:t>
      </w:r>
      <w:r w:rsidRPr="001A1427">
        <w:rPr>
          <w:rFonts w:ascii="Arial" w:hAnsi="Arial" w:cs="Arial"/>
        </w:rPr>
        <w:t>and replace with the following</w:t>
      </w:r>
      <w:r w:rsidR="00024AEE" w:rsidRPr="001A1427">
        <w:rPr>
          <w:rFonts w:ascii="Arial" w:hAnsi="Arial" w:cs="Arial"/>
        </w:rPr>
        <w:t>:</w:t>
      </w:r>
    </w:p>
    <w:p w14:paraId="1760F102" w14:textId="77777777" w:rsidR="001A1427" w:rsidRPr="001A1427" w:rsidRDefault="001A1427" w:rsidP="001A1427">
      <w:pPr>
        <w:pStyle w:val="ListParagraph"/>
        <w:widowControl w:val="0"/>
        <w:tabs>
          <w:tab w:val="left" w:pos="720"/>
        </w:tabs>
        <w:autoSpaceDE w:val="0"/>
        <w:autoSpaceDN w:val="0"/>
        <w:spacing w:before="120" w:after="0" w:line="247" w:lineRule="auto"/>
        <w:ind w:right="416" w:hanging="360"/>
        <w:contextualSpacing w:val="0"/>
        <w:jc w:val="both"/>
        <w:rPr>
          <w:rFonts w:ascii="Arial" w:hAnsi="Arial" w:cs="Arial"/>
          <w:color w:val="231F20"/>
          <w:sz w:val="20"/>
          <w:szCs w:val="20"/>
        </w:rPr>
      </w:pPr>
      <w:r w:rsidRPr="001A1427">
        <w:rPr>
          <w:rFonts w:ascii="Arial" w:hAnsi="Arial" w:cs="Arial"/>
          <w:color w:val="231F20"/>
          <w:sz w:val="20"/>
          <w:szCs w:val="20"/>
        </w:rPr>
        <w:t>(b)</w:t>
      </w:r>
      <w:r w:rsidRPr="001A1427">
        <w:rPr>
          <w:rFonts w:ascii="Arial" w:hAnsi="Arial" w:cs="Arial"/>
          <w:color w:val="231F20"/>
          <w:sz w:val="20"/>
          <w:szCs w:val="20"/>
        </w:rPr>
        <w:tab/>
      </w:r>
      <w:r w:rsidRPr="001A1427">
        <w:rPr>
          <w:rFonts w:ascii="Arial" w:hAnsi="Arial" w:cs="Arial"/>
          <w:i/>
          <w:color w:val="231F20"/>
          <w:sz w:val="20"/>
          <w:szCs w:val="20"/>
        </w:rPr>
        <w:t>Contractor Source.</w:t>
      </w:r>
      <w:r w:rsidRPr="001A1427">
        <w:rPr>
          <w:rFonts w:ascii="Arial" w:hAnsi="Arial" w:cs="Arial"/>
          <w:color w:val="231F20"/>
          <w:sz w:val="20"/>
          <w:szCs w:val="20"/>
        </w:rPr>
        <w:t xml:space="preserve"> Sources of sand, gravel, or borrow other than available sources will be known as contractor sources. The contractor source will be tested by the Department and approved by the Engineer prior to incorporation of the material into the project. If the submitted materials do not meet the contract specifications it will become the Contractor's responsibility to re-sample and test the material. The Contractor shall supply the Department with passing test results from an AASHTO accredited laboratory electronically sealed by a Professional Engineer. If requested by the Engineer, the Department will then re-sample and re-test the material for compliance to the contract specifications. The Contractor shall produce material which meets contract specifications throughout construction of the project.</w:t>
      </w:r>
    </w:p>
    <w:p w14:paraId="48530A79" w14:textId="656215EB" w:rsidR="00874DE6" w:rsidRPr="001A1427" w:rsidRDefault="001A1427" w:rsidP="001A1427">
      <w:pPr>
        <w:pStyle w:val="ListParagraph"/>
        <w:widowControl w:val="0"/>
        <w:tabs>
          <w:tab w:val="left" w:pos="720"/>
        </w:tabs>
        <w:autoSpaceDE w:val="0"/>
        <w:autoSpaceDN w:val="0"/>
        <w:spacing w:before="120" w:after="0" w:line="247" w:lineRule="auto"/>
        <w:ind w:right="416"/>
        <w:contextualSpacing w:val="0"/>
        <w:jc w:val="both"/>
        <w:rPr>
          <w:rFonts w:ascii="Arial" w:hAnsi="Arial" w:cs="Arial"/>
          <w:color w:val="231F20"/>
          <w:sz w:val="20"/>
          <w:szCs w:val="20"/>
        </w:rPr>
      </w:pPr>
      <w:r w:rsidRPr="001A1427">
        <w:rPr>
          <w:rFonts w:ascii="Arial" w:hAnsi="Arial" w:cs="Arial"/>
          <w:color w:val="231F20"/>
          <w:sz w:val="20"/>
          <w:szCs w:val="20"/>
        </w:rPr>
        <w:t>The cost of sampling, testing, and corrective action by the Contractor will not be paid for separately but shall be included in the work.</w:t>
      </w:r>
    </w:p>
    <w:p w14:paraId="3D3B27E7" w14:textId="77777777" w:rsidR="001A1427" w:rsidRPr="001A1427" w:rsidRDefault="001A1427" w:rsidP="001A1427">
      <w:pPr>
        <w:pStyle w:val="ListParagraph"/>
        <w:widowControl w:val="0"/>
        <w:tabs>
          <w:tab w:val="left" w:pos="720"/>
        </w:tabs>
        <w:autoSpaceDE w:val="0"/>
        <w:autoSpaceDN w:val="0"/>
        <w:spacing w:before="120" w:after="0" w:line="247" w:lineRule="auto"/>
        <w:ind w:right="416"/>
        <w:contextualSpacing w:val="0"/>
        <w:jc w:val="both"/>
        <w:rPr>
          <w:rFonts w:ascii="Arial" w:hAnsi="Arial" w:cs="Arial"/>
          <w:color w:val="231F20"/>
          <w:sz w:val="20"/>
          <w:szCs w:val="20"/>
        </w:rPr>
      </w:pPr>
      <w:r w:rsidRPr="001A1427">
        <w:rPr>
          <w:rFonts w:ascii="Arial" w:hAnsi="Arial" w:cs="Arial"/>
          <w:color w:val="231F20"/>
          <w:sz w:val="20"/>
          <w:szCs w:val="20"/>
        </w:rPr>
        <w:t>The Contractor shall obtain all permits and agreements necessary to explore and remove material from a contractor source. The Contractor shall also be responsible for any costs or delays associated with obtaining these permits and agreements.</w:t>
      </w:r>
    </w:p>
    <w:p w14:paraId="2176B02C" w14:textId="77777777" w:rsidR="001A1427" w:rsidRPr="001A1427" w:rsidRDefault="001A1427" w:rsidP="001A1427">
      <w:pPr>
        <w:pStyle w:val="ListParagraph"/>
        <w:widowControl w:val="0"/>
        <w:tabs>
          <w:tab w:val="left" w:pos="720"/>
        </w:tabs>
        <w:autoSpaceDE w:val="0"/>
        <w:autoSpaceDN w:val="0"/>
        <w:spacing w:before="120" w:after="0" w:line="247" w:lineRule="auto"/>
        <w:ind w:right="416"/>
        <w:contextualSpacing w:val="0"/>
        <w:jc w:val="both"/>
        <w:rPr>
          <w:rFonts w:ascii="Arial" w:hAnsi="Arial" w:cs="Arial"/>
          <w:color w:val="231F20"/>
          <w:sz w:val="20"/>
          <w:szCs w:val="20"/>
        </w:rPr>
      </w:pPr>
      <w:r w:rsidRPr="001A1427">
        <w:rPr>
          <w:rFonts w:ascii="Arial" w:hAnsi="Arial" w:cs="Arial"/>
          <w:color w:val="231F20"/>
          <w:sz w:val="20"/>
          <w:szCs w:val="20"/>
        </w:rPr>
        <w:t>For each source of imported embankment or topsoil the Contractor shall provide the following certification. The Contractor shall assure and certify that unacceptable levels of hazardous waste and substances; including but not limited to those defined in the Code of Federal Regulations, 40 CFR Part 261 Subparts C and D, and the Comprehensive Environmental Response, Compensation, and Liability Act (CERCLA), Section 101(14) as amended; are not incorporated into the project as a result of importing embankment or topsoil materials. For each contractor source outside of the project limits, the Contractor shall submit such certification to the Engineer, signed by either a Certified Industrial Hygienist (CIH), Certified Hazardous Materials Manager (CHMM), Certified Safety Professional (CSP), or Registered Environmental Manager (REM) or electronically sealed by a registered Professional Engineer (PE).</w:t>
      </w:r>
    </w:p>
    <w:p w14:paraId="615146FF" w14:textId="77777777" w:rsidR="001A1427" w:rsidRPr="001A1427" w:rsidRDefault="001A1427" w:rsidP="001A1427">
      <w:pPr>
        <w:pStyle w:val="ListParagraph"/>
        <w:widowControl w:val="0"/>
        <w:tabs>
          <w:tab w:val="left" w:pos="720"/>
        </w:tabs>
        <w:autoSpaceDE w:val="0"/>
        <w:autoSpaceDN w:val="0"/>
        <w:spacing w:before="120" w:after="0" w:line="247" w:lineRule="auto"/>
        <w:ind w:right="416"/>
        <w:contextualSpacing w:val="0"/>
        <w:jc w:val="both"/>
        <w:rPr>
          <w:rFonts w:ascii="Arial" w:hAnsi="Arial" w:cs="Arial"/>
          <w:color w:val="231F20"/>
          <w:sz w:val="20"/>
          <w:szCs w:val="20"/>
        </w:rPr>
      </w:pPr>
      <w:r w:rsidRPr="001A1427">
        <w:rPr>
          <w:rFonts w:ascii="Arial" w:hAnsi="Arial" w:cs="Arial"/>
          <w:color w:val="231F20"/>
          <w:sz w:val="20"/>
          <w:szCs w:val="20"/>
        </w:rPr>
        <w:t>If contractor source material for embankment or topsoil, originating outside of the project limits, is placed on the project and is at any time found to be contaminated with unacceptable levels of hazardous waste or substances, the Contractor shall remove the contaminated material from the Department's right of way, dispose of it in accordance with applicable laws and regulations, and make necessary restoration.</w:t>
      </w:r>
    </w:p>
    <w:p w14:paraId="283C5652" w14:textId="0933CCAA" w:rsidR="001A1427" w:rsidRPr="001A1427" w:rsidRDefault="001A1427" w:rsidP="001A1427">
      <w:pPr>
        <w:pStyle w:val="ListParagraph"/>
        <w:widowControl w:val="0"/>
        <w:tabs>
          <w:tab w:val="left" w:pos="720"/>
        </w:tabs>
        <w:autoSpaceDE w:val="0"/>
        <w:autoSpaceDN w:val="0"/>
        <w:spacing w:before="120" w:after="0" w:line="247" w:lineRule="auto"/>
        <w:ind w:right="416"/>
        <w:contextualSpacing w:val="0"/>
        <w:jc w:val="both"/>
        <w:rPr>
          <w:rFonts w:ascii="Arial" w:hAnsi="Arial" w:cs="Arial"/>
          <w:color w:val="231F20"/>
          <w:sz w:val="20"/>
          <w:szCs w:val="20"/>
        </w:rPr>
      </w:pPr>
      <w:r w:rsidRPr="001A1427">
        <w:rPr>
          <w:rFonts w:ascii="Arial" w:hAnsi="Arial" w:cs="Arial"/>
          <w:color w:val="231F20"/>
          <w:sz w:val="20"/>
          <w:szCs w:val="20"/>
        </w:rPr>
        <w:t>The cost of complying with these requirements, including sampling, testing, and corrective action by the Contractor, shall be included in the work.</w:t>
      </w:r>
    </w:p>
    <w:sectPr w:rsidR="001A1427" w:rsidRPr="001A1427" w:rsidSect="006C1867">
      <w:headerReference w:type="default" r:id="rId8"/>
      <w:headerReference w:type="first" r:id="rId9"/>
      <w:pgSz w:w="12240" w:h="15840" w:code="1"/>
      <w:pgMar w:top="720" w:right="1080" w:bottom="72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2AC13" w14:textId="77777777" w:rsidR="003C75DB" w:rsidRDefault="003C75DB" w:rsidP="00F878BD">
      <w:r>
        <w:separator/>
      </w:r>
    </w:p>
  </w:endnote>
  <w:endnote w:type="continuationSeparator" w:id="0">
    <w:p w14:paraId="6E343CD0" w14:textId="77777777" w:rsidR="003C75DB" w:rsidRDefault="003C75DB"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9816D" w14:textId="77777777" w:rsidR="003C75DB" w:rsidRDefault="003C75DB" w:rsidP="00F878BD">
      <w:r>
        <w:separator/>
      </w:r>
    </w:p>
  </w:footnote>
  <w:footnote w:type="continuationSeparator" w:id="0">
    <w:p w14:paraId="7BA17F26" w14:textId="77777777" w:rsidR="003C75DB" w:rsidRDefault="003C75DB" w:rsidP="00F878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C142" w14:textId="0AE142DE" w:rsidR="00771EE9" w:rsidRDefault="00771EE9" w:rsidP="00771EE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jc w:val="right"/>
      <w:outlineLvl w:val="0"/>
      <w:rPr>
        <w:rFonts w:ascii="Arial" w:hAnsi="Arial" w:cs="Arial"/>
      </w:rPr>
    </w:pPr>
    <w:r>
      <w:rPr>
        <w:rFonts w:ascii="Arial" w:hAnsi="Arial" w:cs="Arial"/>
      </w:rPr>
      <w:t xml:space="preserve">January </w:t>
    </w:r>
    <w:r w:rsidR="006C7864">
      <w:rPr>
        <w:rFonts w:ascii="Arial" w:hAnsi="Arial" w:cs="Arial"/>
      </w:rPr>
      <w:t>20</w:t>
    </w:r>
    <w:r>
      <w:rPr>
        <w:rFonts w:ascii="Arial" w:hAnsi="Arial" w:cs="Arial"/>
      </w:rPr>
      <w:t>, 2021</w:t>
    </w:r>
  </w:p>
  <w:p w14:paraId="5527ED19" w14:textId="77777777" w:rsidR="00771EE9" w:rsidRPr="001A1427" w:rsidRDefault="00771EE9" w:rsidP="00771EE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jc w:val="right"/>
      <w:outlineLvl w:val="0"/>
      <w:rPr>
        <w:rFonts w:ascii="Arial" w:hAnsi="Arial" w:cs="Arial"/>
      </w:rPr>
    </w:pPr>
  </w:p>
  <w:p w14:paraId="77BFB60A" w14:textId="77777777" w:rsidR="00771EE9" w:rsidRDefault="00771EE9" w:rsidP="00771EE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jc w:val="center"/>
      <w:rPr>
        <w:rFonts w:ascii="Arial" w:hAnsi="Arial" w:cs="Arial"/>
      </w:rPr>
    </w:pPr>
    <w:r>
      <w:rPr>
        <w:rFonts w:ascii="Arial" w:hAnsi="Arial" w:cs="Arial"/>
      </w:rPr>
      <w:t>1</w:t>
    </w:r>
  </w:p>
  <w:p w14:paraId="10B7954C" w14:textId="77777777" w:rsidR="00771EE9" w:rsidRPr="001A1427" w:rsidRDefault="00771EE9" w:rsidP="00771EE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jc w:val="center"/>
      <w:rPr>
        <w:rFonts w:ascii="Arial" w:hAnsi="Arial" w:cs="Arial"/>
      </w:rPr>
    </w:pPr>
    <w:r w:rsidRPr="001A1427">
      <w:rPr>
        <w:rFonts w:ascii="Arial" w:hAnsi="Arial" w:cs="Arial"/>
      </w:rPr>
      <w:t>REVISION OF SECTION 106</w:t>
    </w:r>
  </w:p>
  <w:p w14:paraId="5CBEB674" w14:textId="2A6A3005" w:rsidR="00771EE9" w:rsidRPr="00771EE9" w:rsidRDefault="00771EE9" w:rsidP="00771EE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jc w:val="center"/>
      <w:rPr>
        <w:rFonts w:ascii="Arial" w:hAnsi="Arial" w:cs="Arial"/>
      </w:rPr>
    </w:pPr>
    <w:r w:rsidRPr="001A1427">
      <w:rPr>
        <w:rFonts w:ascii="Arial" w:hAnsi="Arial" w:cs="Arial"/>
      </w:rPr>
      <w:t>CONTROL OF MATERIAL</w:t>
    </w:r>
  </w:p>
  <w:p w14:paraId="6B08CC9A" w14:textId="77777777" w:rsidR="00726A77" w:rsidRPr="001A1BC6" w:rsidRDefault="00726A77" w:rsidP="00726A77">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6E127" w14:textId="0438F4B9" w:rsidR="006C1867" w:rsidRDefault="006C1867" w:rsidP="006C1867">
    <w:pPr>
      <w:tabs>
        <w:tab w:val="right" w:pos="8640"/>
        <w:tab w:val="right" w:pos="9720"/>
      </w:tabs>
      <w:jc w:val="right"/>
      <w:rPr>
        <w:rFonts w:ascii="Arial" w:hAnsi="Arial" w:cs="Arial"/>
        <w:sz w:val="28"/>
        <w:szCs w:val="28"/>
      </w:rPr>
    </w:pPr>
    <w:r>
      <w:rPr>
        <w:rFonts w:ascii="Arial" w:hAnsi="Arial" w:cs="Arial"/>
        <w:sz w:val="28"/>
        <w:szCs w:val="28"/>
      </w:rPr>
      <w:t xml:space="preserve">January </w:t>
    </w:r>
    <w:r w:rsidR="006C7864">
      <w:rPr>
        <w:rFonts w:ascii="Arial" w:hAnsi="Arial" w:cs="Arial"/>
        <w:sz w:val="28"/>
        <w:szCs w:val="28"/>
      </w:rPr>
      <w:t>20</w:t>
    </w:r>
    <w:r>
      <w:rPr>
        <w:rFonts w:ascii="Arial" w:hAnsi="Arial" w:cs="Arial"/>
        <w:sz w:val="28"/>
        <w:szCs w:val="28"/>
      </w:rPr>
      <w:t>, 2021</w:t>
    </w:r>
  </w:p>
  <w:p w14:paraId="5598499E" w14:textId="77777777" w:rsidR="006C1867" w:rsidRDefault="006C1867" w:rsidP="006C1867">
    <w:pPr>
      <w:tabs>
        <w:tab w:val="right" w:pos="8640"/>
        <w:tab w:val="right" w:pos="9720"/>
      </w:tabs>
      <w:jc w:val="right"/>
      <w:rPr>
        <w:rFonts w:ascii="Arial" w:hAnsi="Arial" w:cs="Arial"/>
        <w:sz w:val="28"/>
        <w:szCs w:val="28"/>
      </w:rPr>
    </w:pPr>
  </w:p>
  <w:p w14:paraId="4E4D11EE" w14:textId="77777777" w:rsidR="006C1867" w:rsidRDefault="006C1867" w:rsidP="006C186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106</w:t>
    </w:r>
  </w:p>
  <w:p w14:paraId="7DB5C800" w14:textId="77777777" w:rsidR="006C1867" w:rsidRDefault="006C1867" w:rsidP="006C186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pPr>
    <w:r w:rsidRPr="001A1427">
      <w:rPr>
        <w:rFonts w:ascii="Arial" w:hAnsi="Arial" w:cs="Arial"/>
        <w:sz w:val="28"/>
        <w:szCs w:val="28"/>
      </w:rPr>
      <w:t>CONTROL OF MATERIAL</w:t>
    </w:r>
  </w:p>
  <w:p w14:paraId="376FB9FF" w14:textId="3FD12EEF" w:rsidR="006C1867" w:rsidRDefault="006C18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A2822B2"/>
    <w:multiLevelType w:val="hybridMultilevel"/>
    <w:tmpl w:val="E83E28B4"/>
    <w:lvl w:ilvl="0" w:tplc="EC4226F2">
      <w:start w:val="3"/>
      <w:numFmt w:val="decimal"/>
      <w:lvlText w:val="%1."/>
      <w:lvlJc w:val="left"/>
      <w:pPr>
        <w:ind w:left="360" w:hanging="360"/>
        <w:jc w:val="right"/>
      </w:pPr>
      <w:rPr>
        <w:rFonts w:ascii="Times New Roman" w:eastAsia="Times New Roman" w:hAnsi="Times New Roman" w:cs="Times New Roman" w:hint="default"/>
        <w:color w:val="231F20"/>
        <w:spacing w:val="-1"/>
        <w:w w:val="100"/>
        <w:sz w:val="20"/>
        <w:szCs w:val="20"/>
      </w:rPr>
    </w:lvl>
    <w:lvl w:ilvl="1" w:tplc="EC4226F2">
      <w:start w:val="3"/>
      <w:numFmt w:val="decimal"/>
      <w:lvlText w:val="%2."/>
      <w:lvlJc w:val="left"/>
      <w:pPr>
        <w:ind w:left="640" w:hanging="361"/>
        <w:jc w:val="right"/>
      </w:pPr>
      <w:rPr>
        <w:rFonts w:ascii="Times New Roman" w:eastAsia="Times New Roman" w:hAnsi="Times New Roman" w:cs="Times New Roman" w:hint="default"/>
        <w:color w:val="231F20"/>
        <w:w w:val="100"/>
        <w:sz w:val="20"/>
        <w:szCs w:val="20"/>
      </w:rPr>
    </w:lvl>
    <w:lvl w:ilvl="2" w:tplc="BE6E0DA0">
      <w:start w:val="1"/>
      <w:numFmt w:val="decimal"/>
      <w:lvlText w:val="(%3)"/>
      <w:lvlJc w:val="left"/>
      <w:pPr>
        <w:ind w:left="1170" w:hanging="450"/>
      </w:pPr>
      <w:rPr>
        <w:rFonts w:ascii="Times New Roman" w:eastAsia="Times New Roman" w:hAnsi="Times New Roman" w:cs="Times New Roman" w:hint="default"/>
        <w:color w:val="231F20"/>
        <w:spacing w:val="-1"/>
        <w:w w:val="100"/>
        <w:sz w:val="20"/>
        <w:szCs w:val="20"/>
      </w:rPr>
    </w:lvl>
    <w:lvl w:ilvl="3" w:tplc="2AB27480">
      <w:numFmt w:val="bullet"/>
      <w:lvlText w:val="•"/>
      <w:lvlJc w:val="left"/>
      <w:pPr>
        <w:ind w:left="1160" w:hanging="450"/>
      </w:pPr>
      <w:rPr>
        <w:rFonts w:hint="default"/>
      </w:rPr>
    </w:lvl>
    <w:lvl w:ilvl="4" w:tplc="B6E4BD52">
      <w:numFmt w:val="bullet"/>
      <w:lvlText w:val="•"/>
      <w:lvlJc w:val="left"/>
      <w:pPr>
        <w:ind w:left="2434" w:hanging="450"/>
      </w:pPr>
      <w:rPr>
        <w:rFonts w:hint="default"/>
      </w:rPr>
    </w:lvl>
    <w:lvl w:ilvl="5" w:tplc="7A5EC32C">
      <w:numFmt w:val="bullet"/>
      <w:lvlText w:val="•"/>
      <w:lvlJc w:val="left"/>
      <w:pPr>
        <w:ind w:left="3708" w:hanging="450"/>
      </w:pPr>
      <w:rPr>
        <w:rFonts w:hint="default"/>
      </w:rPr>
    </w:lvl>
    <w:lvl w:ilvl="6" w:tplc="18524884">
      <w:numFmt w:val="bullet"/>
      <w:lvlText w:val="•"/>
      <w:lvlJc w:val="left"/>
      <w:pPr>
        <w:ind w:left="4982" w:hanging="450"/>
      </w:pPr>
      <w:rPr>
        <w:rFonts w:hint="default"/>
      </w:rPr>
    </w:lvl>
    <w:lvl w:ilvl="7" w:tplc="5A72251E">
      <w:numFmt w:val="bullet"/>
      <w:lvlText w:val="•"/>
      <w:lvlJc w:val="left"/>
      <w:pPr>
        <w:ind w:left="6257" w:hanging="450"/>
      </w:pPr>
      <w:rPr>
        <w:rFonts w:hint="default"/>
      </w:rPr>
    </w:lvl>
    <w:lvl w:ilvl="8" w:tplc="65167618">
      <w:numFmt w:val="bullet"/>
      <w:lvlText w:val="•"/>
      <w:lvlJc w:val="left"/>
      <w:pPr>
        <w:ind w:left="7531" w:hanging="450"/>
      </w:pPr>
      <w:rPr>
        <w:rFonts w:hint="default"/>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63DE7"/>
    <w:multiLevelType w:val="hybridMultilevel"/>
    <w:tmpl w:val="1A72DCA8"/>
    <w:lvl w:ilvl="0" w:tplc="6D442CE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7"/>
  </w:num>
  <w:num w:numId="4">
    <w:abstractNumId w:val="2"/>
  </w:num>
  <w:num w:numId="5">
    <w:abstractNumId w:val="14"/>
  </w:num>
  <w:num w:numId="6">
    <w:abstractNumId w:val="16"/>
  </w:num>
  <w:num w:numId="7">
    <w:abstractNumId w:val="7"/>
  </w:num>
  <w:num w:numId="8">
    <w:abstractNumId w:val="15"/>
  </w:num>
  <w:num w:numId="9">
    <w:abstractNumId w:val="0"/>
  </w:num>
  <w:num w:numId="10">
    <w:abstractNumId w:val="5"/>
  </w:num>
  <w:num w:numId="11">
    <w:abstractNumId w:val="10"/>
  </w:num>
  <w:num w:numId="12">
    <w:abstractNumId w:val="4"/>
  </w:num>
  <w:num w:numId="13">
    <w:abstractNumId w:val="11"/>
  </w:num>
  <w:num w:numId="14">
    <w:abstractNumId w:val="8"/>
  </w:num>
  <w:num w:numId="15">
    <w:abstractNumId w:val="13"/>
  </w:num>
  <w:num w:numId="16">
    <w:abstractNumId w:val="18"/>
  </w:num>
  <w:num w:numId="17">
    <w:abstractNumId w:val="20"/>
  </w:num>
  <w:num w:numId="18">
    <w:abstractNumId w:val="3"/>
  </w:num>
  <w:num w:numId="19">
    <w:abstractNumId w:val="19"/>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13FA7"/>
    <w:rsid w:val="00020F26"/>
    <w:rsid w:val="000225FA"/>
    <w:rsid w:val="00024AEE"/>
    <w:rsid w:val="00085D20"/>
    <w:rsid w:val="000B5DC6"/>
    <w:rsid w:val="000C3C6B"/>
    <w:rsid w:val="000E3C78"/>
    <w:rsid w:val="000E5204"/>
    <w:rsid w:val="000F559B"/>
    <w:rsid w:val="0010474A"/>
    <w:rsid w:val="0010525A"/>
    <w:rsid w:val="001465E8"/>
    <w:rsid w:val="00173D58"/>
    <w:rsid w:val="00194E1D"/>
    <w:rsid w:val="001A1427"/>
    <w:rsid w:val="001A7BED"/>
    <w:rsid w:val="001C3F85"/>
    <w:rsid w:val="001D4BDD"/>
    <w:rsid w:val="001E2C1C"/>
    <w:rsid w:val="00214CEC"/>
    <w:rsid w:val="00222B35"/>
    <w:rsid w:val="00230276"/>
    <w:rsid w:val="00240F9D"/>
    <w:rsid w:val="002714AF"/>
    <w:rsid w:val="00272482"/>
    <w:rsid w:val="002B6BB9"/>
    <w:rsid w:val="002C2EA6"/>
    <w:rsid w:val="003162A2"/>
    <w:rsid w:val="00350F8A"/>
    <w:rsid w:val="003823FC"/>
    <w:rsid w:val="00394329"/>
    <w:rsid w:val="003B58FF"/>
    <w:rsid w:val="003C3F1C"/>
    <w:rsid w:val="003C75DB"/>
    <w:rsid w:val="003D5C7D"/>
    <w:rsid w:val="003E4531"/>
    <w:rsid w:val="004249F3"/>
    <w:rsid w:val="00441D2F"/>
    <w:rsid w:val="00454031"/>
    <w:rsid w:val="00492DF2"/>
    <w:rsid w:val="004B09DE"/>
    <w:rsid w:val="004B5828"/>
    <w:rsid w:val="004C3323"/>
    <w:rsid w:val="004F1849"/>
    <w:rsid w:val="004F79CD"/>
    <w:rsid w:val="005040D7"/>
    <w:rsid w:val="00523E48"/>
    <w:rsid w:val="0056039E"/>
    <w:rsid w:val="00563748"/>
    <w:rsid w:val="00572D1D"/>
    <w:rsid w:val="005C0089"/>
    <w:rsid w:val="005F56B3"/>
    <w:rsid w:val="005F610D"/>
    <w:rsid w:val="0061667F"/>
    <w:rsid w:val="006675D0"/>
    <w:rsid w:val="006829F0"/>
    <w:rsid w:val="006A3974"/>
    <w:rsid w:val="006B1A52"/>
    <w:rsid w:val="006C1867"/>
    <w:rsid w:val="006C526A"/>
    <w:rsid w:val="006C7864"/>
    <w:rsid w:val="0070029E"/>
    <w:rsid w:val="00706DF8"/>
    <w:rsid w:val="0071231C"/>
    <w:rsid w:val="00721F2F"/>
    <w:rsid w:val="00726A77"/>
    <w:rsid w:val="007504D4"/>
    <w:rsid w:val="0075219A"/>
    <w:rsid w:val="00771EE9"/>
    <w:rsid w:val="007735BF"/>
    <w:rsid w:val="007854AB"/>
    <w:rsid w:val="007950AD"/>
    <w:rsid w:val="007D24E5"/>
    <w:rsid w:val="00814549"/>
    <w:rsid w:val="00870736"/>
    <w:rsid w:val="00874DE6"/>
    <w:rsid w:val="00891B09"/>
    <w:rsid w:val="00897666"/>
    <w:rsid w:val="008B3BFC"/>
    <w:rsid w:val="008C59FF"/>
    <w:rsid w:val="008D4DE9"/>
    <w:rsid w:val="008E6E23"/>
    <w:rsid w:val="008F17C4"/>
    <w:rsid w:val="008F6D9B"/>
    <w:rsid w:val="00923AF8"/>
    <w:rsid w:val="00935ABF"/>
    <w:rsid w:val="00951CA5"/>
    <w:rsid w:val="00973DFA"/>
    <w:rsid w:val="00981FDE"/>
    <w:rsid w:val="00987248"/>
    <w:rsid w:val="009A40E9"/>
    <w:rsid w:val="009B3EF3"/>
    <w:rsid w:val="009F3FE4"/>
    <w:rsid w:val="00A01D98"/>
    <w:rsid w:val="00A14275"/>
    <w:rsid w:val="00A27DE7"/>
    <w:rsid w:val="00A54F34"/>
    <w:rsid w:val="00A64735"/>
    <w:rsid w:val="00A7142E"/>
    <w:rsid w:val="00A73269"/>
    <w:rsid w:val="00A76618"/>
    <w:rsid w:val="00A92397"/>
    <w:rsid w:val="00AA36CC"/>
    <w:rsid w:val="00AB028C"/>
    <w:rsid w:val="00AB1E75"/>
    <w:rsid w:val="00AB5B65"/>
    <w:rsid w:val="00AC0B10"/>
    <w:rsid w:val="00AC7AF4"/>
    <w:rsid w:val="00AD267B"/>
    <w:rsid w:val="00B03658"/>
    <w:rsid w:val="00B03922"/>
    <w:rsid w:val="00B0764C"/>
    <w:rsid w:val="00B11219"/>
    <w:rsid w:val="00B22A7E"/>
    <w:rsid w:val="00B25927"/>
    <w:rsid w:val="00B91FF1"/>
    <w:rsid w:val="00BF71CC"/>
    <w:rsid w:val="00C26D30"/>
    <w:rsid w:val="00C40133"/>
    <w:rsid w:val="00C5094A"/>
    <w:rsid w:val="00C55C2D"/>
    <w:rsid w:val="00C93280"/>
    <w:rsid w:val="00C978D2"/>
    <w:rsid w:val="00CA729F"/>
    <w:rsid w:val="00CC309C"/>
    <w:rsid w:val="00D13D83"/>
    <w:rsid w:val="00D16104"/>
    <w:rsid w:val="00D34817"/>
    <w:rsid w:val="00DD4878"/>
    <w:rsid w:val="00DE7DCD"/>
    <w:rsid w:val="00E1708A"/>
    <w:rsid w:val="00E208F0"/>
    <w:rsid w:val="00E567C8"/>
    <w:rsid w:val="00E5788C"/>
    <w:rsid w:val="00E647BB"/>
    <w:rsid w:val="00E7201D"/>
    <w:rsid w:val="00E85CC9"/>
    <w:rsid w:val="00EA5566"/>
    <w:rsid w:val="00EA7A41"/>
    <w:rsid w:val="00EB7447"/>
    <w:rsid w:val="00EC2A21"/>
    <w:rsid w:val="00EF1243"/>
    <w:rsid w:val="00F07B65"/>
    <w:rsid w:val="00F23E77"/>
    <w:rsid w:val="00F25941"/>
    <w:rsid w:val="00F27387"/>
    <w:rsid w:val="00F41EAA"/>
    <w:rsid w:val="00F605A4"/>
    <w:rsid w:val="00F614D0"/>
    <w:rsid w:val="00F7797E"/>
    <w:rsid w:val="00F878BD"/>
    <w:rsid w:val="00F95A59"/>
    <w:rsid w:val="00FC0225"/>
    <w:rsid w:val="00FE63DE"/>
    <w:rsid w:val="00FF4C4E"/>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1"/>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paragraph" w:styleId="Footer">
    <w:name w:val="footer"/>
    <w:basedOn w:val="Normal"/>
    <w:link w:val="FooterChar"/>
    <w:rsid w:val="006C1867"/>
    <w:pPr>
      <w:tabs>
        <w:tab w:val="center" w:pos="4680"/>
        <w:tab w:val="right" w:pos="9360"/>
      </w:tabs>
    </w:pPr>
  </w:style>
  <w:style w:type="character" w:customStyle="1" w:styleId="FooterChar">
    <w:name w:val="Footer Char"/>
    <w:basedOn w:val="DefaultParagraphFont"/>
    <w:link w:val="Footer"/>
    <w:rsid w:val="006C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 w:id="14438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F4F0F-7DBC-4DA5-B59F-2D4D7A58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11</cp:revision>
  <cp:lastPrinted>2015-10-08T22:17:00Z</cp:lastPrinted>
  <dcterms:created xsi:type="dcterms:W3CDTF">2020-10-27T21:38:00Z</dcterms:created>
  <dcterms:modified xsi:type="dcterms:W3CDTF">2021-01-20T02:13:00Z</dcterms:modified>
</cp:coreProperties>
</file>