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74AB7212" w:rsidR="001A139E" w:rsidRPr="006E50AB" w:rsidRDefault="00740403" w:rsidP="00E1359D">
      <w:pPr>
        <w:spacing w:line="200" w:lineRule="atLeast"/>
        <w:rPr>
          <w:b/>
        </w:rPr>
      </w:pPr>
      <w:r>
        <w:rPr>
          <w:b/>
          <w:noProof/>
        </w:rPr>
        <w:drawing>
          <wp:inline distT="0" distB="0" distL="0" distR="0" wp14:anchorId="70440EBA" wp14:editId="7E2B8BB3">
            <wp:extent cx="1320800" cy="3850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CDOT Logo - Standards and Spec Un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60" cy="39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6C9F6309" w:rsidR="000A14EB" w:rsidRPr="006E50AB" w:rsidRDefault="00E1359D" w:rsidP="00017692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17692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A213CBE" w:rsidR="00AD69E9" w:rsidRPr="006E50AB" w:rsidRDefault="00AD69E9" w:rsidP="00DE35E7">
      <w:pPr>
        <w:pStyle w:val="BodyText"/>
        <w:keepLines/>
        <w:tabs>
          <w:tab w:val="left" w:pos="1440"/>
          <w:tab w:val="left" w:pos="3600"/>
          <w:tab w:val="left" w:pos="4680"/>
        </w:tabs>
        <w:spacing w:after="12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5971F2">
        <w:rPr>
          <w:sz w:val="24"/>
          <w:szCs w:val="24"/>
        </w:rPr>
        <w:t>September 3</w:t>
      </w:r>
      <w:r w:rsidR="008E3B99" w:rsidRPr="006E50AB">
        <w:rPr>
          <w:sz w:val="24"/>
          <w:szCs w:val="24"/>
        </w:rPr>
        <w:t>, 2020</w:t>
      </w:r>
    </w:p>
    <w:p w14:paraId="573A2A4D" w14:textId="6E424E38" w:rsidR="00EE4B03" w:rsidRPr="006E50AB" w:rsidRDefault="00AD69E9" w:rsidP="00DE35E7">
      <w:pPr>
        <w:pStyle w:val="BodyText"/>
        <w:keepLines/>
        <w:tabs>
          <w:tab w:val="left" w:pos="1440"/>
          <w:tab w:val="left" w:pos="3600"/>
          <w:tab w:val="left" w:pos="4680"/>
        </w:tabs>
        <w:spacing w:after="12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017692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16E9B411" w14:textId="30228053" w:rsidR="006122E4" w:rsidRPr="006E50AB" w:rsidRDefault="00AD69E9" w:rsidP="00DE35E7">
      <w:pPr>
        <w:pStyle w:val="BodyText"/>
        <w:keepLines/>
        <w:tabs>
          <w:tab w:val="left" w:pos="1440"/>
          <w:tab w:val="left" w:pos="3600"/>
          <w:tab w:val="left" w:pos="4680"/>
        </w:tabs>
        <w:spacing w:after="12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F49FA" w14:textId="51E38895" w:rsidR="00A11124" w:rsidRDefault="00AD69E9" w:rsidP="00104BA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6474F">
        <w:rPr>
          <w:sz w:val="24"/>
          <w:szCs w:val="24"/>
        </w:rPr>
        <w:t>New standard special provisions</w:t>
      </w:r>
      <w:r w:rsidR="00343D6C" w:rsidRPr="006E50AB">
        <w:rPr>
          <w:sz w:val="24"/>
          <w:szCs w:val="24"/>
        </w:rPr>
        <w:t xml:space="preserve"> </w:t>
      </w:r>
    </w:p>
    <w:p w14:paraId="20FB9299" w14:textId="77777777" w:rsidR="00104BAE" w:rsidRDefault="00104BAE" w:rsidP="00104BA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68837A4" w14:textId="1B761973" w:rsidR="001E234A" w:rsidRDefault="00A11124" w:rsidP="001A243B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</w:pPr>
      <w:r w:rsidRPr="00A11124">
        <w:rPr>
          <w:sz w:val="24"/>
          <w:szCs w:val="24"/>
        </w:rPr>
        <w:t xml:space="preserve">Effective this date, our unit is issuing </w:t>
      </w:r>
      <w:r w:rsidR="0084085C">
        <w:rPr>
          <w:sz w:val="24"/>
          <w:szCs w:val="24"/>
        </w:rPr>
        <w:t xml:space="preserve">the following </w:t>
      </w:r>
      <w:r w:rsidR="004B5F0F">
        <w:rPr>
          <w:sz w:val="24"/>
          <w:szCs w:val="24"/>
        </w:rPr>
        <w:t>6</w:t>
      </w:r>
      <w:r w:rsidRPr="00A11124">
        <w:rPr>
          <w:sz w:val="24"/>
          <w:szCs w:val="24"/>
        </w:rPr>
        <w:t xml:space="preserve"> new standard special provisions</w:t>
      </w:r>
      <w:r w:rsidR="00964901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05"/>
        <w:gridCol w:w="2610"/>
        <w:gridCol w:w="1800"/>
      </w:tblGrid>
      <w:tr w:rsidR="0084085C" w:rsidRPr="00A11124" w14:paraId="53D3488F" w14:textId="555E9918" w:rsidTr="00146007">
        <w:tc>
          <w:tcPr>
            <w:tcW w:w="3690" w:type="dxa"/>
            <w:tcBorders>
              <w:bottom w:val="single" w:sz="12" w:space="0" w:color="auto"/>
            </w:tcBorders>
            <w:vAlign w:val="center"/>
          </w:tcPr>
          <w:p w14:paraId="5E4E6AD6" w14:textId="1E40987B" w:rsidR="0084085C" w:rsidRPr="000C7817" w:rsidRDefault="0084085C" w:rsidP="001E234A">
            <w:pPr>
              <w:spacing w:before="120" w:after="12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0C7817">
              <w:rPr>
                <w:rFonts w:eastAsia="Times New Roman"/>
                <w:sz w:val="22"/>
                <w:szCs w:val="22"/>
              </w:rPr>
              <w:t>Title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01658749" w14:textId="3555BAFC" w:rsidR="0084085C" w:rsidRPr="000C7817" w:rsidRDefault="0084085C" w:rsidP="001E234A">
            <w:pPr>
              <w:spacing w:before="120" w:after="12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0C7817">
              <w:rPr>
                <w:rFonts w:eastAsia="Times New Roman"/>
                <w:sz w:val="22"/>
                <w:szCs w:val="22"/>
              </w:rPr>
              <w:t>No. of pages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3BE1785C" w14:textId="2AB40F1B" w:rsidR="0084085C" w:rsidRPr="000C7817" w:rsidRDefault="0084085C" w:rsidP="001E234A">
            <w:pPr>
              <w:spacing w:before="120" w:after="12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0C7817">
              <w:rPr>
                <w:rFonts w:eastAsia="Times New Roman"/>
                <w:sz w:val="22"/>
                <w:szCs w:val="22"/>
              </w:rPr>
              <w:t>Subsection</w:t>
            </w:r>
            <w:r w:rsidR="00A00F19" w:rsidRPr="000C7817"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29242216" w14:textId="1332A45C" w:rsidR="0084085C" w:rsidRPr="000C7817" w:rsidRDefault="0084085C" w:rsidP="001E234A">
            <w:pPr>
              <w:spacing w:before="120" w:after="12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0C7817">
              <w:rPr>
                <w:rFonts w:eastAsia="Times New Roman"/>
                <w:sz w:val="22"/>
                <w:szCs w:val="22"/>
              </w:rPr>
              <w:t>Use in projects with</w:t>
            </w:r>
          </w:p>
        </w:tc>
      </w:tr>
      <w:tr w:rsidR="0084085C" w:rsidRPr="00A11124" w14:paraId="06773F81" w14:textId="6A3C5CD6" w:rsidTr="00146007"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938417" w14:textId="6F3DB2F7" w:rsidR="0084085C" w:rsidRPr="00A11124" w:rsidRDefault="0084085C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11124">
              <w:rPr>
                <w:rFonts w:eastAsia="Times New Roman"/>
                <w:sz w:val="20"/>
                <w:szCs w:val="20"/>
              </w:rPr>
              <w:t>Revision of Section 412 – Portland Cement Concrete Pavement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14:paraId="153F6703" w14:textId="1B49A48B" w:rsidR="0084085C" w:rsidRPr="00A11124" w:rsidRDefault="0084085C" w:rsidP="00A11124">
            <w:pPr>
              <w:spacing w:before="120" w:after="12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111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14:paraId="38AE015E" w14:textId="576D9F24" w:rsidR="0084085C" w:rsidRPr="00A11124" w:rsidRDefault="0084085C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11124">
              <w:rPr>
                <w:rFonts w:eastAsia="Times New Roman"/>
                <w:b/>
                <w:sz w:val="20"/>
                <w:szCs w:val="20"/>
              </w:rPr>
              <w:t>412.15</w:t>
            </w:r>
            <w:r w:rsidRPr="00A11124">
              <w:rPr>
                <w:rFonts w:eastAsia="Times New Roman"/>
                <w:sz w:val="20"/>
                <w:szCs w:val="20"/>
              </w:rPr>
              <w:t xml:space="preserve">  - Cold Weather Concrete Paving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C27C73" w14:textId="564C7070" w:rsidR="0084085C" w:rsidRPr="00A11124" w:rsidRDefault="0084085C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11124">
              <w:rPr>
                <w:rFonts w:eastAsia="Times New Roman"/>
                <w:sz w:val="20"/>
                <w:szCs w:val="20"/>
              </w:rPr>
              <w:t>Portland Cement Concrete Pavement</w:t>
            </w:r>
          </w:p>
        </w:tc>
      </w:tr>
      <w:tr w:rsidR="0084085C" w:rsidRPr="00A11124" w14:paraId="1F66FC12" w14:textId="482D012C" w:rsidTr="00146007"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27CBEEDD" w14:textId="159AB7F7" w:rsidR="0084085C" w:rsidRPr="00A11124" w:rsidRDefault="00365743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Revision of Section</w:t>
            </w:r>
            <w:r w:rsidR="00DC5574">
              <w:rPr>
                <w:rFonts w:eastAsia="Times New Roman"/>
                <w:sz w:val="20"/>
                <w:szCs w:val="20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 xml:space="preserve"> 504 and 606 – Precast Concrete</w:t>
            </w:r>
          </w:p>
        </w:tc>
        <w:tc>
          <w:tcPr>
            <w:tcW w:w="805" w:type="dxa"/>
            <w:vAlign w:val="center"/>
          </w:tcPr>
          <w:p w14:paraId="55975433" w14:textId="0DBE7017" w:rsidR="0084085C" w:rsidRPr="00A11124" w:rsidRDefault="00365743" w:rsidP="00365743">
            <w:pPr>
              <w:spacing w:before="120" w:after="12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14:paraId="159219D4" w14:textId="77777777" w:rsidR="00A00F19" w:rsidRDefault="00365743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65743">
              <w:rPr>
                <w:rFonts w:eastAsia="Times New Roman"/>
                <w:b/>
                <w:sz w:val="20"/>
                <w:szCs w:val="20"/>
              </w:rPr>
              <w:t>504.06</w:t>
            </w:r>
            <w:r>
              <w:rPr>
                <w:rFonts w:eastAsia="Times New Roman"/>
                <w:sz w:val="20"/>
                <w:szCs w:val="20"/>
              </w:rPr>
              <w:t xml:space="preserve"> -</w:t>
            </w:r>
            <w:r w:rsidRPr="00365743">
              <w:rPr>
                <w:rFonts w:eastAsia="Times New Roman"/>
                <w:sz w:val="20"/>
                <w:szCs w:val="20"/>
              </w:rPr>
              <w:t xml:space="preserve"> Pre-Cast Concrete Panel Facing Unit and Panel Joint Material</w:t>
            </w:r>
          </w:p>
          <w:p w14:paraId="14BC85D5" w14:textId="4FB6D74F" w:rsidR="0084085C" w:rsidRPr="00A11124" w:rsidRDefault="00A00F19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00F19">
              <w:rPr>
                <w:rFonts w:eastAsia="Times New Roman"/>
                <w:b/>
                <w:sz w:val="20"/>
                <w:szCs w:val="20"/>
              </w:rPr>
              <w:t>606.02</w:t>
            </w:r>
            <w:r>
              <w:rPr>
                <w:rFonts w:eastAsia="Times New Roman"/>
                <w:sz w:val="20"/>
                <w:szCs w:val="20"/>
              </w:rPr>
              <w:t xml:space="preserve"> -</w:t>
            </w:r>
            <w:r w:rsidRPr="00A00F19">
              <w:rPr>
                <w:rFonts w:eastAsia="Times New Roman"/>
                <w:sz w:val="20"/>
                <w:szCs w:val="20"/>
              </w:rPr>
              <w:t xml:space="preserve"> Materials shall meet the requirements specifi</w:t>
            </w:r>
            <w:r>
              <w:rPr>
                <w:rFonts w:eastAsia="Times New Roman"/>
                <w:sz w:val="20"/>
                <w:szCs w:val="20"/>
              </w:rPr>
              <w:t>ed in the following subsections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0192D413" w14:textId="66E22BFD" w:rsidR="0084085C" w:rsidRPr="00A11124" w:rsidRDefault="00365743" w:rsidP="00365743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Pr="00365743">
              <w:rPr>
                <w:rFonts w:eastAsia="Times New Roman"/>
                <w:sz w:val="20"/>
                <w:szCs w:val="20"/>
              </w:rPr>
              <w:t xml:space="preserve">recast </w:t>
            </w:r>
            <w:r>
              <w:rPr>
                <w:rFonts w:eastAsia="Times New Roman"/>
                <w:sz w:val="20"/>
                <w:szCs w:val="20"/>
              </w:rPr>
              <w:t>C</w:t>
            </w:r>
            <w:r w:rsidRPr="00365743">
              <w:rPr>
                <w:rFonts w:eastAsia="Times New Roman"/>
                <w:sz w:val="20"/>
                <w:szCs w:val="20"/>
              </w:rPr>
              <w:t>oncrete</w:t>
            </w:r>
          </w:p>
        </w:tc>
      </w:tr>
      <w:tr w:rsidR="0084085C" w:rsidRPr="00A11124" w14:paraId="42C65072" w14:textId="78DE7D45" w:rsidTr="00833531">
        <w:tc>
          <w:tcPr>
            <w:tcW w:w="3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E10126" w14:textId="2CE7AF09" w:rsidR="0084085C" w:rsidRPr="00A11124" w:rsidRDefault="00DC5574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Revision of Section 601</w:t>
            </w:r>
            <w:r w:rsidR="005B47B1">
              <w:rPr>
                <w:rFonts w:eastAsia="Times New Roman"/>
                <w:sz w:val="20"/>
                <w:szCs w:val="20"/>
              </w:rPr>
              <w:t xml:space="preserve"> – Concrete Deck (Patching) and Expansion Joint Concrete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6EF5FB00" w14:textId="762AFBB9" w:rsidR="0084085C" w:rsidRPr="00A11124" w:rsidRDefault="005B47B1" w:rsidP="005B47B1">
            <w:pPr>
              <w:spacing w:before="120" w:after="12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57285EB6" w14:textId="3E7D4602" w:rsidR="0084085C" w:rsidRPr="005B47B1" w:rsidRDefault="005B47B1" w:rsidP="00571099">
            <w:pPr>
              <w:spacing w:before="120" w:after="120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5B47B1">
              <w:rPr>
                <w:rFonts w:eastAsia="Times New Roman"/>
                <w:b/>
                <w:sz w:val="20"/>
                <w:szCs w:val="20"/>
              </w:rPr>
              <w:t>601.21</w:t>
            </w:r>
            <w:r w:rsidRPr="00571099">
              <w:rPr>
                <w:rFonts w:eastAsia="Times New Roman"/>
                <w:sz w:val="20"/>
                <w:szCs w:val="20"/>
              </w:rPr>
              <w:t>,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D416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>.22</w:t>
            </w:r>
            <w:r w:rsidRPr="00571099">
              <w:rPr>
                <w:rFonts w:eastAsia="Times New Roman"/>
                <w:sz w:val="20"/>
                <w:szCs w:val="20"/>
              </w:rPr>
              <w:t>,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D416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>.23</w:t>
            </w:r>
            <w:r w:rsidR="00571099">
              <w:rPr>
                <w:rFonts w:eastAsia="Times New Roman"/>
                <w:sz w:val="20"/>
                <w:szCs w:val="20"/>
              </w:rPr>
              <w:t>,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D416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>.24</w:t>
            </w:r>
            <w:r w:rsidRPr="00571099">
              <w:rPr>
                <w:rFonts w:eastAsia="Times New Roman"/>
                <w:sz w:val="20"/>
                <w:szCs w:val="20"/>
              </w:rPr>
              <w:t>,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571099">
              <w:rPr>
                <w:rFonts w:eastAsia="Times New Roman"/>
                <w:sz w:val="20"/>
                <w:szCs w:val="20"/>
              </w:rPr>
              <w:t>and</w:t>
            </w:r>
            <w:r w:rsidR="00571099">
              <w:rPr>
                <w:rFonts w:eastAsia="Times New Roman"/>
                <w:b/>
                <w:sz w:val="20"/>
                <w:szCs w:val="20"/>
              </w:rPr>
              <w:t xml:space="preserve"> .25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78ABE5" w14:textId="2CEF06FA" w:rsidR="0084085C" w:rsidRPr="00A11124" w:rsidRDefault="00E30AD6" w:rsidP="00E30AD6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 w:rsidRPr="00E30AD6">
              <w:rPr>
                <w:rFonts w:eastAsia="Times New Roman"/>
                <w:sz w:val="20"/>
                <w:szCs w:val="20"/>
              </w:rPr>
              <w:t>oncrete patching material on existing bridge decks and expansion joint replacements</w:t>
            </w:r>
          </w:p>
        </w:tc>
      </w:tr>
      <w:tr w:rsidR="00927653" w:rsidRPr="00A11124" w14:paraId="23BD3BCD" w14:textId="52671787" w:rsidTr="00C81635">
        <w:trPr>
          <w:trHeight w:val="144"/>
        </w:trPr>
        <w:tc>
          <w:tcPr>
            <w:tcW w:w="89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FE7DBE" w14:textId="77777777" w:rsidR="00927653" w:rsidRPr="00F80770" w:rsidRDefault="00927653" w:rsidP="00F80770">
            <w:pPr>
              <w:textAlignment w:val="baseline"/>
              <w:rPr>
                <w:rFonts w:eastAsia="Times New Roman"/>
                <w:sz w:val="12"/>
                <w:szCs w:val="12"/>
              </w:rPr>
            </w:pPr>
          </w:p>
        </w:tc>
      </w:tr>
      <w:tr w:rsidR="00975369" w:rsidRPr="00A11124" w14:paraId="03BEC1BC" w14:textId="77777777" w:rsidTr="00B15B2A"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0D286F" w14:textId="1C8C26B6" w:rsidR="00975369" w:rsidRPr="00A11124" w:rsidRDefault="000C7817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Revision of Section 602 – Reinforcing Steel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52237" w14:textId="76D741BF" w:rsidR="00975369" w:rsidRPr="00A11124" w:rsidRDefault="00810654" w:rsidP="00810654">
            <w:pPr>
              <w:spacing w:before="120" w:after="12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8E3D12" w14:textId="2C284A94" w:rsidR="00975369" w:rsidRPr="00A11124" w:rsidRDefault="00810654" w:rsidP="00810654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B47B1">
              <w:rPr>
                <w:rFonts w:eastAsia="Times New Roman"/>
                <w:b/>
                <w:sz w:val="20"/>
                <w:szCs w:val="20"/>
              </w:rPr>
              <w:t>60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>.1</w:t>
            </w:r>
            <w:r w:rsidRPr="00571099">
              <w:rPr>
                <w:rFonts w:eastAsia="Times New Roman"/>
                <w:sz w:val="20"/>
                <w:szCs w:val="20"/>
              </w:rPr>
              <w:t>,</w:t>
            </w:r>
            <w:r w:rsidR="001D416F">
              <w:rPr>
                <w:rFonts w:eastAsia="Times New Roman"/>
                <w:sz w:val="20"/>
                <w:szCs w:val="20"/>
              </w:rPr>
              <w:t xml:space="preserve"> 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 xml:space="preserve"> .2</w:t>
            </w:r>
            <w:r w:rsidRPr="00571099">
              <w:rPr>
                <w:rFonts w:eastAsia="Times New Roman"/>
                <w:sz w:val="20"/>
                <w:szCs w:val="20"/>
              </w:rPr>
              <w:t>,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D416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>.3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D416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>.4</w:t>
            </w:r>
            <w:r w:rsidRPr="00571099">
              <w:rPr>
                <w:rFonts w:eastAsia="Times New Roman"/>
                <w:sz w:val="20"/>
                <w:szCs w:val="20"/>
              </w:rPr>
              <w:t>,</w:t>
            </w:r>
            <w:r w:rsidR="001D416F">
              <w:rPr>
                <w:rFonts w:eastAsia="Times New Roman"/>
                <w:sz w:val="20"/>
                <w:szCs w:val="20"/>
              </w:rPr>
              <w:t xml:space="preserve"> </w:t>
            </w:r>
            <w:r w:rsidRPr="005B47B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810654">
              <w:rPr>
                <w:rFonts w:eastAsia="Times New Roman"/>
                <w:b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sz w:val="20"/>
                <w:szCs w:val="20"/>
              </w:rPr>
              <w:t>5</w:t>
            </w:r>
            <w:r w:rsidRPr="00810654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r w:rsidR="001D416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810654">
              <w:rPr>
                <w:rFonts w:eastAsia="Times New Roman"/>
                <w:b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Pr="00810654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r w:rsidR="001D416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810654">
              <w:rPr>
                <w:rFonts w:eastAsia="Times New Roman"/>
                <w:b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sz w:val="20"/>
                <w:szCs w:val="20"/>
              </w:rPr>
              <w:t>7</w:t>
            </w:r>
            <w:r w:rsidRPr="00810654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r w:rsidRPr="00571099">
              <w:rPr>
                <w:rFonts w:eastAsia="Times New Roman"/>
                <w:sz w:val="20"/>
                <w:szCs w:val="20"/>
              </w:rPr>
              <w:t>and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.8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9B201" w14:textId="6ACA882E" w:rsidR="00975369" w:rsidRPr="00A11124" w:rsidRDefault="00810654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</w:t>
            </w:r>
            <w:r w:rsidRPr="00810654">
              <w:rPr>
                <w:rFonts w:eastAsia="Times New Roman"/>
                <w:sz w:val="20"/>
                <w:szCs w:val="20"/>
              </w:rPr>
              <w:t>einforcing steel</w:t>
            </w:r>
          </w:p>
        </w:tc>
      </w:tr>
      <w:tr w:rsidR="00975369" w:rsidRPr="00A11124" w14:paraId="5678034B" w14:textId="77777777" w:rsidTr="00B15B2A"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449F24" w14:textId="011B548C" w:rsidR="00975369" w:rsidRPr="00A11124" w:rsidRDefault="008C6A06" w:rsidP="00DE35E7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Revision of Section 709 – Reinforcing Steel and Wire Rope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99DABC" w14:textId="10872946" w:rsidR="00975369" w:rsidRPr="00A11124" w:rsidRDefault="008C6A06" w:rsidP="008C6A06">
            <w:pPr>
              <w:spacing w:before="120" w:after="12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D3B59D" w14:textId="77777777" w:rsidR="00975369" w:rsidRPr="00F755E2" w:rsidRDefault="008C6A06" w:rsidP="00F755E2">
            <w:pPr>
              <w:spacing w:before="120" w:after="6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755E2">
              <w:rPr>
                <w:rFonts w:eastAsia="Times New Roman"/>
                <w:b/>
                <w:sz w:val="20"/>
                <w:szCs w:val="20"/>
              </w:rPr>
              <w:t xml:space="preserve">709.01 </w:t>
            </w:r>
            <w:r w:rsidRPr="00F755E2">
              <w:rPr>
                <w:rFonts w:eastAsia="Times New Roman"/>
                <w:sz w:val="20"/>
                <w:szCs w:val="20"/>
              </w:rPr>
              <w:t>- Reinforcing Steel</w:t>
            </w:r>
          </w:p>
          <w:p w14:paraId="598B4BC6" w14:textId="32330F45" w:rsidR="00092AEB" w:rsidRPr="00F755E2" w:rsidRDefault="00092AEB" w:rsidP="00F755E2">
            <w:pPr>
              <w:spacing w:after="6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755E2">
              <w:rPr>
                <w:rFonts w:eastAsia="Times New Roman"/>
                <w:b/>
                <w:sz w:val="20"/>
                <w:szCs w:val="20"/>
              </w:rPr>
              <w:t>709.02</w:t>
            </w:r>
            <w:r w:rsidRPr="00F755E2">
              <w:rPr>
                <w:rFonts w:eastAsia="Times New Roman"/>
                <w:sz w:val="20"/>
                <w:szCs w:val="20"/>
              </w:rPr>
              <w:t xml:space="preserve"> -</w:t>
            </w:r>
            <w:r w:rsidR="000D5659">
              <w:rPr>
                <w:rFonts w:eastAsia="Times New Roman"/>
                <w:sz w:val="20"/>
                <w:szCs w:val="20"/>
              </w:rPr>
              <w:t xml:space="preserve"> </w:t>
            </w:r>
            <w:r w:rsidRPr="00F755E2">
              <w:rPr>
                <w:rFonts w:eastAsia="Times New Roman"/>
                <w:sz w:val="20"/>
                <w:szCs w:val="20"/>
              </w:rPr>
              <w:t>Wire Rope</w:t>
            </w:r>
          </w:p>
          <w:p w14:paraId="796909AD" w14:textId="305053AE" w:rsidR="00092AEB" w:rsidRPr="008C6A06" w:rsidRDefault="00092AEB" w:rsidP="00F755E2">
            <w:pPr>
              <w:spacing w:after="120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F755E2">
              <w:rPr>
                <w:rFonts w:eastAsia="Times New Roman"/>
                <w:b/>
                <w:sz w:val="20"/>
                <w:szCs w:val="20"/>
              </w:rPr>
              <w:t>709.03</w:t>
            </w:r>
            <w:r w:rsidRPr="00F755E2">
              <w:rPr>
                <w:rFonts w:eastAsia="Times New Roman"/>
                <w:sz w:val="20"/>
                <w:szCs w:val="20"/>
              </w:rPr>
              <w:t xml:space="preserve"> -</w:t>
            </w:r>
            <w:r w:rsidR="000D5659">
              <w:rPr>
                <w:rFonts w:eastAsia="Times New Roman"/>
                <w:sz w:val="20"/>
                <w:szCs w:val="20"/>
              </w:rPr>
              <w:t xml:space="preserve"> </w:t>
            </w:r>
            <w:r w:rsidRPr="00F755E2">
              <w:rPr>
                <w:rFonts w:eastAsia="Times New Roman"/>
                <w:sz w:val="20"/>
                <w:szCs w:val="20"/>
              </w:rPr>
              <w:t>Dowel Bars and Tie Bars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53891" w14:textId="37C5DFCD" w:rsidR="00975369" w:rsidRPr="00A11124" w:rsidRDefault="00B15B2A" w:rsidP="00B15B2A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</w:t>
            </w:r>
            <w:r w:rsidRPr="00B15B2A">
              <w:rPr>
                <w:rFonts w:eastAsia="Times New Roman"/>
                <w:sz w:val="20"/>
                <w:szCs w:val="20"/>
              </w:rPr>
              <w:t>einforcing steel and wire rope</w:t>
            </w:r>
          </w:p>
        </w:tc>
      </w:tr>
      <w:tr w:rsidR="00927653" w:rsidRPr="00F80770" w14:paraId="14A8A25E" w14:textId="77777777" w:rsidTr="004F77AC">
        <w:trPr>
          <w:trHeight w:val="144"/>
        </w:trPr>
        <w:tc>
          <w:tcPr>
            <w:tcW w:w="89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09FFD7" w14:textId="77777777" w:rsidR="00927653" w:rsidRPr="00F80770" w:rsidRDefault="00927653" w:rsidP="00F26D2B">
            <w:pPr>
              <w:textAlignment w:val="baseline"/>
              <w:rPr>
                <w:rFonts w:eastAsia="Times New Roman"/>
                <w:sz w:val="12"/>
                <w:szCs w:val="12"/>
              </w:rPr>
            </w:pPr>
          </w:p>
        </w:tc>
      </w:tr>
      <w:tr w:rsidR="008E364A" w:rsidRPr="00A11124" w14:paraId="20CA01BB" w14:textId="77777777" w:rsidTr="00056A9E">
        <w:trPr>
          <w:trHeight w:val="1203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A4EC4" w14:textId="2587DEFF" w:rsidR="008E364A" w:rsidRPr="00A11124" w:rsidRDefault="0088429E" w:rsidP="008E364A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Revision of Section 630 – Automated Flagger Assistance Devices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C9017" w14:textId="49C5F9BD" w:rsidR="008E364A" w:rsidRPr="00A11124" w:rsidRDefault="00602D6A" w:rsidP="00602D6A">
            <w:pPr>
              <w:spacing w:before="120" w:after="12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56D07" w14:textId="6081CC4B" w:rsidR="008E364A" w:rsidRDefault="00602D6A" w:rsidP="00602D6A">
            <w:pPr>
              <w:spacing w:before="120" w:after="6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602D6A">
              <w:rPr>
                <w:rFonts w:eastAsia="Times New Roman"/>
                <w:b/>
                <w:sz w:val="20"/>
                <w:szCs w:val="20"/>
              </w:rPr>
              <w:t>630.14</w:t>
            </w:r>
            <w:r>
              <w:rPr>
                <w:rFonts w:eastAsia="Times New Roman"/>
                <w:sz w:val="20"/>
                <w:szCs w:val="20"/>
              </w:rPr>
              <w:t xml:space="preserve"> -</w:t>
            </w:r>
            <w:r w:rsidRPr="00602D6A">
              <w:rPr>
                <w:rFonts w:eastAsia="Times New Roman"/>
                <w:sz w:val="20"/>
                <w:szCs w:val="20"/>
              </w:rPr>
              <w:t xml:space="preserve"> Flagging and Pilot Car Operation</w:t>
            </w:r>
          </w:p>
          <w:p w14:paraId="13919FAB" w14:textId="7E74858D" w:rsidR="00602D6A" w:rsidRDefault="00602D6A" w:rsidP="00602D6A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81D">
              <w:rPr>
                <w:rFonts w:eastAsia="Times New Roman"/>
                <w:b/>
                <w:sz w:val="20"/>
                <w:szCs w:val="20"/>
              </w:rPr>
              <w:t>630.17</w:t>
            </w:r>
            <w:r w:rsidR="00DF081D">
              <w:rPr>
                <w:rFonts w:eastAsia="Times New Roman"/>
                <w:sz w:val="20"/>
                <w:szCs w:val="20"/>
              </w:rPr>
              <w:t xml:space="preserve"> – Method of Measurement</w:t>
            </w:r>
          </w:p>
          <w:p w14:paraId="7C60A8DB" w14:textId="72094BA6" w:rsidR="00602D6A" w:rsidRPr="00A11124" w:rsidRDefault="00602D6A" w:rsidP="00A10543">
            <w:pPr>
              <w:spacing w:before="6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DF081D">
              <w:rPr>
                <w:rFonts w:eastAsia="Times New Roman"/>
                <w:b/>
                <w:sz w:val="20"/>
                <w:szCs w:val="20"/>
              </w:rPr>
              <w:t>630.18</w:t>
            </w:r>
            <w:r w:rsidR="00DF081D">
              <w:rPr>
                <w:rFonts w:eastAsia="Times New Roman"/>
                <w:sz w:val="20"/>
                <w:szCs w:val="20"/>
              </w:rPr>
              <w:t xml:space="preserve"> – Basis of Payment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AC5FB" w14:textId="254B032F" w:rsidR="008E364A" w:rsidRPr="00A11124" w:rsidRDefault="00602D6A" w:rsidP="00602D6A">
            <w:pPr>
              <w:spacing w:before="120" w:after="12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602D6A">
              <w:rPr>
                <w:rFonts w:eastAsia="Times New Roman"/>
                <w:sz w:val="20"/>
                <w:szCs w:val="20"/>
              </w:rPr>
              <w:t>utomated flagger assistance devices</w:t>
            </w:r>
          </w:p>
        </w:tc>
      </w:tr>
    </w:tbl>
    <w:p w14:paraId="24C6AE8D" w14:textId="77777777" w:rsidR="00441D01" w:rsidRDefault="00441D01" w:rsidP="00DE35E7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</w:p>
    <w:p w14:paraId="62EA9518" w14:textId="5389B5DC" w:rsidR="006E50AB" w:rsidRPr="006E50AB" w:rsidRDefault="006E50AB" w:rsidP="00DE35E7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Please use these provisions on all projects as denoted per specification, beginning with projects advertised on or after </w:t>
      </w:r>
      <w:r w:rsidR="005971F2">
        <w:rPr>
          <w:rFonts w:eastAsia="Times New Roman"/>
          <w:color w:val="222222"/>
        </w:rPr>
        <w:t xml:space="preserve">October </w:t>
      </w:r>
      <w:r w:rsidR="008D03C7">
        <w:rPr>
          <w:rFonts w:eastAsia="Times New Roman"/>
          <w:color w:val="222222"/>
        </w:rPr>
        <w:t>5</w:t>
      </w:r>
      <w:r w:rsidRPr="006E50AB">
        <w:rPr>
          <w:rFonts w:eastAsia="Times New Roman"/>
          <w:color w:val="222222"/>
        </w:rPr>
        <w:t>, 2020.</w:t>
      </w:r>
      <w:bookmarkStart w:id="0" w:name="_GoBack"/>
      <w:bookmarkEnd w:id="0"/>
    </w:p>
    <w:p w14:paraId="60C40F5E" w14:textId="11D38AA7" w:rsidR="00AE35CC" w:rsidRPr="006E50AB" w:rsidRDefault="006E50AB" w:rsidP="00DE35E7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these specifications.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the</w:t>
      </w:r>
      <w:r w:rsidR="0082797E">
        <w:rPr>
          <w:rFonts w:eastAsia="Times New Roman"/>
          <w:color w:val="222222"/>
        </w:rPr>
        <w:t>se</w:t>
      </w:r>
      <w:r w:rsidR="00927653">
        <w:rPr>
          <w:rFonts w:eastAsia="Times New Roman"/>
          <w:color w:val="222222"/>
        </w:rPr>
        <w:t xml:space="preserve"> specifications and the SSP Index are attached.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180E4CEC" w14:textId="45BCE45D" w:rsidR="007B27B8" w:rsidRDefault="00AE35CC" w:rsidP="00DE35E7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p w14:paraId="5CEDD9F7" w14:textId="53C9CC99" w:rsidR="00017692" w:rsidRPr="003248E8" w:rsidRDefault="00017692" w:rsidP="003248E8">
      <w:pPr>
        <w:tabs>
          <w:tab w:val="left" w:pos="9475"/>
        </w:tabs>
      </w:pPr>
    </w:p>
    <w:sectPr w:rsidR="00017692" w:rsidRPr="003248E8" w:rsidSect="00056A9E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2C7F" w14:textId="77777777" w:rsidR="00242130" w:rsidRDefault="00242130" w:rsidP="00370CDA">
      <w:r>
        <w:separator/>
      </w:r>
    </w:p>
  </w:endnote>
  <w:endnote w:type="continuationSeparator" w:id="0">
    <w:p w14:paraId="494E83FC" w14:textId="77777777" w:rsidR="00242130" w:rsidRDefault="0024213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63D6" w14:textId="77777777" w:rsidR="00242130" w:rsidRDefault="00242130" w:rsidP="00370CDA">
      <w:r>
        <w:separator/>
      </w:r>
    </w:p>
  </w:footnote>
  <w:footnote w:type="continuationSeparator" w:id="0">
    <w:p w14:paraId="3253A7B2" w14:textId="77777777" w:rsidR="00242130" w:rsidRDefault="0024213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83838"/>
    <w:rsid w:val="000907C0"/>
    <w:rsid w:val="00092AEB"/>
    <w:rsid w:val="000A14EB"/>
    <w:rsid w:val="000A623E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6D9F"/>
    <w:rsid w:val="00146007"/>
    <w:rsid w:val="00156C5F"/>
    <w:rsid w:val="00157C41"/>
    <w:rsid w:val="00161900"/>
    <w:rsid w:val="00186543"/>
    <w:rsid w:val="00186C70"/>
    <w:rsid w:val="0019563C"/>
    <w:rsid w:val="001A139E"/>
    <w:rsid w:val="001A243B"/>
    <w:rsid w:val="001C377A"/>
    <w:rsid w:val="001D416F"/>
    <w:rsid w:val="001D6B88"/>
    <w:rsid w:val="001D7305"/>
    <w:rsid w:val="001D7F19"/>
    <w:rsid w:val="001E234A"/>
    <w:rsid w:val="00203DAF"/>
    <w:rsid w:val="00206F07"/>
    <w:rsid w:val="00212282"/>
    <w:rsid w:val="002161B4"/>
    <w:rsid w:val="00242130"/>
    <w:rsid w:val="00244E27"/>
    <w:rsid w:val="00254621"/>
    <w:rsid w:val="00267162"/>
    <w:rsid w:val="00281D91"/>
    <w:rsid w:val="00283E9E"/>
    <w:rsid w:val="00286908"/>
    <w:rsid w:val="002909E6"/>
    <w:rsid w:val="00295F3E"/>
    <w:rsid w:val="002D509A"/>
    <w:rsid w:val="002D579A"/>
    <w:rsid w:val="003001CB"/>
    <w:rsid w:val="00300B33"/>
    <w:rsid w:val="003248E8"/>
    <w:rsid w:val="00334446"/>
    <w:rsid w:val="00343D6C"/>
    <w:rsid w:val="00344887"/>
    <w:rsid w:val="003503D0"/>
    <w:rsid w:val="00365743"/>
    <w:rsid w:val="00370CDA"/>
    <w:rsid w:val="003838D9"/>
    <w:rsid w:val="00383E83"/>
    <w:rsid w:val="00397294"/>
    <w:rsid w:val="003C6112"/>
    <w:rsid w:val="003D145B"/>
    <w:rsid w:val="003D53B4"/>
    <w:rsid w:val="00405F0E"/>
    <w:rsid w:val="0041180F"/>
    <w:rsid w:val="0044100E"/>
    <w:rsid w:val="00441D01"/>
    <w:rsid w:val="00446080"/>
    <w:rsid w:val="004558A0"/>
    <w:rsid w:val="004569A4"/>
    <w:rsid w:val="0046180F"/>
    <w:rsid w:val="004646B6"/>
    <w:rsid w:val="0046474F"/>
    <w:rsid w:val="004673EA"/>
    <w:rsid w:val="0046743C"/>
    <w:rsid w:val="004701D1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168D3"/>
    <w:rsid w:val="00532AC2"/>
    <w:rsid w:val="00571099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122E4"/>
    <w:rsid w:val="00612337"/>
    <w:rsid w:val="006203AC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C1ED8"/>
    <w:rsid w:val="006D7384"/>
    <w:rsid w:val="006E4F51"/>
    <w:rsid w:val="006E50AB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918A9"/>
    <w:rsid w:val="007A4FB9"/>
    <w:rsid w:val="007B27B8"/>
    <w:rsid w:val="007C30B7"/>
    <w:rsid w:val="007D1A5D"/>
    <w:rsid w:val="007E15BB"/>
    <w:rsid w:val="00810654"/>
    <w:rsid w:val="0082797E"/>
    <w:rsid w:val="00833531"/>
    <w:rsid w:val="0084085C"/>
    <w:rsid w:val="008411E5"/>
    <w:rsid w:val="00854F8E"/>
    <w:rsid w:val="00864026"/>
    <w:rsid w:val="00872746"/>
    <w:rsid w:val="0088429E"/>
    <w:rsid w:val="00890024"/>
    <w:rsid w:val="008C394E"/>
    <w:rsid w:val="008C6A06"/>
    <w:rsid w:val="008D03C7"/>
    <w:rsid w:val="008E364A"/>
    <w:rsid w:val="008E3922"/>
    <w:rsid w:val="008E3B99"/>
    <w:rsid w:val="0090023A"/>
    <w:rsid w:val="00902485"/>
    <w:rsid w:val="00927653"/>
    <w:rsid w:val="009311D4"/>
    <w:rsid w:val="00935738"/>
    <w:rsid w:val="0093767A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2453B"/>
    <w:rsid w:val="00A50896"/>
    <w:rsid w:val="00A55954"/>
    <w:rsid w:val="00A63F2E"/>
    <w:rsid w:val="00A705C0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F1BF7"/>
    <w:rsid w:val="00B15B2A"/>
    <w:rsid w:val="00B23AAC"/>
    <w:rsid w:val="00B272A4"/>
    <w:rsid w:val="00B66ED4"/>
    <w:rsid w:val="00B71CC0"/>
    <w:rsid w:val="00B775F2"/>
    <w:rsid w:val="00B84898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48B7"/>
    <w:rsid w:val="00C32621"/>
    <w:rsid w:val="00C32C29"/>
    <w:rsid w:val="00C72B79"/>
    <w:rsid w:val="00C8730C"/>
    <w:rsid w:val="00C901C0"/>
    <w:rsid w:val="00CA6E16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33DC1"/>
    <w:rsid w:val="00D42B11"/>
    <w:rsid w:val="00D5088B"/>
    <w:rsid w:val="00D55128"/>
    <w:rsid w:val="00D666E7"/>
    <w:rsid w:val="00D740C3"/>
    <w:rsid w:val="00D83580"/>
    <w:rsid w:val="00DA11F8"/>
    <w:rsid w:val="00DC5574"/>
    <w:rsid w:val="00DC62AA"/>
    <w:rsid w:val="00DD4A98"/>
    <w:rsid w:val="00DD67E4"/>
    <w:rsid w:val="00DE00BD"/>
    <w:rsid w:val="00DE35E7"/>
    <w:rsid w:val="00DF081D"/>
    <w:rsid w:val="00E03E39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92487"/>
    <w:rsid w:val="00E964FC"/>
    <w:rsid w:val="00EB6486"/>
    <w:rsid w:val="00EC0FE3"/>
    <w:rsid w:val="00EC4088"/>
    <w:rsid w:val="00ED4305"/>
    <w:rsid w:val="00EE405D"/>
    <w:rsid w:val="00EE4B03"/>
    <w:rsid w:val="00EF0CF4"/>
    <w:rsid w:val="00EF4207"/>
    <w:rsid w:val="00EF541A"/>
    <w:rsid w:val="00EF64A8"/>
    <w:rsid w:val="00EF6BB4"/>
    <w:rsid w:val="00F00EE0"/>
    <w:rsid w:val="00F23737"/>
    <w:rsid w:val="00F23907"/>
    <w:rsid w:val="00F378A2"/>
    <w:rsid w:val="00F44E6A"/>
    <w:rsid w:val="00F45594"/>
    <w:rsid w:val="00F4747E"/>
    <w:rsid w:val="00F568AA"/>
    <w:rsid w:val="00F63F0D"/>
    <w:rsid w:val="00F755E2"/>
    <w:rsid w:val="00F80770"/>
    <w:rsid w:val="00F82F79"/>
    <w:rsid w:val="00F95B43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55</cp:revision>
  <cp:lastPrinted>2018-02-02T16:20:00Z</cp:lastPrinted>
  <dcterms:created xsi:type="dcterms:W3CDTF">2020-07-09T14:43:00Z</dcterms:created>
  <dcterms:modified xsi:type="dcterms:W3CDTF">2020-09-02T22:17:00Z</dcterms:modified>
</cp:coreProperties>
</file>