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7ABD611"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72298C">
        <w:rPr>
          <w:rFonts w:ascii="Arial" w:hAnsi="Arial"/>
          <w:b/>
          <w:color w:val="FF0000"/>
        </w:rPr>
        <w:t>01</w:t>
      </w:r>
      <w:r w:rsidR="00907D7F">
        <w:rPr>
          <w:rFonts w:ascii="Arial" w:hAnsi="Arial"/>
          <w:b/>
          <w:color w:val="FF0000"/>
        </w:rPr>
        <w:t>-</w:t>
      </w:r>
      <w:r w:rsidR="00C407B7">
        <w:rPr>
          <w:rFonts w:ascii="Arial" w:hAnsi="Arial"/>
          <w:b/>
          <w:color w:val="FF0000"/>
        </w:rPr>
        <w:t>31</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bookmarkStart w:id="0" w:name="_GoBack"/>
      <w:bookmarkEnd w:id="0"/>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368F0C90"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28E1B938" w14:textId="5D3F73C5" w:rsidR="006A6B93" w:rsidRDefault="006A6B93">
      <w:pPr>
        <w:rPr>
          <w:i/>
          <w:noProof/>
          <w:color w:val="0000FF"/>
          <w:sz w:val="22"/>
        </w:rPr>
      </w:pPr>
      <w:r>
        <w:rPr>
          <w:noProof/>
          <w:color w:val="0000FF"/>
        </w:rPr>
        <w:br w:type="page"/>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668F4A0B" w:rsidR="00CB3CF7" w:rsidRDefault="00817CD7" w:rsidP="006A6B9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E0FCFF9" w14:textId="6981D073" w:rsidR="006A6B93" w:rsidRDefault="003702AA" w:rsidP="006A6B93">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3426C0BE" w14:textId="77777777" w:rsidR="006A6B93" w:rsidRDefault="006A6B93">
      <w:pPr>
        <w:rPr>
          <w:i/>
          <w:color w:val="0000FF"/>
          <w:sz w:val="22"/>
        </w:rPr>
      </w:pPr>
      <w:r>
        <w:rPr>
          <w:i/>
          <w:color w:val="0000FF"/>
          <w:sz w:val="22"/>
        </w:rPr>
        <w:br w:type="page"/>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B30696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w:t>
      </w:r>
      <w:r w:rsidR="00C407B7">
        <w:rPr>
          <w:sz w:val="22"/>
        </w:rPr>
        <w:t>1</w:t>
      </w:r>
      <w:r w:rsidR="00EB4DAD">
        <w:rPr>
          <w:sz w:val="22"/>
        </w:rPr>
        <w:t>, 2020</w:t>
      </w:r>
      <w:r w:rsidR="00E87DDF" w:rsidRPr="00853B1E">
        <w:rPr>
          <w:sz w:val="22"/>
        </w:rPr>
        <w:t>)</w:t>
      </w:r>
      <w:r w:rsidRPr="00853B1E">
        <w:rPr>
          <w:sz w:val="22"/>
        </w:rPr>
        <w:tab/>
      </w:r>
      <w:r w:rsidR="00EE021D" w:rsidRPr="00853B1E">
        <w:rPr>
          <w:sz w:val="22"/>
        </w:rPr>
        <w:t>6</w:t>
      </w:r>
    </w:p>
    <w:p w14:paraId="14E7776B" w14:textId="5DD4749E"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1,</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F6998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 xml:space="preserve">January </w:t>
      </w:r>
      <w:r w:rsidR="005A50E6">
        <w:rPr>
          <w:sz w:val="22"/>
        </w:rPr>
        <w:t>24</w:t>
      </w:r>
      <w:r w:rsidR="00EB4DAD">
        <w:rPr>
          <w:sz w:val="22"/>
        </w:rPr>
        <w:t>, 2020</w:t>
      </w:r>
      <w:r w:rsidR="00E87DDF" w:rsidRPr="00853B1E">
        <w:rPr>
          <w:sz w:val="22"/>
        </w:rPr>
        <w:t>)</w:t>
      </w:r>
      <w:r w:rsidRPr="00853B1E">
        <w:rPr>
          <w:sz w:val="22"/>
        </w:rPr>
        <w:tab/>
      </w:r>
      <w:r w:rsidR="0054121B" w:rsidRPr="00853B1E">
        <w:rPr>
          <w:sz w:val="22"/>
        </w:rPr>
        <w:t>8</w:t>
      </w:r>
    </w:p>
    <w:p w14:paraId="4BDDA6A9" w14:textId="3C27327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1,</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51A7247E" w:rsidR="000E528B" w:rsidRDefault="00BA62C4" w:rsidP="008070F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2FD2D6" w14:textId="025EE98B" w:rsidR="008856C4" w:rsidRDefault="008856C4">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A3FF" w14:textId="77777777" w:rsidR="004F5DBE" w:rsidRDefault="004F5DBE">
      <w:r>
        <w:separator/>
      </w:r>
    </w:p>
  </w:endnote>
  <w:endnote w:type="continuationSeparator" w:id="0">
    <w:p w14:paraId="39243620" w14:textId="77777777" w:rsidR="004F5DBE" w:rsidRDefault="004F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D8409C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2298C">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D87C7" w14:textId="77777777" w:rsidR="004F5DBE" w:rsidRDefault="004F5DBE">
      <w:r>
        <w:separator/>
      </w:r>
    </w:p>
  </w:footnote>
  <w:footnote w:type="continuationSeparator" w:id="0">
    <w:p w14:paraId="2383C970" w14:textId="77777777" w:rsidR="004F5DBE" w:rsidRDefault="004F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E101-59DD-42A4-9AE4-8A4062D5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50</cp:revision>
  <cp:lastPrinted>2018-01-06T00:26:00Z</cp:lastPrinted>
  <dcterms:created xsi:type="dcterms:W3CDTF">2019-09-27T15:17:00Z</dcterms:created>
  <dcterms:modified xsi:type="dcterms:W3CDTF">2020-01-31T16:13:00Z</dcterms:modified>
</cp:coreProperties>
</file>