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3231" w14:textId="7D98A107" w:rsidR="00213772" w:rsidRPr="00F95FB1" w:rsidRDefault="00213772" w:rsidP="002137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right"/>
        <w:rPr>
          <w:rFonts w:ascii="Arial" w:eastAsia="Calibri" w:hAnsi="Arial" w:cs="Arial"/>
          <w:sz w:val="28"/>
          <w:szCs w:val="28"/>
        </w:rPr>
      </w:pPr>
      <w:r>
        <w:rPr>
          <w:rFonts w:ascii="Arial" w:eastAsia="Calibri" w:hAnsi="Arial" w:cs="Arial"/>
          <w:sz w:val="28"/>
          <w:szCs w:val="28"/>
        </w:rPr>
        <w:t>November 7</w:t>
      </w:r>
      <w:r w:rsidRPr="00F95FB1">
        <w:rPr>
          <w:rFonts w:ascii="Arial" w:eastAsia="Calibri" w:hAnsi="Arial" w:cs="Arial"/>
          <w:sz w:val="28"/>
          <w:szCs w:val="28"/>
        </w:rPr>
        <w:t>, 2018</w:t>
      </w:r>
    </w:p>
    <w:p w14:paraId="439B6D79" w14:textId="18D516D8" w:rsidR="00213772" w:rsidRPr="00F95FB1" w:rsidRDefault="00213772" w:rsidP="002137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center"/>
        <w:rPr>
          <w:rFonts w:eastAsia="Calibri"/>
          <w:b/>
          <w:sz w:val="40"/>
          <w:szCs w:val="22"/>
        </w:rPr>
      </w:pPr>
      <w:r w:rsidRPr="00F95FB1">
        <w:rPr>
          <w:rFonts w:ascii="Arial" w:eastAsia="Calibri" w:hAnsi="Arial" w:cs="Arial"/>
          <w:sz w:val="28"/>
          <w:szCs w:val="28"/>
        </w:rPr>
        <w:t xml:space="preserve">REVISION OF </w:t>
      </w:r>
      <w:r w:rsidRPr="00F95FB1">
        <w:rPr>
          <w:rFonts w:ascii="Arial" w:eastAsia="Calibri" w:hAnsi="Arial"/>
          <w:sz w:val="28"/>
          <w:szCs w:val="22"/>
        </w:rPr>
        <w:t xml:space="preserve">SECTION </w:t>
      </w:r>
      <w:r>
        <w:rPr>
          <w:rFonts w:ascii="Arial" w:eastAsia="Calibri" w:hAnsi="Arial"/>
          <w:sz w:val="28"/>
          <w:szCs w:val="22"/>
        </w:rPr>
        <w:t>601</w:t>
      </w:r>
      <w:r w:rsidRPr="00F95FB1">
        <w:rPr>
          <w:rFonts w:ascii="Arial" w:eastAsia="Calibri" w:hAnsi="Arial" w:cs="Arial"/>
          <w:sz w:val="28"/>
          <w:szCs w:val="28"/>
        </w:rPr>
        <w:br/>
      </w:r>
      <w:r>
        <w:rPr>
          <w:rFonts w:ascii="Arial" w:eastAsia="Calibri" w:hAnsi="Arial"/>
          <w:sz w:val="28"/>
          <w:szCs w:val="22"/>
        </w:rPr>
        <w:t>S</w:t>
      </w:r>
      <w:r w:rsidR="00102883">
        <w:rPr>
          <w:rFonts w:ascii="Arial" w:eastAsia="Calibri" w:hAnsi="Arial"/>
          <w:sz w:val="28"/>
          <w:szCs w:val="22"/>
        </w:rPr>
        <w:t>ELF CONSOLIDATING</w:t>
      </w:r>
      <w:r>
        <w:rPr>
          <w:rFonts w:ascii="Arial" w:eastAsia="Calibri" w:hAnsi="Arial"/>
          <w:sz w:val="28"/>
          <w:szCs w:val="22"/>
        </w:rPr>
        <w:t xml:space="preserve"> CONCRETE</w:t>
      </w:r>
    </w:p>
    <w:p w14:paraId="3CC39579" w14:textId="77777777" w:rsidR="00213772" w:rsidRPr="00F95FB1" w:rsidRDefault="00213772" w:rsidP="002137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center"/>
        <w:rPr>
          <w:rFonts w:eastAsia="Calibri"/>
          <w:b/>
          <w:bCs/>
          <w:sz w:val="40"/>
          <w:szCs w:val="40"/>
        </w:rPr>
      </w:pPr>
      <w:r w:rsidRPr="00F95FB1">
        <w:rPr>
          <w:rFonts w:eastAsia="Calibri"/>
          <w:b/>
          <w:bCs/>
          <w:sz w:val="40"/>
          <w:szCs w:val="40"/>
        </w:rPr>
        <w:t>NOTICE</w:t>
      </w:r>
    </w:p>
    <w:p w14:paraId="364A069E" w14:textId="77777777" w:rsidR="00213772" w:rsidRPr="00F95FB1" w:rsidRDefault="00213772" w:rsidP="002137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50ECB610" w14:textId="77777777" w:rsidR="00213772" w:rsidRPr="00F95FB1" w:rsidRDefault="00213772" w:rsidP="002137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eastAsia="Calibri"/>
          <w:sz w:val="28"/>
          <w:szCs w:val="28"/>
        </w:rPr>
        <w:t xml:space="preserve">This is a standard special provision that revises or modifies CDOT’s </w:t>
      </w:r>
      <w:r w:rsidRPr="00F95FB1">
        <w:rPr>
          <w:rFonts w:eastAsia="Calibri"/>
          <w:i/>
          <w:iCs/>
          <w:sz w:val="28"/>
          <w:szCs w:val="28"/>
        </w:rPr>
        <w:t>Standard Specifications for Road and Bridge Construction.</w:t>
      </w:r>
      <w:r w:rsidRPr="00F95FB1">
        <w:rPr>
          <w:rFonts w:eastAsia="Calibri"/>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4115569" w14:textId="77777777" w:rsidR="00213772" w:rsidRPr="00F95FB1" w:rsidRDefault="00213772" w:rsidP="002137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48066F91" w14:textId="77777777" w:rsidR="00213772" w:rsidRPr="00F95FB1" w:rsidRDefault="00213772" w:rsidP="002137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eastAsia="Calibri"/>
          <w:sz w:val="28"/>
          <w:szCs w:val="28"/>
        </w:rPr>
        <w:t xml:space="preserve">Other agencies which use the </w:t>
      </w:r>
      <w:r w:rsidRPr="00F95FB1">
        <w:rPr>
          <w:rFonts w:eastAsia="Calibri"/>
          <w:i/>
          <w:iCs/>
          <w:sz w:val="28"/>
          <w:szCs w:val="28"/>
        </w:rPr>
        <w:t>Standard Specifications for Road and Bridge Construction</w:t>
      </w:r>
      <w:r w:rsidRPr="00F95FB1">
        <w:rPr>
          <w:rFonts w:eastAsia="Calibri"/>
          <w:sz w:val="28"/>
          <w:szCs w:val="28"/>
        </w:rPr>
        <w:t xml:space="preserve"> to administer construction projects may use this special provision as appropriate and at their own risk.</w:t>
      </w:r>
    </w:p>
    <w:p w14:paraId="39F2E006" w14:textId="77777777" w:rsidR="00213772" w:rsidRPr="00F95FB1" w:rsidRDefault="00213772" w:rsidP="002137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3589118F" w14:textId="77777777" w:rsidR="00213772" w:rsidRPr="00F95FB1" w:rsidRDefault="00213772" w:rsidP="002137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ascii="Photina" w:eastAsia="Calibri" w:hAnsi="Photina" w:cs="Photina"/>
          <w:b/>
          <w:bCs/>
          <w:color w:val="800000"/>
          <w:sz w:val="28"/>
          <w:szCs w:val="28"/>
        </w:rPr>
        <w:t xml:space="preserve">Instructions for use on CDOT construction projects:  </w:t>
      </w:r>
    </w:p>
    <w:p w14:paraId="66736A72" w14:textId="448E7A0F" w:rsidR="00213772" w:rsidRPr="00F95FB1" w:rsidRDefault="00213772" w:rsidP="00213772">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ascii="Calibri" w:eastAsia="Calibri" w:hAnsi="Calibri"/>
          <w:sz w:val="22"/>
          <w:szCs w:val="22"/>
        </w:rPr>
      </w:pPr>
      <w:r w:rsidRPr="00F95FB1">
        <w:rPr>
          <w:rFonts w:eastAsia="Calibri"/>
          <w:sz w:val="28"/>
          <w:szCs w:val="28"/>
        </w:rPr>
        <w:t xml:space="preserve">Use on projects having </w:t>
      </w:r>
      <w:r w:rsidR="00102883">
        <w:rPr>
          <w:rFonts w:eastAsia="Calibri"/>
          <w:sz w:val="28"/>
          <w:szCs w:val="28"/>
        </w:rPr>
        <w:t>any type of concrete construction</w:t>
      </w:r>
      <w:r w:rsidRPr="00F95FB1">
        <w:rPr>
          <w:rFonts w:eastAsia="Calibri"/>
          <w:sz w:val="28"/>
          <w:szCs w:val="28"/>
        </w:rPr>
        <w:t>.</w:t>
      </w:r>
    </w:p>
    <w:p w14:paraId="3EDAD484" w14:textId="77777777" w:rsidR="004A5CE3" w:rsidRDefault="004A5CE3">
      <w:pPr>
        <w:rPr>
          <w:sz w:val="22"/>
          <w:szCs w:val="22"/>
        </w:rPr>
        <w:sectPr w:rsidR="004A5CE3" w:rsidSect="004A5CE3">
          <w:headerReference w:type="default" r:id="rId8"/>
          <w:pgSz w:w="12240" w:h="15840" w:code="1"/>
          <w:pgMar w:top="720" w:right="1080" w:bottom="720" w:left="1080" w:header="720" w:footer="720" w:gutter="0"/>
          <w:cols w:space="720"/>
          <w:titlePg/>
          <w:docGrid w:linePitch="272"/>
        </w:sectPr>
      </w:pPr>
    </w:p>
    <w:p w14:paraId="65FC92E6" w14:textId="50D8CE7D" w:rsidR="008740FE" w:rsidRDefault="00E0029F" w:rsidP="008740FE">
      <w:pPr>
        <w:rPr>
          <w:sz w:val="22"/>
          <w:szCs w:val="22"/>
        </w:rPr>
      </w:pPr>
      <w:r w:rsidRPr="00270077">
        <w:rPr>
          <w:sz w:val="22"/>
          <w:szCs w:val="22"/>
        </w:rPr>
        <w:lastRenderedPageBreak/>
        <w:t>Section 601 of the Standard Specifications is hereby revised for this project as follows:</w:t>
      </w:r>
    </w:p>
    <w:p w14:paraId="7EF44F1D" w14:textId="77777777" w:rsidR="008740FE" w:rsidRDefault="008740FE" w:rsidP="008740FE">
      <w:pPr>
        <w:rPr>
          <w:sz w:val="22"/>
          <w:szCs w:val="22"/>
        </w:rPr>
      </w:pPr>
    </w:p>
    <w:p w14:paraId="0827DD7A" w14:textId="77777777" w:rsidR="008740FE" w:rsidRDefault="008740FE" w:rsidP="008740FE">
      <w:pPr>
        <w:rPr>
          <w:bCs/>
          <w:color w:val="000000"/>
          <w:sz w:val="22"/>
          <w:szCs w:val="22"/>
        </w:rPr>
      </w:pPr>
      <w:r w:rsidRPr="008740FE">
        <w:rPr>
          <w:bCs/>
          <w:color w:val="000000"/>
          <w:sz w:val="22"/>
          <w:szCs w:val="22"/>
        </w:rPr>
        <w:t xml:space="preserve">Subsection 601.02 shall include the following: </w:t>
      </w:r>
    </w:p>
    <w:p w14:paraId="488887BF" w14:textId="77777777" w:rsidR="008740FE" w:rsidRDefault="008740FE" w:rsidP="008740FE">
      <w:pPr>
        <w:rPr>
          <w:bCs/>
          <w:color w:val="000000"/>
          <w:sz w:val="22"/>
          <w:szCs w:val="22"/>
        </w:rPr>
      </w:pPr>
    </w:p>
    <w:p w14:paraId="03324210" w14:textId="77777777" w:rsidR="008740FE" w:rsidRDefault="008740FE" w:rsidP="008740FE">
      <w:pPr>
        <w:rPr>
          <w:bCs/>
          <w:color w:val="000000"/>
          <w:sz w:val="22"/>
          <w:szCs w:val="22"/>
        </w:rPr>
      </w:pPr>
      <w:r w:rsidRPr="008740FE">
        <w:rPr>
          <w:bCs/>
          <w:color w:val="000000"/>
          <w:sz w:val="22"/>
          <w:szCs w:val="22"/>
        </w:rPr>
        <w:t xml:space="preserve">The Contractor may elect to modify Class B, Class BZ, Class D, S35, S40 and S50 concrete to be Self Consolidating Concrete (SCC) with the following requirements: </w:t>
      </w:r>
    </w:p>
    <w:p w14:paraId="07BEF7F8" w14:textId="77777777" w:rsidR="008740FE" w:rsidRDefault="008740FE" w:rsidP="008740FE">
      <w:pPr>
        <w:rPr>
          <w:bCs/>
          <w:color w:val="000000"/>
          <w:sz w:val="22"/>
          <w:szCs w:val="22"/>
        </w:rPr>
      </w:pPr>
    </w:p>
    <w:p w14:paraId="7D4A59D7" w14:textId="32812A1A" w:rsidR="008740FE" w:rsidRDefault="00724088" w:rsidP="00724088">
      <w:pPr>
        <w:ind w:left="720" w:hanging="720"/>
        <w:rPr>
          <w:bCs/>
          <w:color w:val="000000"/>
          <w:sz w:val="22"/>
          <w:szCs w:val="22"/>
        </w:rPr>
      </w:pPr>
      <w:r>
        <w:rPr>
          <w:bCs/>
          <w:color w:val="000000"/>
          <w:sz w:val="22"/>
          <w:szCs w:val="22"/>
        </w:rPr>
        <w:t>(1)</w:t>
      </w:r>
      <w:r>
        <w:rPr>
          <w:bCs/>
          <w:color w:val="000000"/>
          <w:sz w:val="22"/>
          <w:szCs w:val="22"/>
        </w:rPr>
        <w:tab/>
      </w:r>
      <w:r w:rsidR="008740FE" w:rsidRPr="008740FE">
        <w:rPr>
          <w:bCs/>
          <w:color w:val="000000"/>
          <w:sz w:val="22"/>
          <w:szCs w:val="22"/>
        </w:rPr>
        <w:t xml:space="preserve">SCC shall have a slump flow of 20 to 26 inches when tested in accordance with ASTM C1611 using an inverted slump cone. </w:t>
      </w:r>
    </w:p>
    <w:p w14:paraId="6EB68E30" w14:textId="73AF869C" w:rsidR="008740FE" w:rsidRDefault="00724088" w:rsidP="00724088">
      <w:pPr>
        <w:ind w:left="720" w:hanging="720"/>
        <w:rPr>
          <w:bCs/>
          <w:color w:val="000000"/>
          <w:sz w:val="22"/>
          <w:szCs w:val="22"/>
        </w:rPr>
      </w:pPr>
      <w:r>
        <w:rPr>
          <w:bCs/>
          <w:color w:val="000000"/>
          <w:sz w:val="22"/>
          <w:szCs w:val="22"/>
        </w:rPr>
        <w:t>(2)</w:t>
      </w:r>
      <w:r>
        <w:rPr>
          <w:bCs/>
          <w:color w:val="000000"/>
          <w:sz w:val="22"/>
          <w:szCs w:val="22"/>
        </w:rPr>
        <w:tab/>
      </w:r>
      <w:r w:rsidR="008740FE" w:rsidRPr="008740FE">
        <w:rPr>
          <w:bCs/>
          <w:color w:val="000000"/>
          <w:sz w:val="22"/>
          <w:szCs w:val="22"/>
        </w:rPr>
        <w:t xml:space="preserve">SCC shall have a maximum blocking assessment of 2.0 inches when tested in accordance with ASTM C1621. </w:t>
      </w:r>
    </w:p>
    <w:p w14:paraId="7D1454AD" w14:textId="4CA54C2B" w:rsidR="008740FE" w:rsidRDefault="00724088" w:rsidP="00724088">
      <w:pPr>
        <w:ind w:left="720" w:hanging="720"/>
        <w:rPr>
          <w:bCs/>
          <w:color w:val="000000"/>
          <w:sz w:val="22"/>
          <w:szCs w:val="22"/>
        </w:rPr>
      </w:pPr>
      <w:r>
        <w:rPr>
          <w:bCs/>
          <w:color w:val="000000"/>
          <w:sz w:val="22"/>
          <w:szCs w:val="22"/>
        </w:rPr>
        <w:t>(3)</w:t>
      </w:r>
      <w:r>
        <w:rPr>
          <w:bCs/>
          <w:color w:val="000000"/>
          <w:sz w:val="22"/>
          <w:szCs w:val="22"/>
        </w:rPr>
        <w:tab/>
      </w:r>
      <w:r w:rsidR="008740FE" w:rsidRPr="008740FE">
        <w:rPr>
          <w:bCs/>
          <w:color w:val="000000"/>
          <w:sz w:val="22"/>
          <w:szCs w:val="22"/>
        </w:rPr>
        <w:t xml:space="preserve">SCC shall have a maximum static segregation of 10 percent when tested in accordance with ASTM C1610. </w:t>
      </w:r>
    </w:p>
    <w:p w14:paraId="17BF542A" w14:textId="0347C14E" w:rsidR="008740FE" w:rsidRDefault="00724088" w:rsidP="00724088">
      <w:pPr>
        <w:ind w:left="720" w:hanging="720"/>
        <w:rPr>
          <w:bCs/>
          <w:color w:val="000000"/>
          <w:sz w:val="22"/>
          <w:szCs w:val="22"/>
        </w:rPr>
      </w:pPr>
      <w:r>
        <w:rPr>
          <w:bCs/>
          <w:color w:val="000000"/>
          <w:sz w:val="22"/>
          <w:szCs w:val="22"/>
        </w:rPr>
        <w:t>(4)</w:t>
      </w:r>
      <w:r>
        <w:rPr>
          <w:bCs/>
          <w:color w:val="000000"/>
          <w:sz w:val="22"/>
          <w:szCs w:val="22"/>
        </w:rPr>
        <w:tab/>
      </w:r>
      <w:r w:rsidR="008740FE" w:rsidRPr="008740FE">
        <w:rPr>
          <w:bCs/>
          <w:color w:val="000000"/>
          <w:sz w:val="22"/>
          <w:szCs w:val="22"/>
        </w:rPr>
        <w:t xml:space="preserve">For SCC, deviations from the Standard Class B, Class BZ, Class D, S35, S40 and S50 concrete requirements may be made as long as the non-standard concrete requirements are met. ASTM C672 testing is not required for SCC that exceeds the maximum </w:t>
      </w:r>
      <w:proofErr w:type="spellStart"/>
      <w:r w:rsidR="008740FE" w:rsidRPr="008740FE">
        <w:rPr>
          <w:bCs/>
          <w:color w:val="000000"/>
          <w:sz w:val="22"/>
          <w:szCs w:val="22"/>
        </w:rPr>
        <w:t>pozzolan</w:t>
      </w:r>
      <w:proofErr w:type="spellEnd"/>
      <w:r w:rsidR="008740FE" w:rsidRPr="008740FE">
        <w:rPr>
          <w:bCs/>
          <w:color w:val="000000"/>
          <w:sz w:val="22"/>
          <w:szCs w:val="22"/>
        </w:rPr>
        <w:t xml:space="preserve"> substitution in subsection 601.05. </w:t>
      </w:r>
    </w:p>
    <w:p w14:paraId="55819226" w14:textId="77777777" w:rsidR="008740FE" w:rsidRDefault="008740FE" w:rsidP="008740FE">
      <w:pPr>
        <w:rPr>
          <w:bCs/>
          <w:color w:val="000000"/>
          <w:sz w:val="22"/>
          <w:szCs w:val="22"/>
        </w:rPr>
      </w:pPr>
    </w:p>
    <w:p w14:paraId="079653A2" w14:textId="77777777" w:rsidR="008740FE" w:rsidRDefault="008740FE" w:rsidP="008740FE">
      <w:pPr>
        <w:rPr>
          <w:bCs/>
          <w:color w:val="000000"/>
          <w:sz w:val="22"/>
          <w:szCs w:val="22"/>
        </w:rPr>
      </w:pPr>
      <w:r w:rsidRPr="008740FE">
        <w:rPr>
          <w:bCs/>
          <w:color w:val="000000"/>
          <w:sz w:val="22"/>
          <w:szCs w:val="22"/>
        </w:rPr>
        <w:t xml:space="preserve">Subsection 601.05 shall include the following in the second paragraph: </w:t>
      </w:r>
    </w:p>
    <w:p w14:paraId="542E6B73" w14:textId="77777777" w:rsidR="008740FE" w:rsidRDefault="008740FE" w:rsidP="008740FE">
      <w:pPr>
        <w:rPr>
          <w:bCs/>
          <w:color w:val="000000"/>
          <w:sz w:val="22"/>
          <w:szCs w:val="22"/>
        </w:rPr>
      </w:pPr>
    </w:p>
    <w:p w14:paraId="67218226" w14:textId="04EC47D7" w:rsidR="008740FE" w:rsidRDefault="00724088" w:rsidP="00724088">
      <w:pPr>
        <w:ind w:left="720" w:hanging="720"/>
        <w:rPr>
          <w:bCs/>
          <w:color w:val="000000"/>
          <w:sz w:val="22"/>
          <w:szCs w:val="22"/>
        </w:rPr>
      </w:pPr>
      <w:r>
        <w:rPr>
          <w:bCs/>
          <w:color w:val="000000"/>
          <w:sz w:val="22"/>
          <w:szCs w:val="22"/>
        </w:rPr>
        <w:t>(9)</w:t>
      </w:r>
      <w:r>
        <w:rPr>
          <w:bCs/>
          <w:color w:val="000000"/>
          <w:sz w:val="22"/>
          <w:szCs w:val="22"/>
        </w:rPr>
        <w:tab/>
      </w:r>
      <w:r w:rsidR="008740FE" w:rsidRPr="008740FE">
        <w:rPr>
          <w:bCs/>
          <w:color w:val="000000"/>
          <w:sz w:val="22"/>
          <w:szCs w:val="22"/>
        </w:rPr>
        <w:t xml:space="preserve">SCC concrete shall include ASTM C1611 Standard Test Method for Slump Flow of Self-Consolidating Concrete. Slump flow shall be measured using an inverted slump cone. </w:t>
      </w:r>
    </w:p>
    <w:p w14:paraId="1103BD94" w14:textId="69480549" w:rsidR="008740FE" w:rsidRDefault="00724088" w:rsidP="00724088">
      <w:pPr>
        <w:ind w:left="720" w:hanging="720"/>
        <w:rPr>
          <w:bCs/>
          <w:color w:val="000000"/>
          <w:sz w:val="22"/>
          <w:szCs w:val="22"/>
        </w:rPr>
      </w:pPr>
      <w:r>
        <w:rPr>
          <w:bCs/>
          <w:color w:val="000000"/>
          <w:sz w:val="22"/>
          <w:szCs w:val="22"/>
        </w:rPr>
        <w:t>(10)</w:t>
      </w:r>
      <w:r>
        <w:rPr>
          <w:bCs/>
          <w:color w:val="000000"/>
          <w:sz w:val="22"/>
          <w:szCs w:val="22"/>
        </w:rPr>
        <w:tab/>
      </w:r>
      <w:r w:rsidR="008740FE" w:rsidRPr="008740FE">
        <w:rPr>
          <w:bCs/>
          <w:color w:val="000000"/>
          <w:sz w:val="22"/>
          <w:szCs w:val="22"/>
        </w:rPr>
        <w:t xml:space="preserve">SCC concrete shall include ASTM C1621 Standard Test Method for Passing Ability of Self-Consolidating Concrete by J-Ring. </w:t>
      </w:r>
    </w:p>
    <w:p w14:paraId="387E42B3" w14:textId="778CB168" w:rsidR="008740FE" w:rsidRDefault="008740FE" w:rsidP="00724088">
      <w:pPr>
        <w:ind w:left="720" w:hanging="720"/>
        <w:rPr>
          <w:bCs/>
          <w:color w:val="000000"/>
          <w:sz w:val="22"/>
          <w:szCs w:val="22"/>
        </w:rPr>
      </w:pPr>
      <w:r w:rsidRPr="008740FE">
        <w:rPr>
          <w:bCs/>
          <w:color w:val="000000"/>
          <w:sz w:val="22"/>
          <w:szCs w:val="22"/>
        </w:rPr>
        <w:t xml:space="preserve">(11) </w:t>
      </w:r>
      <w:r w:rsidR="00724088">
        <w:rPr>
          <w:bCs/>
          <w:color w:val="000000"/>
          <w:sz w:val="22"/>
          <w:szCs w:val="22"/>
        </w:rPr>
        <w:tab/>
      </w:r>
      <w:r w:rsidRPr="008740FE">
        <w:rPr>
          <w:bCs/>
          <w:color w:val="000000"/>
          <w:sz w:val="22"/>
          <w:szCs w:val="22"/>
        </w:rPr>
        <w:t xml:space="preserve">SCC concrete shall include ASTM C1610 Standard Test Method for Static Segregation of Self-Consolidating Concrete Using Column Technique. </w:t>
      </w:r>
    </w:p>
    <w:p w14:paraId="28DC4846" w14:textId="77777777" w:rsidR="008740FE" w:rsidRDefault="008740FE" w:rsidP="008740FE">
      <w:pPr>
        <w:rPr>
          <w:bCs/>
          <w:color w:val="000000"/>
          <w:sz w:val="22"/>
          <w:szCs w:val="22"/>
        </w:rPr>
      </w:pPr>
    </w:p>
    <w:p w14:paraId="36AE08FD" w14:textId="4E52CF0B" w:rsidR="008740FE" w:rsidRDefault="00724088" w:rsidP="008740FE">
      <w:pPr>
        <w:rPr>
          <w:bCs/>
          <w:color w:val="000000"/>
          <w:sz w:val="22"/>
          <w:szCs w:val="22"/>
        </w:rPr>
      </w:pPr>
      <w:r>
        <w:rPr>
          <w:bCs/>
          <w:color w:val="000000"/>
          <w:sz w:val="22"/>
          <w:szCs w:val="22"/>
        </w:rPr>
        <w:t>Subsection 601.09</w:t>
      </w:r>
      <w:r w:rsidR="008740FE" w:rsidRPr="008740FE">
        <w:rPr>
          <w:bCs/>
          <w:color w:val="000000"/>
          <w:sz w:val="22"/>
          <w:szCs w:val="22"/>
        </w:rPr>
        <w:t xml:space="preserve">(a) shall include the following: </w:t>
      </w:r>
    </w:p>
    <w:p w14:paraId="64FC7A3E" w14:textId="77777777" w:rsidR="008740FE" w:rsidRDefault="008740FE" w:rsidP="008740FE">
      <w:pPr>
        <w:rPr>
          <w:bCs/>
          <w:color w:val="000000"/>
          <w:sz w:val="22"/>
          <w:szCs w:val="22"/>
        </w:rPr>
      </w:pPr>
    </w:p>
    <w:p w14:paraId="48E4A2F4" w14:textId="39272BF4" w:rsidR="008740FE" w:rsidRDefault="008740FE" w:rsidP="008740FE">
      <w:pPr>
        <w:rPr>
          <w:bCs/>
          <w:color w:val="000000"/>
          <w:sz w:val="22"/>
          <w:szCs w:val="22"/>
        </w:rPr>
      </w:pPr>
      <w:r w:rsidRPr="008740FE">
        <w:rPr>
          <w:bCs/>
          <w:color w:val="000000"/>
          <w:sz w:val="22"/>
          <w:szCs w:val="22"/>
        </w:rPr>
        <w:t xml:space="preserve">When SCC is used, forms shall be designed for loads as defined in ACI 347. Design calculations and form details shall be provided to the Engineer per Working Drawing requirements as defined in </w:t>
      </w:r>
      <w:proofErr w:type="spellStart"/>
      <w:r w:rsidR="00724088">
        <w:rPr>
          <w:bCs/>
          <w:color w:val="000000"/>
          <w:sz w:val="22"/>
          <w:szCs w:val="22"/>
        </w:rPr>
        <w:t>sub</w:t>
      </w:r>
      <w:r w:rsidRPr="008740FE">
        <w:rPr>
          <w:bCs/>
          <w:color w:val="000000"/>
          <w:sz w:val="22"/>
          <w:szCs w:val="22"/>
        </w:rPr>
        <w:t>ection</w:t>
      </w:r>
      <w:proofErr w:type="spellEnd"/>
      <w:r w:rsidRPr="008740FE">
        <w:rPr>
          <w:bCs/>
          <w:color w:val="000000"/>
          <w:sz w:val="22"/>
          <w:szCs w:val="22"/>
        </w:rPr>
        <w:t xml:space="preserve"> 105.02. </w:t>
      </w:r>
    </w:p>
    <w:p w14:paraId="35AFC295" w14:textId="77777777" w:rsidR="008740FE" w:rsidRDefault="008740FE" w:rsidP="008740FE">
      <w:pPr>
        <w:rPr>
          <w:bCs/>
          <w:color w:val="000000"/>
          <w:sz w:val="22"/>
          <w:szCs w:val="22"/>
        </w:rPr>
      </w:pPr>
    </w:p>
    <w:p w14:paraId="75E61744" w14:textId="2A813DA3" w:rsidR="008740FE" w:rsidRDefault="00724088" w:rsidP="008740FE">
      <w:pPr>
        <w:rPr>
          <w:bCs/>
          <w:color w:val="000000"/>
          <w:sz w:val="22"/>
          <w:szCs w:val="22"/>
        </w:rPr>
      </w:pPr>
      <w:r>
        <w:rPr>
          <w:bCs/>
          <w:color w:val="000000"/>
          <w:sz w:val="22"/>
          <w:szCs w:val="22"/>
        </w:rPr>
        <w:t>Subsection 601.09</w:t>
      </w:r>
      <w:r w:rsidR="008740FE" w:rsidRPr="008740FE">
        <w:rPr>
          <w:bCs/>
          <w:color w:val="000000"/>
          <w:sz w:val="22"/>
          <w:szCs w:val="22"/>
        </w:rPr>
        <w:t xml:space="preserve">(b) shall include the following: </w:t>
      </w:r>
    </w:p>
    <w:p w14:paraId="79A1E02A" w14:textId="77777777" w:rsidR="008740FE" w:rsidRDefault="008740FE" w:rsidP="008740FE">
      <w:pPr>
        <w:rPr>
          <w:bCs/>
          <w:color w:val="000000"/>
          <w:sz w:val="22"/>
          <w:szCs w:val="22"/>
        </w:rPr>
      </w:pPr>
    </w:p>
    <w:p w14:paraId="590E3E00" w14:textId="4AC99B8F" w:rsidR="008740FE" w:rsidRDefault="008740FE" w:rsidP="008740FE">
      <w:pPr>
        <w:rPr>
          <w:bCs/>
          <w:color w:val="000000"/>
          <w:sz w:val="22"/>
          <w:szCs w:val="22"/>
        </w:rPr>
      </w:pPr>
      <w:r w:rsidRPr="008740FE">
        <w:rPr>
          <w:bCs/>
          <w:color w:val="000000"/>
          <w:sz w:val="22"/>
          <w:szCs w:val="22"/>
        </w:rPr>
        <w:t xml:space="preserve">When SCC is used, forms shall be </w:t>
      </w:r>
      <w:r w:rsidR="00724088">
        <w:rPr>
          <w:bCs/>
          <w:color w:val="000000"/>
          <w:sz w:val="22"/>
          <w:szCs w:val="22"/>
        </w:rPr>
        <w:t>constructed and maintained</w:t>
      </w:r>
      <w:r w:rsidRPr="008740FE">
        <w:rPr>
          <w:bCs/>
          <w:color w:val="000000"/>
          <w:sz w:val="22"/>
          <w:szCs w:val="22"/>
        </w:rPr>
        <w:t xml:space="preserve"> </w:t>
      </w:r>
      <w:r w:rsidR="00724088">
        <w:rPr>
          <w:bCs/>
          <w:color w:val="000000"/>
          <w:sz w:val="22"/>
          <w:szCs w:val="22"/>
        </w:rPr>
        <w:t xml:space="preserve">to </w:t>
      </w:r>
      <w:r w:rsidRPr="008740FE">
        <w:rPr>
          <w:bCs/>
          <w:color w:val="000000"/>
          <w:sz w:val="22"/>
          <w:szCs w:val="22"/>
        </w:rPr>
        <w:t xml:space="preserve">meet any aesthetic or smoothness criteria for the project. Form material other than plywood may be required. </w:t>
      </w:r>
    </w:p>
    <w:p w14:paraId="0ACB9838" w14:textId="77777777" w:rsidR="008740FE" w:rsidRDefault="008740FE" w:rsidP="008740FE">
      <w:pPr>
        <w:rPr>
          <w:bCs/>
          <w:color w:val="000000"/>
          <w:sz w:val="22"/>
          <w:szCs w:val="22"/>
        </w:rPr>
      </w:pPr>
    </w:p>
    <w:p w14:paraId="66F66CCC" w14:textId="4BF92284" w:rsidR="008740FE" w:rsidRDefault="00724088" w:rsidP="008740FE">
      <w:pPr>
        <w:rPr>
          <w:bCs/>
          <w:color w:val="000000"/>
          <w:sz w:val="22"/>
          <w:szCs w:val="22"/>
        </w:rPr>
      </w:pPr>
      <w:r>
        <w:rPr>
          <w:bCs/>
          <w:color w:val="000000"/>
          <w:sz w:val="22"/>
          <w:szCs w:val="22"/>
        </w:rPr>
        <w:t>Subsection 601.10</w:t>
      </w:r>
      <w:r w:rsidR="008740FE" w:rsidRPr="008740FE">
        <w:rPr>
          <w:bCs/>
          <w:color w:val="000000"/>
          <w:sz w:val="22"/>
          <w:szCs w:val="22"/>
        </w:rPr>
        <w:t xml:space="preserve">(e) shall include the following: </w:t>
      </w:r>
    </w:p>
    <w:p w14:paraId="4A232C7E" w14:textId="77777777" w:rsidR="008740FE" w:rsidRDefault="008740FE" w:rsidP="008740FE">
      <w:pPr>
        <w:rPr>
          <w:bCs/>
          <w:color w:val="000000"/>
          <w:sz w:val="22"/>
          <w:szCs w:val="22"/>
        </w:rPr>
      </w:pPr>
    </w:p>
    <w:p w14:paraId="223324F1" w14:textId="77777777" w:rsidR="008740FE" w:rsidRDefault="008740FE" w:rsidP="008740FE">
      <w:pPr>
        <w:rPr>
          <w:bCs/>
          <w:color w:val="000000"/>
          <w:sz w:val="22"/>
          <w:szCs w:val="22"/>
        </w:rPr>
      </w:pPr>
      <w:r w:rsidRPr="008740FE">
        <w:rPr>
          <w:bCs/>
          <w:color w:val="000000"/>
          <w:sz w:val="22"/>
          <w:szCs w:val="22"/>
        </w:rPr>
        <w:t xml:space="preserve">When SCC is used, vibration shall not be used to consolidate the concrete. </w:t>
      </w:r>
    </w:p>
    <w:p w14:paraId="36EEFCA6" w14:textId="77777777" w:rsidR="008740FE" w:rsidRDefault="008740FE" w:rsidP="008740FE">
      <w:pPr>
        <w:rPr>
          <w:bCs/>
          <w:color w:val="000000"/>
          <w:sz w:val="22"/>
          <w:szCs w:val="22"/>
        </w:rPr>
      </w:pPr>
    </w:p>
    <w:p w14:paraId="3D0F9253" w14:textId="431F8FB5" w:rsidR="008740FE" w:rsidRDefault="00724088" w:rsidP="008740FE">
      <w:pPr>
        <w:rPr>
          <w:bCs/>
          <w:color w:val="000000"/>
          <w:sz w:val="22"/>
          <w:szCs w:val="22"/>
        </w:rPr>
      </w:pPr>
      <w:r>
        <w:rPr>
          <w:bCs/>
          <w:color w:val="000000"/>
          <w:sz w:val="22"/>
          <w:szCs w:val="22"/>
        </w:rPr>
        <w:t>Subsection 601.12</w:t>
      </w:r>
      <w:r w:rsidR="008740FE" w:rsidRPr="008740FE">
        <w:rPr>
          <w:bCs/>
          <w:color w:val="000000"/>
          <w:sz w:val="22"/>
          <w:szCs w:val="22"/>
        </w:rPr>
        <w:t xml:space="preserve">(e) shall include the following: </w:t>
      </w:r>
    </w:p>
    <w:p w14:paraId="0EC6B0C8" w14:textId="77777777" w:rsidR="008740FE" w:rsidRDefault="008740FE" w:rsidP="008740FE">
      <w:pPr>
        <w:rPr>
          <w:bCs/>
          <w:color w:val="000000"/>
          <w:sz w:val="22"/>
          <w:szCs w:val="22"/>
        </w:rPr>
      </w:pPr>
    </w:p>
    <w:p w14:paraId="71BD6C7A" w14:textId="77777777" w:rsidR="008740FE" w:rsidRDefault="008740FE" w:rsidP="008740FE">
      <w:pPr>
        <w:rPr>
          <w:bCs/>
          <w:color w:val="000000"/>
          <w:sz w:val="22"/>
          <w:szCs w:val="22"/>
        </w:rPr>
      </w:pPr>
      <w:r w:rsidRPr="008740FE">
        <w:rPr>
          <w:bCs/>
          <w:color w:val="000000"/>
          <w:sz w:val="22"/>
          <w:szCs w:val="22"/>
        </w:rPr>
        <w:t xml:space="preserve">When SCC is used, vibrators shall not be used to consolidate the concrete. </w:t>
      </w:r>
    </w:p>
    <w:p w14:paraId="50346D6F" w14:textId="77777777" w:rsidR="008740FE" w:rsidRDefault="008740FE" w:rsidP="008740FE">
      <w:pPr>
        <w:rPr>
          <w:bCs/>
          <w:color w:val="000000"/>
          <w:sz w:val="22"/>
          <w:szCs w:val="22"/>
        </w:rPr>
      </w:pPr>
    </w:p>
    <w:p w14:paraId="12455C53" w14:textId="19C84B95" w:rsidR="008740FE" w:rsidRDefault="00724088" w:rsidP="008740FE">
      <w:pPr>
        <w:rPr>
          <w:bCs/>
          <w:color w:val="000000"/>
          <w:sz w:val="22"/>
          <w:szCs w:val="22"/>
        </w:rPr>
      </w:pPr>
      <w:r>
        <w:rPr>
          <w:bCs/>
          <w:color w:val="000000"/>
          <w:sz w:val="22"/>
          <w:szCs w:val="22"/>
        </w:rPr>
        <w:t>Subsection 601.12</w:t>
      </w:r>
      <w:r w:rsidR="008740FE" w:rsidRPr="008740FE">
        <w:rPr>
          <w:bCs/>
          <w:color w:val="000000"/>
          <w:sz w:val="22"/>
          <w:szCs w:val="22"/>
        </w:rPr>
        <w:t xml:space="preserve">(g) shall include the following: </w:t>
      </w:r>
    </w:p>
    <w:p w14:paraId="60C59A8E" w14:textId="77777777" w:rsidR="008740FE" w:rsidRDefault="008740FE" w:rsidP="008740FE">
      <w:pPr>
        <w:rPr>
          <w:bCs/>
          <w:color w:val="000000"/>
          <w:sz w:val="22"/>
          <w:szCs w:val="22"/>
        </w:rPr>
      </w:pPr>
    </w:p>
    <w:p w14:paraId="60996BA2" w14:textId="430AA7BC" w:rsidR="008740FE" w:rsidRDefault="008740FE" w:rsidP="008740FE">
      <w:pPr>
        <w:rPr>
          <w:bCs/>
          <w:color w:val="000000"/>
          <w:sz w:val="22"/>
          <w:szCs w:val="22"/>
        </w:rPr>
      </w:pPr>
      <w:r w:rsidRPr="008740FE">
        <w:rPr>
          <w:bCs/>
          <w:color w:val="000000"/>
          <w:sz w:val="22"/>
          <w:szCs w:val="22"/>
        </w:rPr>
        <w:t xml:space="preserve">When SCC is used, </w:t>
      </w:r>
      <w:r w:rsidR="00724088">
        <w:rPr>
          <w:bCs/>
          <w:color w:val="000000"/>
          <w:sz w:val="22"/>
          <w:szCs w:val="22"/>
        </w:rPr>
        <w:t>c</w:t>
      </w:r>
      <w:r w:rsidRPr="008740FE">
        <w:rPr>
          <w:bCs/>
          <w:color w:val="000000"/>
          <w:sz w:val="22"/>
          <w:szCs w:val="22"/>
        </w:rPr>
        <w:t xml:space="preserve">oncrete should be placed in one layer for the full depth of the formwork. No maximum layer thickness applies. </w:t>
      </w:r>
    </w:p>
    <w:p w14:paraId="6D228C19" w14:textId="77777777" w:rsidR="008740FE" w:rsidRDefault="008740FE" w:rsidP="008740FE">
      <w:pPr>
        <w:rPr>
          <w:bCs/>
          <w:color w:val="000000"/>
          <w:sz w:val="22"/>
          <w:szCs w:val="22"/>
        </w:rPr>
      </w:pPr>
    </w:p>
    <w:p w14:paraId="0F00AAB1" w14:textId="4B0F5F85" w:rsidR="004A5CE3" w:rsidRDefault="008740FE" w:rsidP="008740FE">
      <w:pPr>
        <w:rPr>
          <w:bCs/>
          <w:color w:val="000000"/>
          <w:sz w:val="22"/>
          <w:szCs w:val="22"/>
        </w:rPr>
        <w:sectPr w:rsidR="004A5CE3" w:rsidSect="004A5CE3">
          <w:headerReference w:type="first" r:id="rId9"/>
          <w:pgSz w:w="12240" w:h="15840" w:code="1"/>
          <w:pgMar w:top="720" w:right="1080" w:bottom="720" w:left="1080" w:header="720" w:footer="720" w:gutter="0"/>
          <w:cols w:space="720"/>
          <w:titlePg/>
          <w:docGrid w:linePitch="272"/>
        </w:sectPr>
      </w:pPr>
      <w:r w:rsidRPr="008740FE">
        <w:rPr>
          <w:bCs/>
          <w:color w:val="000000"/>
          <w:sz w:val="22"/>
          <w:szCs w:val="22"/>
        </w:rPr>
        <w:t>Subsection 601.</w:t>
      </w:r>
      <w:r w:rsidR="004A5CE3">
        <w:rPr>
          <w:bCs/>
          <w:color w:val="000000"/>
          <w:sz w:val="22"/>
          <w:szCs w:val="22"/>
        </w:rPr>
        <w:t>17 shall include the following:</w:t>
      </w:r>
    </w:p>
    <w:p w14:paraId="68439C28" w14:textId="033DF677" w:rsidR="008740FE" w:rsidRPr="008740FE" w:rsidRDefault="008740FE" w:rsidP="008740FE">
      <w:pPr>
        <w:rPr>
          <w:bCs/>
          <w:color w:val="000000"/>
          <w:sz w:val="22"/>
          <w:szCs w:val="22"/>
        </w:rPr>
      </w:pPr>
      <w:r w:rsidRPr="008740FE">
        <w:rPr>
          <w:bCs/>
          <w:color w:val="000000"/>
          <w:sz w:val="22"/>
          <w:szCs w:val="22"/>
        </w:rPr>
        <w:lastRenderedPageBreak/>
        <w:t>When SCC is used, the Contractor shall test the first load of SCC prior to placement for Slump</w:t>
      </w:r>
      <w:r>
        <w:rPr>
          <w:bCs/>
          <w:color w:val="000000"/>
          <w:sz w:val="22"/>
          <w:szCs w:val="22"/>
        </w:rPr>
        <w:t xml:space="preserve"> </w:t>
      </w:r>
      <w:r w:rsidRPr="008740FE">
        <w:rPr>
          <w:bCs/>
          <w:color w:val="000000"/>
          <w:sz w:val="22"/>
          <w:szCs w:val="22"/>
        </w:rPr>
        <w:t xml:space="preserve">Flow (ASTM C1611) and Blocking Assessment (ASTM C1621). The Contractor shall take a sample from the </w:t>
      </w:r>
      <w:r w:rsidR="00724088">
        <w:rPr>
          <w:bCs/>
          <w:color w:val="000000"/>
          <w:sz w:val="22"/>
          <w:szCs w:val="22"/>
        </w:rPr>
        <w:t>first</w:t>
      </w:r>
      <w:r w:rsidRPr="008740FE">
        <w:rPr>
          <w:bCs/>
          <w:color w:val="000000"/>
          <w:sz w:val="22"/>
          <w:szCs w:val="22"/>
        </w:rPr>
        <w:t xml:space="preserve"> portion of the load and complete the slump flow and blocking assessment prior to depositing any portion of the load. The tests shall not be performed more than 15 minutes prior to placement. The slump flow shall be 20 to 26 </w:t>
      </w:r>
      <w:r w:rsidR="00724088" w:rsidRPr="008740FE">
        <w:rPr>
          <w:bCs/>
          <w:color w:val="000000"/>
          <w:sz w:val="22"/>
          <w:szCs w:val="22"/>
        </w:rPr>
        <w:t>inches</w:t>
      </w:r>
      <w:r w:rsidR="00724088">
        <w:rPr>
          <w:bCs/>
          <w:color w:val="000000"/>
          <w:sz w:val="22"/>
          <w:szCs w:val="22"/>
        </w:rPr>
        <w:t>.</w:t>
      </w:r>
      <w:r w:rsidRPr="008740FE">
        <w:rPr>
          <w:bCs/>
          <w:color w:val="000000"/>
          <w:sz w:val="22"/>
          <w:szCs w:val="22"/>
        </w:rPr>
        <w:t xml:space="preserve"> </w:t>
      </w:r>
      <w:r w:rsidR="00724088">
        <w:rPr>
          <w:bCs/>
          <w:color w:val="000000"/>
          <w:sz w:val="22"/>
          <w:szCs w:val="22"/>
        </w:rPr>
        <w:t>T</w:t>
      </w:r>
      <w:r w:rsidRPr="008740FE">
        <w:rPr>
          <w:bCs/>
          <w:color w:val="000000"/>
          <w:sz w:val="22"/>
          <w:szCs w:val="22"/>
        </w:rPr>
        <w:t xml:space="preserve">he blocking assessment shall be less than or equal to 2.0 inches. The Contractor will be allowed to make adjustments to the load with admixtures. After adjustments have been made, the slump flow and blocking assessment shall be retested. Each subsequent load of SCC shall be tested for Slump Flow. If the slump flow differs from the first load by more than 2.0 inches, the load shall be adjusted to have a slump flow within 2.0 inches of the first load, or the load may be tested for Blocking Assessment (ASTM C1621). If the load is tested for and meets the requirements for Blocking Assessment (ASTM C1621), the load’s slump flow will be used for the acceptance of the following loads. When concrete placement is halted for more than 15 minutes, the slump flow and blocking assessment shall be retested prior to resuming placement. When the slump flow exceeds 26 inches, the concrete may be placed if the depth of penetration is less than 11 millimeters when tested using ASTM C1712 Test Method for Static Segregation Resistance of Self-Consolidating Concrete. If a load of concrete has a slump flow greater than 26 inches and a depth of penetration less than 11 inches, the next load shall be tested for slump flow and blocking assessment to establish a new slump flow target. </w:t>
      </w:r>
    </w:p>
    <w:p w14:paraId="5B89933B" w14:textId="77777777" w:rsidR="008740FE" w:rsidRDefault="008740FE" w:rsidP="008740FE">
      <w:pPr>
        <w:keepNext/>
        <w:keepLines/>
        <w:tabs>
          <w:tab w:val="left" w:pos="-720"/>
          <w:tab w:val="left" w:pos="0"/>
          <w:tab w:val="left" w:pos="540"/>
          <w:tab w:val="left" w:pos="900"/>
          <w:tab w:val="left" w:pos="1260"/>
          <w:tab w:val="left" w:pos="1620"/>
        </w:tabs>
        <w:rPr>
          <w:bCs/>
          <w:color w:val="000000"/>
          <w:sz w:val="22"/>
          <w:szCs w:val="22"/>
        </w:rPr>
      </w:pPr>
    </w:p>
    <w:p w14:paraId="04CAA5F1" w14:textId="4F4C5B1A" w:rsidR="008740FE" w:rsidRPr="008740FE" w:rsidRDefault="008740FE" w:rsidP="008740FE">
      <w:pPr>
        <w:keepNext/>
        <w:keepLines/>
        <w:tabs>
          <w:tab w:val="left" w:pos="-720"/>
          <w:tab w:val="left" w:pos="0"/>
          <w:tab w:val="left" w:pos="540"/>
          <w:tab w:val="left" w:pos="900"/>
          <w:tab w:val="left" w:pos="1260"/>
          <w:tab w:val="left" w:pos="1620"/>
        </w:tabs>
        <w:rPr>
          <w:bCs/>
          <w:color w:val="000000"/>
          <w:sz w:val="22"/>
          <w:szCs w:val="22"/>
        </w:rPr>
      </w:pPr>
      <w:r w:rsidRPr="008740FE">
        <w:rPr>
          <w:bCs/>
          <w:color w:val="000000"/>
          <w:sz w:val="22"/>
          <w:szCs w:val="22"/>
        </w:rPr>
        <w:t>When</w:t>
      </w:r>
      <w:r w:rsidR="00724088">
        <w:rPr>
          <w:bCs/>
          <w:color w:val="000000"/>
          <w:sz w:val="22"/>
          <w:szCs w:val="22"/>
        </w:rPr>
        <w:t xml:space="preserve"> SCC is used, s</w:t>
      </w:r>
      <w:bookmarkStart w:id="0" w:name="_GoBack"/>
      <w:bookmarkEnd w:id="0"/>
      <w:r w:rsidR="00724088">
        <w:rPr>
          <w:bCs/>
          <w:color w:val="000000"/>
          <w:sz w:val="22"/>
          <w:szCs w:val="22"/>
        </w:rPr>
        <w:t>ubsection 601.17</w:t>
      </w:r>
      <w:r w:rsidRPr="008740FE">
        <w:rPr>
          <w:bCs/>
          <w:color w:val="000000"/>
          <w:sz w:val="22"/>
          <w:szCs w:val="22"/>
        </w:rPr>
        <w:t xml:space="preserve">(b) does not apply. </w:t>
      </w:r>
    </w:p>
    <w:p w14:paraId="47B30823" w14:textId="77777777" w:rsidR="008740FE" w:rsidRDefault="008740FE" w:rsidP="008740FE">
      <w:pPr>
        <w:keepNext/>
        <w:keepLines/>
        <w:tabs>
          <w:tab w:val="left" w:pos="-720"/>
          <w:tab w:val="left" w:pos="0"/>
          <w:tab w:val="left" w:pos="540"/>
          <w:tab w:val="left" w:pos="900"/>
          <w:tab w:val="left" w:pos="1260"/>
          <w:tab w:val="left" w:pos="1620"/>
        </w:tabs>
        <w:rPr>
          <w:bCs/>
          <w:color w:val="000000"/>
          <w:sz w:val="22"/>
          <w:szCs w:val="22"/>
        </w:rPr>
      </w:pPr>
    </w:p>
    <w:p w14:paraId="66F3F6EF" w14:textId="47E217AC" w:rsidR="008740FE" w:rsidRPr="008740FE" w:rsidRDefault="008740FE" w:rsidP="008740FE">
      <w:pPr>
        <w:keepNext/>
        <w:keepLines/>
        <w:tabs>
          <w:tab w:val="left" w:pos="-720"/>
          <w:tab w:val="left" w:pos="0"/>
          <w:tab w:val="left" w:pos="540"/>
          <w:tab w:val="left" w:pos="900"/>
          <w:tab w:val="left" w:pos="1260"/>
          <w:tab w:val="left" w:pos="1620"/>
        </w:tabs>
        <w:rPr>
          <w:bCs/>
          <w:color w:val="000000"/>
          <w:sz w:val="22"/>
          <w:szCs w:val="22"/>
        </w:rPr>
      </w:pPr>
      <w:r w:rsidRPr="008740FE">
        <w:rPr>
          <w:bCs/>
          <w:color w:val="000000"/>
          <w:sz w:val="22"/>
          <w:szCs w:val="22"/>
        </w:rPr>
        <w:t>When SCC is used, the test methods for fabricating specimens for 601.17(a) and 601.17(c) acceptance shall be modified to use ASTM C1758, Practice for Fabricating Test Specimens with SCC, for filling the test specimens with concrete.</w:t>
      </w:r>
    </w:p>
    <w:sectPr w:rsidR="008740FE" w:rsidRPr="008740FE" w:rsidSect="004A5CE3">
      <w:headerReference w:type="first" r:id="rId10"/>
      <w:pgSz w:w="12240" w:h="15840" w:code="1"/>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D68EC" w14:textId="77777777" w:rsidR="001678DC" w:rsidRDefault="001678DC" w:rsidP="00F878BD">
      <w:r>
        <w:separator/>
      </w:r>
    </w:p>
  </w:endnote>
  <w:endnote w:type="continuationSeparator" w:id="0">
    <w:p w14:paraId="187C4F97" w14:textId="77777777" w:rsidR="001678DC" w:rsidRDefault="001678D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2AEF" w:usb1="4000207B" w:usb2="00000000"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0FB4C" w14:textId="77777777" w:rsidR="001678DC" w:rsidRDefault="001678DC" w:rsidP="00F878BD">
      <w:r>
        <w:separator/>
      </w:r>
    </w:p>
  </w:footnote>
  <w:footnote w:type="continuationSeparator" w:id="0">
    <w:p w14:paraId="177FCF24" w14:textId="77777777" w:rsidR="001678DC" w:rsidRDefault="001678DC"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AEC02" w14:textId="5F46071D" w:rsidR="004A5CE3" w:rsidRPr="0022351F" w:rsidRDefault="004A5CE3" w:rsidP="004A5CE3">
    <w:pPr>
      <w:jc w:val="right"/>
    </w:pPr>
    <w:r>
      <w:rPr>
        <w:sz w:val="22"/>
        <w:szCs w:val="22"/>
      </w:rPr>
      <w:tab/>
    </w:r>
    <w:r w:rsidRPr="0022351F">
      <w:t xml:space="preserve">November </w:t>
    </w:r>
    <w:r>
      <w:t>7</w:t>
    </w:r>
    <w:r w:rsidRPr="0022351F">
      <w:t>, 2018</w:t>
    </w:r>
  </w:p>
  <w:p w14:paraId="074D002B" w14:textId="77777777" w:rsidR="004A5CE3" w:rsidRDefault="004A5CE3" w:rsidP="004A5CE3">
    <w:pPr>
      <w:jc w:val="right"/>
      <w:rPr>
        <w:szCs w:val="22"/>
      </w:rPr>
    </w:pPr>
  </w:p>
  <w:p w14:paraId="300C1344" w14:textId="31A085FE" w:rsidR="004A5CE3" w:rsidRPr="00BC6DAA" w:rsidRDefault="004A5CE3" w:rsidP="004A5CE3">
    <w:pPr>
      <w:widowControl w:val="0"/>
      <w:tabs>
        <w:tab w:val="left" w:pos="0"/>
        <w:tab w:val="left" w:pos="432"/>
        <w:tab w:val="left" w:pos="864"/>
        <w:tab w:val="left" w:pos="1296"/>
        <w:tab w:val="left" w:pos="1728"/>
      </w:tabs>
      <w:spacing w:line="240" w:lineRule="atLeast"/>
      <w:jc w:val="center"/>
      <w:rPr>
        <w:b/>
        <w:sz w:val="24"/>
      </w:rPr>
    </w:pPr>
    <w:r>
      <w:rPr>
        <w:b/>
        <w:sz w:val="24"/>
      </w:rPr>
      <w:t>1</w:t>
    </w:r>
  </w:p>
  <w:p w14:paraId="5A4BE088" w14:textId="6700A36F" w:rsidR="004A5CE3" w:rsidRPr="00BC6DAA" w:rsidRDefault="004A5CE3" w:rsidP="004A5CE3">
    <w:pPr>
      <w:widowControl w:val="0"/>
      <w:tabs>
        <w:tab w:val="left" w:pos="0"/>
        <w:tab w:val="left" w:pos="432"/>
        <w:tab w:val="left" w:pos="864"/>
        <w:tab w:val="left" w:pos="1296"/>
        <w:tab w:val="left" w:pos="1728"/>
      </w:tabs>
      <w:spacing w:line="240" w:lineRule="atLeast"/>
      <w:jc w:val="center"/>
      <w:rPr>
        <w:b/>
        <w:sz w:val="24"/>
      </w:rPr>
    </w:pPr>
    <w:r w:rsidRPr="00BC6DAA">
      <w:rPr>
        <w:b/>
        <w:sz w:val="24"/>
      </w:rPr>
      <w:t>REVISION OF SECTION 6</w:t>
    </w:r>
    <w:r>
      <w:rPr>
        <w:b/>
        <w:sz w:val="24"/>
      </w:rPr>
      <w:t>01</w:t>
    </w:r>
  </w:p>
  <w:p w14:paraId="6B08CC9A" w14:textId="6C683B77" w:rsidR="00726A77" w:rsidRDefault="004A5CE3" w:rsidP="004A5CE3">
    <w:pPr>
      <w:widowControl w:val="0"/>
      <w:tabs>
        <w:tab w:val="left" w:pos="0"/>
        <w:tab w:val="left" w:pos="432"/>
        <w:tab w:val="left" w:pos="864"/>
        <w:tab w:val="left" w:pos="1296"/>
        <w:tab w:val="left" w:pos="1728"/>
      </w:tabs>
      <w:spacing w:after="120" w:line="240" w:lineRule="atLeast"/>
      <w:jc w:val="center"/>
      <w:rPr>
        <w:b/>
        <w:sz w:val="24"/>
      </w:rPr>
    </w:pPr>
    <w:r>
      <w:rPr>
        <w:b/>
        <w:sz w:val="24"/>
      </w:rPr>
      <w:t>SCC</w:t>
    </w:r>
    <w:r w:rsidRPr="00BC6DAA">
      <w:rPr>
        <w:b/>
        <w:sz w:val="24"/>
      </w:rPr>
      <w:t xml:space="preserve"> CONCRETE</w:t>
    </w:r>
  </w:p>
  <w:p w14:paraId="6CC63959" w14:textId="77777777" w:rsidR="004A5CE3" w:rsidRPr="001A1BC6" w:rsidRDefault="004A5CE3" w:rsidP="004A5CE3">
    <w:pPr>
      <w:widowControl w:val="0"/>
      <w:tabs>
        <w:tab w:val="left" w:pos="0"/>
        <w:tab w:val="left" w:pos="432"/>
        <w:tab w:val="left" w:pos="864"/>
        <w:tab w:val="left" w:pos="1296"/>
        <w:tab w:val="left" w:pos="1728"/>
      </w:tabs>
      <w:spacing w:after="120" w:line="240" w:lineRule="atLeast"/>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CF56" w14:textId="77777777" w:rsidR="004A5CE3" w:rsidRPr="0022351F" w:rsidRDefault="004A5CE3" w:rsidP="004A5CE3">
    <w:pPr>
      <w:jc w:val="right"/>
    </w:pPr>
    <w:r>
      <w:rPr>
        <w:sz w:val="22"/>
        <w:szCs w:val="22"/>
      </w:rPr>
      <w:tab/>
    </w:r>
    <w:r w:rsidRPr="0022351F">
      <w:t xml:space="preserve">November </w:t>
    </w:r>
    <w:r>
      <w:t>7</w:t>
    </w:r>
    <w:r w:rsidRPr="0022351F">
      <w:t>, 2018</w:t>
    </w:r>
  </w:p>
  <w:p w14:paraId="140CDB8E" w14:textId="77777777" w:rsidR="004A5CE3" w:rsidRDefault="004A5CE3" w:rsidP="004A5CE3">
    <w:pPr>
      <w:jc w:val="right"/>
      <w:rPr>
        <w:szCs w:val="22"/>
      </w:rPr>
    </w:pPr>
  </w:p>
  <w:p w14:paraId="4C4F8ABC" w14:textId="77777777" w:rsidR="004A5CE3" w:rsidRPr="00BC6DAA" w:rsidRDefault="004A5CE3" w:rsidP="004A5CE3">
    <w:pPr>
      <w:widowControl w:val="0"/>
      <w:tabs>
        <w:tab w:val="left" w:pos="0"/>
        <w:tab w:val="left" w:pos="432"/>
        <w:tab w:val="left" w:pos="864"/>
        <w:tab w:val="left" w:pos="1296"/>
        <w:tab w:val="left" w:pos="1728"/>
      </w:tabs>
      <w:spacing w:line="240" w:lineRule="atLeast"/>
      <w:jc w:val="center"/>
      <w:rPr>
        <w:b/>
        <w:sz w:val="24"/>
      </w:rPr>
    </w:pPr>
    <w:r>
      <w:rPr>
        <w:b/>
        <w:sz w:val="24"/>
      </w:rPr>
      <w:t>1</w:t>
    </w:r>
  </w:p>
  <w:p w14:paraId="228A3853" w14:textId="77777777" w:rsidR="004A5CE3" w:rsidRPr="00BC6DAA" w:rsidRDefault="004A5CE3" w:rsidP="004A5CE3">
    <w:pPr>
      <w:widowControl w:val="0"/>
      <w:tabs>
        <w:tab w:val="left" w:pos="0"/>
        <w:tab w:val="left" w:pos="432"/>
        <w:tab w:val="left" w:pos="864"/>
        <w:tab w:val="left" w:pos="1296"/>
        <w:tab w:val="left" w:pos="1728"/>
      </w:tabs>
      <w:spacing w:line="240" w:lineRule="atLeast"/>
      <w:jc w:val="center"/>
      <w:rPr>
        <w:b/>
        <w:sz w:val="24"/>
      </w:rPr>
    </w:pPr>
    <w:r w:rsidRPr="00BC6DAA">
      <w:rPr>
        <w:b/>
        <w:sz w:val="24"/>
      </w:rPr>
      <w:t>REVISION OF SECTION 6</w:t>
    </w:r>
    <w:r>
      <w:rPr>
        <w:b/>
        <w:sz w:val="24"/>
      </w:rPr>
      <w:t>01</w:t>
    </w:r>
  </w:p>
  <w:p w14:paraId="2B9F7C74" w14:textId="34D67128" w:rsidR="004A5CE3" w:rsidRDefault="004A5CE3" w:rsidP="004A5CE3">
    <w:pPr>
      <w:widowControl w:val="0"/>
      <w:tabs>
        <w:tab w:val="left" w:pos="0"/>
        <w:tab w:val="left" w:pos="432"/>
        <w:tab w:val="left" w:pos="864"/>
        <w:tab w:val="left" w:pos="1296"/>
        <w:tab w:val="left" w:pos="1728"/>
      </w:tabs>
      <w:spacing w:after="120" w:line="240" w:lineRule="atLeast"/>
      <w:jc w:val="center"/>
      <w:rPr>
        <w:b/>
        <w:sz w:val="24"/>
      </w:rPr>
    </w:pPr>
    <w:r>
      <w:rPr>
        <w:b/>
        <w:sz w:val="24"/>
      </w:rPr>
      <w:t>S</w:t>
    </w:r>
    <w:r w:rsidR="002E7B9F">
      <w:rPr>
        <w:b/>
        <w:sz w:val="24"/>
      </w:rPr>
      <w:t>ELF CONSOLIDATING</w:t>
    </w:r>
    <w:r w:rsidRPr="00BC6DAA">
      <w:rPr>
        <w:b/>
        <w:sz w:val="24"/>
      </w:rPr>
      <w:t xml:space="preserve"> CONCRETE</w:t>
    </w:r>
  </w:p>
  <w:p w14:paraId="20763FBD" w14:textId="77777777" w:rsidR="004A5CE3" w:rsidRDefault="004A5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BD5C" w14:textId="77777777" w:rsidR="004A5CE3" w:rsidRPr="0022351F" w:rsidRDefault="004A5CE3" w:rsidP="004A5CE3">
    <w:pPr>
      <w:jc w:val="right"/>
    </w:pPr>
    <w:r>
      <w:rPr>
        <w:sz w:val="22"/>
        <w:szCs w:val="22"/>
      </w:rPr>
      <w:tab/>
    </w:r>
    <w:r w:rsidRPr="0022351F">
      <w:t xml:space="preserve">November </w:t>
    </w:r>
    <w:r>
      <w:t>7</w:t>
    </w:r>
    <w:r w:rsidRPr="0022351F">
      <w:t>, 2018</w:t>
    </w:r>
  </w:p>
  <w:p w14:paraId="2E95223A" w14:textId="77777777" w:rsidR="004A5CE3" w:rsidRDefault="004A5CE3" w:rsidP="004A5CE3">
    <w:pPr>
      <w:jc w:val="right"/>
      <w:rPr>
        <w:szCs w:val="22"/>
      </w:rPr>
    </w:pPr>
  </w:p>
  <w:p w14:paraId="2A4EE091" w14:textId="50B3D423" w:rsidR="004A5CE3" w:rsidRPr="00BC6DAA" w:rsidRDefault="004A5CE3" w:rsidP="004A5CE3">
    <w:pPr>
      <w:widowControl w:val="0"/>
      <w:tabs>
        <w:tab w:val="left" w:pos="0"/>
        <w:tab w:val="left" w:pos="432"/>
        <w:tab w:val="left" w:pos="864"/>
        <w:tab w:val="left" w:pos="1296"/>
        <w:tab w:val="left" w:pos="1728"/>
      </w:tabs>
      <w:spacing w:line="240" w:lineRule="atLeast"/>
      <w:jc w:val="center"/>
      <w:rPr>
        <w:b/>
        <w:sz w:val="24"/>
      </w:rPr>
    </w:pPr>
    <w:r>
      <w:rPr>
        <w:b/>
        <w:sz w:val="24"/>
      </w:rPr>
      <w:t>2</w:t>
    </w:r>
  </w:p>
  <w:p w14:paraId="2F09D7D2" w14:textId="77777777" w:rsidR="004A5CE3" w:rsidRPr="00BC6DAA" w:rsidRDefault="004A5CE3" w:rsidP="004A5CE3">
    <w:pPr>
      <w:widowControl w:val="0"/>
      <w:tabs>
        <w:tab w:val="left" w:pos="0"/>
        <w:tab w:val="left" w:pos="432"/>
        <w:tab w:val="left" w:pos="864"/>
        <w:tab w:val="left" w:pos="1296"/>
        <w:tab w:val="left" w:pos="1728"/>
      </w:tabs>
      <w:spacing w:line="240" w:lineRule="atLeast"/>
      <w:jc w:val="center"/>
      <w:rPr>
        <w:b/>
        <w:sz w:val="24"/>
      </w:rPr>
    </w:pPr>
    <w:r w:rsidRPr="00BC6DAA">
      <w:rPr>
        <w:b/>
        <w:sz w:val="24"/>
      </w:rPr>
      <w:t>REVISION OF SECTION 6</w:t>
    </w:r>
    <w:r>
      <w:rPr>
        <w:b/>
        <w:sz w:val="24"/>
      </w:rPr>
      <w:t>01</w:t>
    </w:r>
  </w:p>
  <w:p w14:paraId="27A94F29" w14:textId="6DFAEF4E" w:rsidR="004A5CE3" w:rsidRDefault="004A5CE3" w:rsidP="004A5CE3">
    <w:pPr>
      <w:widowControl w:val="0"/>
      <w:tabs>
        <w:tab w:val="left" w:pos="0"/>
        <w:tab w:val="left" w:pos="432"/>
        <w:tab w:val="left" w:pos="864"/>
        <w:tab w:val="left" w:pos="1296"/>
        <w:tab w:val="left" w:pos="1728"/>
      </w:tabs>
      <w:spacing w:after="120" w:line="240" w:lineRule="atLeast"/>
      <w:jc w:val="center"/>
      <w:rPr>
        <w:b/>
        <w:sz w:val="24"/>
      </w:rPr>
    </w:pPr>
    <w:r>
      <w:rPr>
        <w:b/>
        <w:sz w:val="24"/>
      </w:rPr>
      <w:t>S</w:t>
    </w:r>
    <w:r w:rsidR="002E7B9F">
      <w:rPr>
        <w:b/>
        <w:sz w:val="24"/>
      </w:rPr>
      <w:t>ELF CONSOLIDATING</w:t>
    </w:r>
    <w:r w:rsidRPr="00BC6DAA">
      <w:rPr>
        <w:b/>
        <w:sz w:val="24"/>
      </w:rPr>
      <w:t xml:space="preserve"> CONCRETE</w:t>
    </w:r>
  </w:p>
  <w:p w14:paraId="254E9064" w14:textId="77777777" w:rsidR="004A5CE3" w:rsidRDefault="004A5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7A5359"/>
    <w:multiLevelType w:val="hybridMultilevel"/>
    <w:tmpl w:val="8FFE6E8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62515"/>
    <w:multiLevelType w:val="hybridMultilevel"/>
    <w:tmpl w:val="91969DB6"/>
    <w:lvl w:ilvl="0" w:tplc="BD167480">
      <w:start w:val="7"/>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F90F33"/>
    <w:multiLevelType w:val="hybridMultilevel"/>
    <w:tmpl w:val="DD2A2A8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18"/>
  </w:num>
  <w:num w:numId="4">
    <w:abstractNumId w:val="2"/>
  </w:num>
  <w:num w:numId="5">
    <w:abstractNumId w:val="14"/>
  </w:num>
  <w:num w:numId="6">
    <w:abstractNumId w:val="17"/>
  </w:num>
  <w:num w:numId="7">
    <w:abstractNumId w:val="7"/>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20"/>
  </w:num>
  <w:num w:numId="17">
    <w:abstractNumId w:val="22"/>
  </w:num>
  <w:num w:numId="18">
    <w:abstractNumId w:val="3"/>
  </w:num>
  <w:num w:numId="19">
    <w:abstractNumId w:val="21"/>
  </w:num>
  <w:num w:numId="20">
    <w:abstractNumId w:val="9"/>
  </w:num>
  <w:num w:numId="21">
    <w:abstractNumId w:val="19"/>
  </w:num>
  <w:num w:numId="22">
    <w:abstractNumId w:val="23"/>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30FF"/>
    <w:rsid w:val="000225FA"/>
    <w:rsid w:val="00024AEE"/>
    <w:rsid w:val="00085D20"/>
    <w:rsid w:val="00090E79"/>
    <w:rsid w:val="000C3C6B"/>
    <w:rsid w:val="000C699C"/>
    <w:rsid w:val="000E3C78"/>
    <w:rsid w:val="000E5204"/>
    <w:rsid w:val="00102883"/>
    <w:rsid w:val="0010474A"/>
    <w:rsid w:val="0010525A"/>
    <w:rsid w:val="001678DC"/>
    <w:rsid w:val="001709B4"/>
    <w:rsid w:val="001A7BED"/>
    <w:rsid w:val="001C3F85"/>
    <w:rsid w:val="001D4BDD"/>
    <w:rsid w:val="001E2C1C"/>
    <w:rsid w:val="001E6C22"/>
    <w:rsid w:val="00213772"/>
    <w:rsid w:val="00214CEC"/>
    <w:rsid w:val="00222B35"/>
    <w:rsid w:val="00223B3F"/>
    <w:rsid w:val="00230276"/>
    <w:rsid w:val="00231F7F"/>
    <w:rsid w:val="00240F9D"/>
    <w:rsid w:val="00270077"/>
    <w:rsid w:val="002714AF"/>
    <w:rsid w:val="00272482"/>
    <w:rsid w:val="00277BFD"/>
    <w:rsid w:val="002E7B9F"/>
    <w:rsid w:val="003162A2"/>
    <w:rsid w:val="003823FC"/>
    <w:rsid w:val="00394329"/>
    <w:rsid w:val="003B664D"/>
    <w:rsid w:val="003C3F1C"/>
    <w:rsid w:val="003C5C2E"/>
    <w:rsid w:val="003E4531"/>
    <w:rsid w:val="003F17DD"/>
    <w:rsid w:val="004249F3"/>
    <w:rsid w:val="00441D2F"/>
    <w:rsid w:val="00465486"/>
    <w:rsid w:val="004A5CE3"/>
    <w:rsid w:val="004B09DE"/>
    <w:rsid w:val="004D4D95"/>
    <w:rsid w:val="004F1849"/>
    <w:rsid w:val="004F79CD"/>
    <w:rsid w:val="00500060"/>
    <w:rsid w:val="005040D7"/>
    <w:rsid w:val="00505F63"/>
    <w:rsid w:val="00523E48"/>
    <w:rsid w:val="00555692"/>
    <w:rsid w:val="0056039E"/>
    <w:rsid w:val="00572D1D"/>
    <w:rsid w:val="005A6467"/>
    <w:rsid w:val="0060749C"/>
    <w:rsid w:val="00655812"/>
    <w:rsid w:val="0065692B"/>
    <w:rsid w:val="006B1A52"/>
    <w:rsid w:val="006F1055"/>
    <w:rsid w:val="0070029E"/>
    <w:rsid w:val="00706DF8"/>
    <w:rsid w:val="007115ED"/>
    <w:rsid w:val="0071231C"/>
    <w:rsid w:val="00724088"/>
    <w:rsid w:val="00726A77"/>
    <w:rsid w:val="007735BF"/>
    <w:rsid w:val="007854AB"/>
    <w:rsid w:val="007922A8"/>
    <w:rsid w:val="00794719"/>
    <w:rsid w:val="0079772C"/>
    <w:rsid w:val="007D24E5"/>
    <w:rsid w:val="00814549"/>
    <w:rsid w:val="00870736"/>
    <w:rsid w:val="008740FE"/>
    <w:rsid w:val="00891B09"/>
    <w:rsid w:val="00897666"/>
    <w:rsid w:val="008B3BFC"/>
    <w:rsid w:val="008C59FF"/>
    <w:rsid w:val="008D4DE9"/>
    <w:rsid w:val="008E6E23"/>
    <w:rsid w:val="00923AF8"/>
    <w:rsid w:val="00935ABF"/>
    <w:rsid w:val="00973DFA"/>
    <w:rsid w:val="00987248"/>
    <w:rsid w:val="009A40E9"/>
    <w:rsid w:val="009B3EF3"/>
    <w:rsid w:val="009B479F"/>
    <w:rsid w:val="009B510C"/>
    <w:rsid w:val="009B5A20"/>
    <w:rsid w:val="009F3FE4"/>
    <w:rsid w:val="00A01B01"/>
    <w:rsid w:val="00A14275"/>
    <w:rsid w:val="00A16C7D"/>
    <w:rsid w:val="00A27DE7"/>
    <w:rsid w:val="00A54F34"/>
    <w:rsid w:val="00A7142E"/>
    <w:rsid w:val="00A73269"/>
    <w:rsid w:val="00A76618"/>
    <w:rsid w:val="00A92397"/>
    <w:rsid w:val="00AA36CC"/>
    <w:rsid w:val="00AB028C"/>
    <w:rsid w:val="00AB325B"/>
    <w:rsid w:val="00AB5B65"/>
    <w:rsid w:val="00AC7AF4"/>
    <w:rsid w:val="00B01156"/>
    <w:rsid w:val="00B03922"/>
    <w:rsid w:val="00B25927"/>
    <w:rsid w:val="00B35BBC"/>
    <w:rsid w:val="00B71AEB"/>
    <w:rsid w:val="00B91FF1"/>
    <w:rsid w:val="00BB562D"/>
    <w:rsid w:val="00C26D30"/>
    <w:rsid w:val="00C40133"/>
    <w:rsid w:val="00C5094A"/>
    <w:rsid w:val="00C548D8"/>
    <w:rsid w:val="00C82257"/>
    <w:rsid w:val="00C83114"/>
    <w:rsid w:val="00C93280"/>
    <w:rsid w:val="00CC309C"/>
    <w:rsid w:val="00D13D83"/>
    <w:rsid w:val="00D16104"/>
    <w:rsid w:val="00D23853"/>
    <w:rsid w:val="00DE7DCD"/>
    <w:rsid w:val="00E0029F"/>
    <w:rsid w:val="00E0363D"/>
    <w:rsid w:val="00E208F0"/>
    <w:rsid w:val="00E5788C"/>
    <w:rsid w:val="00E6319F"/>
    <w:rsid w:val="00E647BB"/>
    <w:rsid w:val="00E80ECC"/>
    <w:rsid w:val="00E85CC9"/>
    <w:rsid w:val="00EA5566"/>
    <w:rsid w:val="00EA7A41"/>
    <w:rsid w:val="00EC2A21"/>
    <w:rsid w:val="00ED7C6E"/>
    <w:rsid w:val="00EF1243"/>
    <w:rsid w:val="00F07B65"/>
    <w:rsid w:val="00F57B5A"/>
    <w:rsid w:val="00F605A4"/>
    <w:rsid w:val="00F6725A"/>
    <w:rsid w:val="00F878BD"/>
    <w:rsid w:val="00F95A59"/>
    <w:rsid w:val="00FC0225"/>
    <w:rsid w:val="00FD2B9E"/>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BodyText2">
    <w:name w:val="Body Text 2"/>
    <w:basedOn w:val="Normal"/>
    <w:link w:val="BodyText2Char"/>
    <w:uiPriority w:val="99"/>
    <w:rsid w:val="00E0029F"/>
    <w:pPr>
      <w:widowControl w:val="0"/>
      <w:autoSpaceDE w:val="0"/>
      <w:autoSpaceDN w:val="0"/>
    </w:pPr>
    <w:rPr>
      <w:rFonts w:ascii="Courier New" w:hAnsi="Courier New" w:cs="Courier New"/>
      <w:sz w:val="22"/>
      <w:szCs w:val="22"/>
    </w:rPr>
  </w:style>
  <w:style w:type="character" w:customStyle="1" w:styleId="BodyText2Char">
    <w:name w:val="Body Text 2 Char"/>
    <w:basedOn w:val="DefaultParagraphFont"/>
    <w:link w:val="BodyText2"/>
    <w:uiPriority w:val="99"/>
    <w:rsid w:val="00E0029F"/>
    <w:rPr>
      <w:rFonts w:ascii="Courier New" w:hAnsi="Courier New" w:cs="Courier New"/>
      <w:sz w:val="22"/>
      <w:szCs w:val="22"/>
    </w:rPr>
  </w:style>
  <w:style w:type="paragraph" w:styleId="Revision">
    <w:name w:val="Revision"/>
    <w:hidden/>
    <w:uiPriority w:val="99"/>
    <w:semiHidden/>
    <w:rsid w:val="009B510C"/>
  </w:style>
  <w:style w:type="paragraph" w:styleId="Footer">
    <w:name w:val="footer"/>
    <w:basedOn w:val="Normal"/>
    <w:link w:val="FooterChar"/>
    <w:rsid w:val="004A5CE3"/>
    <w:pPr>
      <w:tabs>
        <w:tab w:val="center" w:pos="4680"/>
        <w:tab w:val="right" w:pos="9360"/>
      </w:tabs>
    </w:pPr>
  </w:style>
  <w:style w:type="character" w:customStyle="1" w:styleId="FooterChar">
    <w:name w:val="Footer Char"/>
    <w:basedOn w:val="DefaultParagraphFont"/>
    <w:link w:val="Footer"/>
    <w:rsid w:val="004A5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1D013-3AE3-467D-9315-203774D9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14</cp:revision>
  <cp:lastPrinted>2018-09-26T18:38:00Z</cp:lastPrinted>
  <dcterms:created xsi:type="dcterms:W3CDTF">2018-09-26T18:43:00Z</dcterms:created>
  <dcterms:modified xsi:type="dcterms:W3CDTF">2018-11-07T20:50:00Z</dcterms:modified>
</cp:coreProperties>
</file>