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1E" w:rsidRDefault="0064781E" w:rsidP="0064781E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SIGNIFICANT CHANGES IN CDOT's 20</w:t>
      </w:r>
      <w:r w:rsidR="004E4522">
        <w:rPr>
          <w:rFonts w:ascii="Verdana" w:hAnsi="Verdana"/>
          <w:b/>
          <w:sz w:val="22"/>
        </w:rPr>
        <w:t>1</w:t>
      </w:r>
      <w:r w:rsidR="0084276A">
        <w:rPr>
          <w:rFonts w:ascii="Verdana" w:hAnsi="Verdana"/>
          <w:b/>
          <w:sz w:val="22"/>
        </w:rPr>
        <w:t>1</w:t>
      </w:r>
    </w:p>
    <w:p w:rsidR="0064781E" w:rsidRPr="0064781E" w:rsidRDefault="0064781E" w:rsidP="0064781E">
      <w:pPr>
        <w:jc w:val="center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STANDARD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b/>
              <w:i/>
              <w:sz w:val="22"/>
            </w:rPr>
            <w:t>SPECIFICATIONS FOR ROAD</w:t>
          </w:r>
        </w:smartTag>
      </w:smartTag>
      <w:r>
        <w:rPr>
          <w:rFonts w:ascii="Verdana" w:hAnsi="Verdana"/>
          <w:b/>
          <w:i/>
          <w:sz w:val="22"/>
        </w:rPr>
        <w:t xml:space="preserve"> AND BRIDGE CONSTRUCTION</w:t>
      </w:r>
    </w:p>
    <w:p w:rsidR="0064781E" w:rsidRDefault="0064781E" w:rsidP="0064781E">
      <w:pPr>
        <w:rPr>
          <w:rFonts w:ascii="Verdana" w:hAnsi="Verdana"/>
          <w:sz w:val="22"/>
        </w:rPr>
      </w:pPr>
    </w:p>
    <w:p w:rsidR="0064781E" w:rsidRDefault="0064781E" w:rsidP="0064781E">
      <w:pPr>
        <w:rPr>
          <w:rFonts w:ascii="Verdana" w:hAnsi="Verdana"/>
          <w:sz w:val="22"/>
        </w:rPr>
      </w:pPr>
      <w:r w:rsidRPr="0064781E">
        <w:rPr>
          <w:rFonts w:ascii="Verdana" w:hAnsi="Verdana"/>
          <w:sz w:val="22"/>
        </w:rPr>
        <w:t xml:space="preserve">The following are significant changes from the </w:t>
      </w:r>
      <w:r w:rsidR="004E4522">
        <w:rPr>
          <w:rFonts w:ascii="Verdana" w:hAnsi="Verdana"/>
          <w:sz w:val="22"/>
        </w:rPr>
        <w:t>2005</w:t>
      </w:r>
      <w:r w:rsidRPr="0064781E">
        <w:rPr>
          <w:rFonts w:ascii="Verdana" w:hAnsi="Verdana"/>
          <w:sz w:val="22"/>
        </w:rPr>
        <w:t xml:space="preserve"> Standard Specifications Book to the new </w:t>
      </w:r>
      <w:r>
        <w:rPr>
          <w:rFonts w:ascii="Verdana" w:hAnsi="Verdana"/>
          <w:sz w:val="22"/>
        </w:rPr>
        <w:t>20</w:t>
      </w:r>
      <w:r w:rsidR="004E4522">
        <w:rPr>
          <w:rFonts w:ascii="Verdana" w:hAnsi="Verdana"/>
          <w:sz w:val="22"/>
        </w:rPr>
        <w:t>1</w:t>
      </w:r>
      <w:r w:rsidR="0084276A">
        <w:rPr>
          <w:rFonts w:ascii="Verdana" w:hAnsi="Verdana"/>
          <w:sz w:val="22"/>
        </w:rPr>
        <w:t>1</w:t>
      </w:r>
      <w:r w:rsidRPr="0064781E">
        <w:rPr>
          <w:rFonts w:ascii="Verdana" w:hAnsi="Verdana"/>
          <w:sz w:val="22"/>
        </w:rPr>
        <w:t xml:space="preserve"> Standard Specifications Book.  M</w:t>
      </w:r>
      <w:r>
        <w:rPr>
          <w:rFonts w:ascii="Verdana" w:hAnsi="Verdana"/>
          <w:sz w:val="22"/>
        </w:rPr>
        <w:t>ost</w:t>
      </w:r>
      <w:r w:rsidRPr="0064781E">
        <w:rPr>
          <w:rFonts w:ascii="Verdana" w:hAnsi="Verdana"/>
          <w:sz w:val="22"/>
        </w:rPr>
        <w:t xml:space="preserve"> of the changes were previously </w:t>
      </w:r>
      <w:r>
        <w:rPr>
          <w:rFonts w:ascii="Verdana" w:hAnsi="Verdana"/>
          <w:sz w:val="22"/>
        </w:rPr>
        <w:t>adopted</w:t>
      </w:r>
      <w:r w:rsidR="006C0B66">
        <w:rPr>
          <w:rFonts w:ascii="Verdana" w:hAnsi="Verdana"/>
          <w:sz w:val="22"/>
        </w:rPr>
        <w:t xml:space="preserve"> by CDOT's Specification Committee</w:t>
      </w:r>
      <w:r>
        <w:rPr>
          <w:rFonts w:ascii="Verdana" w:hAnsi="Verdana"/>
          <w:sz w:val="22"/>
        </w:rPr>
        <w:t xml:space="preserve"> as standard special provisions</w:t>
      </w:r>
      <w:r w:rsidRPr="0064781E">
        <w:rPr>
          <w:rFonts w:ascii="Verdana" w:hAnsi="Verdana"/>
          <w:sz w:val="22"/>
        </w:rPr>
        <w:t xml:space="preserve"> and have been applicable to projects put under construction since </w:t>
      </w:r>
      <w:r w:rsidR="002E486C">
        <w:rPr>
          <w:rFonts w:ascii="Verdana" w:hAnsi="Verdana"/>
          <w:sz w:val="22"/>
        </w:rPr>
        <w:t>their adoption</w:t>
      </w:r>
      <w:r w:rsidRPr="0064781E">
        <w:rPr>
          <w:rFonts w:ascii="Verdana" w:hAnsi="Verdana"/>
          <w:sz w:val="22"/>
        </w:rPr>
        <w:t xml:space="preserve">.  </w:t>
      </w:r>
    </w:p>
    <w:p w:rsidR="0064781E" w:rsidRDefault="0064781E" w:rsidP="0064781E">
      <w:pPr>
        <w:rPr>
          <w:rFonts w:ascii="Verdana" w:hAnsi="Verdana"/>
          <w:sz w:val="22"/>
        </w:rPr>
      </w:pPr>
    </w:p>
    <w:p w:rsidR="0064781E" w:rsidRDefault="00784763" w:rsidP="0064781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 w:rsidR="002E486C">
        <w:rPr>
          <w:rFonts w:ascii="Verdana" w:hAnsi="Verdana"/>
          <w:sz w:val="22"/>
        </w:rPr>
        <w:t>following general changes have been made:</w:t>
      </w:r>
    </w:p>
    <w:p w:rsidR="002E486C" w:rsidRDefault="002E486C" w:rsidP="0064781E">
      <w:pPr>
        <w:rPr>
          <w:rFonts w:ascii="Verdana" w:hAnsi="Verdana"/>
          <w:sz w:val="22"/>
        </w:rPr>
      </w:pPr>
    </w:p>
    <w:p w:rsidR="002E486C" w:rsidRDefault="00FB4FC4" w:rsidP="002E486C">
      <w:pPr>
        <w:numPr>
          <w:ilvl w:val="0"/>
          <w:numId w:val="1"/>
        </w:numPr>
        <w:rPr>
          <w:rFonts w:ascii="Verdana" w:hAnsi="Verdana"/>
          <w:sz w:val="22"/>
        </w:rPr>
      </w:pPr>
      <w:r w:rsidRPr="00FB4FC4">
        <w:rPr>
          <w:rFonts w:ascii="Verdana" w:hAnsi="Verdana"/>
          <w:sz w:val="22"/>
        </w:rPr>
        <w:t>Several subsections in Sections 105 and 106 were rewritten to establish proper quality control and testing requirements for both concrete and asphalt pavements</w:t>
      </w:r>
      <w:r w:rsidR="002E486C" w:rsidRPr="00FB4FC4">
        <w:rPr>
          <w:rFonts w:ascii="Verdana" w:hAnsi="Verdana"/>
          <w:sz w:val="22"/>
        </w:rPr>
        <w:t>.</w:t>
      </w:r>
    </w:p>
    <w:p w:rsidR="00642A98" w:rsidRPr="00FB4FC4" w:rsidRDefault="00642A98" w:rsidP="00642A98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subsection 107.06 was added to address </w:t>
      </w:r>
      <w:r w:rsidRPr="000D70A6">
        <w:rPr>
          <w:rFonts w:ascii="Verdana" w:hAnsi="Verdana"/>
          <w:i/>
          <w:sz w:val="22"/>
        </w:rPr>
        <w:t>Safety, Health, and Sanitation Provisions</w:t>
      </w:r>
    </w:p>
    <w:p w:rsidR="00642A98" w:rsidRPr="00FB4FC4" w:rsidRDefault="00642A98" w:rsidP="00642A98">
      <w:pPr>
        <w:numPr>
          <w:ilvl w:val="0"/>
          <w:numId w:val="1"/>
        </w:numPr>
        <w:rPr>
          <w:rFonts w:ascii="Verdana" w:hAnsi="Verdana"/>
          <w:sz w:val="22"/>
        </w:rPr>
      </w:pPr>
      <w:r w:rsidRPr="00FB4FC4">
        <w:rPr>
          <w:rFonts w:ascii="Verdana" w:hAnsi="Verdana"/>
          <w:sz w:val="22"/>
        </w:rPr>
        <w:t xml:space="preserve">Much of subsection 107.25, </w:t>
      </w:r>
      <w:r w:rsidRPr="00FB4FC4">
        <w:rPr>
          <w:rFonts w:ascii="Verdana" w:hAnsi="Verdana"/>
          <w:i/>
          <w:sz w:val="22"/>
        </w:rPr>
        <w:t>Water Quality Control</w:t>
      </w:r>
      <w:r w:rsidRPr="00FB4FC4">
        <w:rPr>
          <w:rFonts w:ascii="Verdana" w:hAnsi="Verdana"/>
          <w:sz w:val="22"/>
        </w:rPr>
        <w:t xml:space="preserve"> and all of Section 208, </w:t>
      </w:r>
      <w:r w:rsidRPr="00FB4FC4">
        <w:rPr>
          <w:rFonts w:ascii="Verdana" w:hAnsi="Verdana"/>
          <w:i/>
          <w:sz w:val="22"/>
        </w:rPr>
        <w:t>Erosion Control</w:t>
      </w:r>
      <w:r w:rsidRPr="00FB4FC4">
        <w:rPr>
          <w:rFonts w:ascii="Verdana" w:hAnsi="Verdana"/>
          <w:sz w:val="22"/>
        </w:rPr>
        <w:t xml:space="preserve"> were rewritten.  These changes accommodate </w:t>
      </w:r>
      <w:r w:rsidRPr="00FB4FC4">
        <w:rPr>
          <w:rFonts w:ascii="Arial" w:hAnsi="Arial" w:cs="Arial"/>
          <w:sz w:val="22"/>
          <w:szCs w:val="22"/>
        </w:rPr>
        <w:t xml:space="preserve">a consent order </w:t>
      </w:r>
      <w:r>
        <w:rPr>
          <w:rFonts w:ascii="Arial" w:hAnsi="Arial" w:cs="Arial"/>
          <w:sz w:val="22"/>
          <w:szCs w:val="22"/>
        </w:rPr>
        <w:t xml:space="preserve">agreement that CDOT entered into </w:t>
      </w:r>
      <w:r w:rsidRPr="00FB4FC4">
        <w:rPr>
          <w:rFonts w:ascii="Arial" w:hAnsi="Arial" w:cs="Arial"/>
          <w:sz w:val="22"/>
          <w:szCs w:val="22"/>
        </w:rPr>
        <w:t>with the Water Quality Control Division of the Colorado Department of Public Health and Environment (CDPHE)</w:t>
      </w:r>
      <w:r>
        <w:rPr>
          <w:rFonts w:ascii="Arial" w:hAnsi="Arial" w:cs="Arial"/>
          <w:sz w:val="22"/>
          <w:szCs w:val="22"/>
        </w:rPr>
        <w:t>. The consent order deals with enforcement of Environmental Protection Agency (EPA)</w:t>
      </w:r>
      <w:r w:rsidR="00784763">
        <w:rPr>
          <w:rFonts w:ascii="Arial" w:hAnsi="Arial" w:cs="Arial"/>
          <w:sz w:val="22"/>
          <w:szCs w:val="22"/>
        </w:rPr>
        <w:t xml:space="preserve"> regulations</w:t>
      </w:r>
      <w:r w:rsidRPr="00FB4FC4">
        <w:rPr>
          <w:rFonts w:ascii="Arial" w:hAnsi="Arial" w:cs="Arial"/>
          <w:sz w:val="22"/>
          <w:szCs w:val="22"/>
        </w:rPr>
        <w:t xml:space="preserve"> regarding water quality control on CDOT projects.  The provisions of the consent order went into effect on January 1, 2009.</w:t>
      </w:r>
    </w:p>
    <w:p w:rsidR="000D70A6" w:rsidRDefault="000D70A6" w:rsidP="002E486C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Section 502, Piling, was completely rewritten</w:t>
      </w:r>
      <w:r w:rsidR="00642A98">
        <w:rPr>
          <w:rFonts w:ascii="Verdana" w:hAnsi="Verdana"/>
          <w:sz w:val="22"/>
        </w:rPr>
        <w:t xml:space="preserve"> to conform to current pile driving practice</w:t>
      </w:r>
      <w:r>
        <w:rPr>
          <w:rFonts w:ascii="Verdana" w:hAnsi="Verdana"/>
          <w:sz w:val="22"/>
        </w:rPr>
        <w:t>.</w:t>
      </w:r>
    </w:p>
    <w:p w:rsidR="00642A98" w:rsidRDefault="00642A98" w:rsidP="002E486C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Parts of Section 601, Structural Concrete were rewritten to conform to current practice.</w:t>
      </w:r>
    </w:p>
    <w:p w:rsidR="00642A98" w:rsidRDefault="00642A98" w:rsidP="002E486C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Sections 613 and 715 were rewritten to conform current lighting and electrical material standards.</w:t>
      </w:r>
    </w:p>
    <w:p w:rsidR="00642A98" w:rsidRDefault="00642A98" w:rsidP="002E486C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Section 617, </w:t>
      </w:r>
      <w:r w:rsidRPr="00CD646D">
        <w:rPr>
          <w:rFonts w:ascii="Verdana" w:hAnsi="Verdana"/>
          <w:i/>
          <w:sz w:val="22"/>
        </w:rPr>
        <w:t>Culvert Pipe</w:t>
      </w:r>
      <w:r>
        <w:rPr>
          <w:rFonts w:ascii="Verdana" w:hAnsi="Verdana"/>
          <w:sz w:val="22"/>
        </w:rPr>
        <w:t xml:space="preserve">, was deleted.  And Section 624, </w:t>
      </w:r>
      <w:r w:rsidRPr="00CD646D">
        <w:rPr>
          <w:rFonts w:ascii="Verdana" w:hAnsi="Verdana"/>
          <w:i/>
          <w:sz w:val="22"/>
        </w:rPr>
        <w:t>Drainage Pipe</w:t>
      </w:r>
      <w:r>
        <w:rPr>
          <w:rFonts w:ascii="Verdana" w:hAnsi="Verdana"/>
          <w:sz w:val="22"/>
        </w:rPr>
        <w:t>, was rewritten to better specify what pipe materials may used for given on site conditions.</w:t>
      </w:r>
    </w:p>
    <w:p w:rsidR="00CD646D" w:rsidRDefault="00CD646D" w:rsidP="002E486C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section 641, </w:t>
      </w:r>
      <w:r w:rsidRPr="00CD646D">
        <w:rPr>
          <w:rFonts w:ascii="Verdana" w:hAnsi="Verdana"/>
          <w:i/>
          <w:sz w:val="22"/>
        </w:rPr>
        <w:t>Shotcrete</w:t>
      </w:r>
      <w:r>
        <w:rPr>
          <w:rFonts w:ascii="Verdana" w:hAnsi="Verdana"/>
          <w:sz w:val="22"/>
        </w:rPr>
        <w:t>, was added.</w:t>
      </w:r>
    </w:p>
    <w:p w:rsidR="00CD646D" w:rsidRDefault="00CD646D" w:rsidP="002E486C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Section 702, </w:t>
      </w:r>
      <w:r w:rsidRPr="00CD646D">
        <w:rPr>
          <w:rFonts w:ascii="Verdana" w:hAnsi="Verdana"/>
          <w:i/>
          <w:sz w:val="22"/>
        </w:rPr>
        <w:t>Bituminous Materials</w:t>
      </w:r>
      <w:r>
        <w:rPr>
          <w:rFonts w:ascii="Verdana" w:hAnsi="Verdana"/>
          <w:i/>
          <w:sz w:val="22"/>
        </w:rPr>
        <w:t>,</w:t>
      </w:r>
      <w:r>
        <w:rPr>
          <w:rFonts w:ascii="Verdana" w:hAnsi="Verdana"/>
          <w:sz w:val="22"/>
        </w:rPr>
        <w:t xml:space="preserve"> was rewritten to conform to current requirements for asphalt cement, and related materials.</w:t>
      </w:r>
    </w:p>
    <w:p w:rsidR="000F0F87" w:rsidRPr="00FB4FC4" w:rsidRDefault="000F0F87" w:rsidP="002E486C">
      <w:pPr>
        <w:numPr>
          <w:ilvl w:val="0"/>
          <w:numId w:val="1"/>
        </w:numPr>
        <w:rPr>
          <w:rFonts w:ascii="Verdana" w:hAnsi="Verdana"/>
          <w:sz w:val="22"/>
        </w:rPr>
      </w:pPr>
      <w:r w:rsidRPr="00FB4FC4">
        <w:rPr>
          <w:rFonts w:ascii="Verdana" w:hAnsi="Verdana"/>
          <w:sz w:val="22"/>
        </w:rPr>
        <w:t>Grammar and syntax have been improved in certain locations to conform to a more uniform style.</w:t>
      </w:r>
    </w:p>
    <w:p w:rsidR="000F0F87" w:rsidRDefault="000F0F87" w:rsidP="000F0F87">
      <w:pPr>
        <w:rPr>
          <w:rFonts w:ascii="Verdana" w:hAnsi="Verdana"/>
          <w:sz w:val="22"/>
        </w:rPr>
      </w:pPr>
    </w:p>
    <w:p w:rsidR="000F0F87" w:rsidRDefault="000F0F87" w:rsidP="000F0F8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</w:t>
      </w:r>
      <w:r w:rsidR="00C838FE">
        <w:rPr>
          <w:rFonts w:ascii="Verdana" w:hAnsi="Verdana"/>
          <w:sz w:val="22"/>
        </w:rPr>
        <w:t>Sections of the Specification Book contain significant revisions [there are other sections that have minor changes]:</w:t>
      </w:r>
    </w:p>
    <w:p w:rsidR="00C838FE" w:rsidRDefault="00C838FE" w:rsidP="000F0F87">
      <w:pPr>
        <w:rPr>
          <w:rFonts w:ascii="Verdana" w:hAnsi="Verdana"/>
          <w:sz w:val="22"/>
        </w:rPr>
      </w:pPr>
    </w:p>
    <w:p w:rsidR="000F0F87" w:rsidRPr="00C838FE" w:rsidRDefault="00C838FE" w:rsidP="00C838FE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Significant Changes to the 2011 Standard Specifications</w:t>
      </w: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3599"/>
        <w:gridCol w:w="5912"/>
      </w:tblGrid>
      <w:tr w:rsidR="00161472" w:rsidTr="0084276A">
        <w:trPr>
          <w:cantSplit/>
          <w:trHeight w:val="432"/>
          <w:tblHeader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Pr="00402C7B" w:rsidRDefault="00161472" w:rsidP="00161472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Specification Sections with Significant Changes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Pr="00402C7B" w:rsidRDefault="00161472" w:rsidP="00161472">
            <w:pPr>
              <w:jc w:val="center"/>
              <w:rPr>
                <w:rFonts w:ascii="Verdana" w:hAnsi="Verdana"/>
                <w:b/>
                <w:sz w:val="22"/>
              </w:rPr>
            </w:pPr>
            <w:r w:rsidRPr="00402C7B">
              <w:rPr>
                <w:rFonts w:ascii="Verdana" w:hAnsi="Verdana"/>
                <w:b/>
                <w:sz w:val="22"/>
              </w:rPr>
              <w:t xml:space="preserve">What </w:t>
            </w:r>
            <w:r>
              <w:rPr>
                <w:rFonts w:ascii="Verdana" w:hAnsi="Verdana"/>
                <w:b/>
                <w:sz w:val="22"/>
              </w:rPr>
              <w:t>was Changed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101 – </w:t>
            </w:r>
            <w:r w:rsidRPr="00161472">
              <w:rPr>
                <w:rFonts w:ascii="Verdana" w:hAnsi="Verdana"/>
                <w:i/>
                <w:sz w:val="22"/>
              </w:rPr>
              <w:t>Definitions and Terms</w:t>
            </w:r>
            <w:r>
              <w:rPr>
                <w:rFonts w:ascii="Verdana" w:hAnsi="Verdana"/>
                <w:sz w:val="22"/>
              </w:rPr>
              <w:t xml:space="preserve">  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Added or revised definitions for: Best Management Practices, Falsework, Formwork, Ordinary </w:t>
            </w:r>
            <w:proofErr w:type="spellStart"/>
            <w:r>
              <w:rPr>
                <w:rFonts w:ascii="Verdana" w:hAnsi="Verdana"/>
                <w:sz w:val="22"/>
              </w:rPr>
              <w:t>Highwater</w:t>
            </w:r>
            <w:proofErr w:type="spellEnd"/>
            <w:r>
              <w:rPr>
                <w:rFonts w:ascii="Verdana" w:hAnsi="Verdana"/>
                <w:sz w:val="22"/>
              </w:rPr>
              <w:t xml:space="preserve"> Mark, Safety Critical Work, Shoring, State Waters, and Stormwater Management Plan (SWMP).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104 – </w:t>
            </w:r>
            <w:r w:rsidRPr="00161472">
              <w:rPr>
                <w:rFonts w:ascii="Verdana" w:hAnsi="Verdana"/>
                <w:i/>
                <w:sz w:val="22"/>
              </w:rPr>
              <w:t>Scope of Work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9B0200" w:rsidP="0078476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104.07</w:t>
            </w:r>
            <w:r w:rsidR="00784763">
              <w:rPr>
                <w:rFonts w:ascii="Verdana" w:hAnsi="Verdana"/>
                <w:sz w:val="22"/>
              </w:rPr>
              <w:t>: This subsection on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9B0200">
              <w:rPr>
                <w:rFonts w:ascii="Verdana" w:hAnsi="Verdana"/>
                <w:i/>
                <w:sz w:val="22"/>
              </w:rPr>
              <w:t>Value Engineering Change Proposals by the Contractor</w:t>
            </w:r>
            <w:r w:rsidR="00784763">
              <w:rPr>
                <w:rFonts w:ascii="Verdana" w:hAnsi="Verdana"/>
                <w:sz w:val="22"/>
              </w:rPr>
              <w:t xml:space="preserve"> was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784763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ompletely rewritten.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5188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105 – </w:t>
            </w:r>
            <w:r w:rsidRPr="00051885">
              <w:rPr>
                <w:rFonts w:ascii="Verdana" w:hAnsi="Verdana"/>
                <w:i/>
                <w:sz w:val="22"/>
              </w:rPr>
              <w:t>Control of Work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Pr="00E56757" w:rsidRDefault="0005188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105.04: Revised the process for evaluating SuperPave Performance Graded Binders.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5188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105.07 </w:t>
            </w:r>
            <w:proofErr w:type="gramStart"/>
            <w:r>
              <w:rPr>
                <w:rFonts w:ascii="Verdana" w:hAnsi="Verdana"/>
                <w:sz w:val="22"/>
              </w:rPr>
              <w:t>and</w:t>
            </w:r>
            <w:proofErr w:type="gramEnd"/>
            <w:r>
              <w:rPr>
                <w:rFonts w:ascii="Verdana" w:hAnsi="Verdana"/>
                <w:sz w:val="22"/>
              </w:rPr>
              <w:t xml:space="preserve"> 105.08: Revised the smoothness evaluation processes for both asphalt pavement  and concrete pavement.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5188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105.22, 105.23, and 105.24: </w:t>
            </w:r>
            <w:r w:rsidR="00B805FC">
              <w:rPr>
                <w:rFonts w:ascii="Verdana" w:hAnsi="Verdana"/>
                <w:sz w:val="22"/>
              </w:rPr>
              <w:t>The Contract dispute resolution process was evaluated and completely rewritten by a team of CDOT personnel, contractors, and other stakeholders.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B805FC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106 – </w:t>
            </w:r>
            <w:r w:rsidRPr="00B805FC">
              <w:rPr>
                <w:rFonts w:ascii="Verdana" w:hAnsi="Verdana"/>
                <w:i/>
                <w:sz w:val="22"/>
              </w:rPr>
              <w:t>Control of Material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B805FC" w:rsidP="008C35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106.05: </w:t>
            </w:r>
            <w:r w:rsidR="00E13FF5">
              <w:rPr>
                <w:rFonts w:ascii="Verdana" w:hAnsi="Verdana"/>
                <w:sz w:val="22"/>
              </w:rPr>
              <w:t xml:space="preserve">Added </w:t>
            </w:r>
            <w:r>
              <w:rPr>
                <w:rFonts w:ascii="Verdana" w:hAnsi="Verdana"/>
                <w:sz w:val="22"/>
              </w:rPr>
              <w:t>requirements for a</w:t>
            </w:r>
            <w:r w:rsidR="008C35CE">
              <w:rPr>
                <w:rFonts w:ascii="Verdana" w:hAnsi="Verdana"/>
                <w:sz w:val="22"/>
              </w:rPr>
              <w:t xml:space="preserve"> Hot Mix Asphalt [</w:t>
            </w:r>
            <w:r>
              <w:rPr>
                <w:rFonts w:ascii="Verdana" w:hAnsi="Verdana"/>
                <w:sz w:val="22"/>
              </w:rPr>
              <w:t>HMA</w:t>
            </w:r>
            <w:r w:rsidR="008C35CE">
              <w:rPr>
                <w:rFonts w:ascii="Verdana" w:hAnsi="Verdana"/>
                <w:sz w:val="22"/>
              </w:rPr>
              <w:t>]</w:t>
            </w:r>
            <w:r>
              <w:rPr>
                <w:rFonts w:ascii="Verdana" w:hAnsi="Verdana"/>
                <w:sz w:val="22"/>
              </w:rPr>
              <w:t xml:space="preserve"> Quality Control Plan and for Record Keeping.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8C35C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106.06: Sampling and testing requirements for Portland Cement Concrete Pavement [PCCP] were completely rewritten.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344D98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106.11: Buy America requirements were updated to better match federal regulations.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135118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106.12 </w:t>
            </w:r>
            <w:proofErr w:type="gramStart"/>
            <w:r>
              <w:rPr>
                <w:rFonts w:ascii="Verdana" w:hAnsi="Verdana"/>
                <w:sz w:val="22"/>
              </w:rPr>
              <w:t>and</w:t>
            </w:r>
            <w:proofErr w:type="gramEnd"/>
            <w:r>
              <w:rPr>
                <w:rFonts w:ascii="Verdana" w:hAnsi="Verdana"/>
                <w:sz w:val="22"/>
              </w:rPr>
              <w:t xml:space="preserve"> 106.13: Added signatory requirements for certificates of compliance and certified test reports.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276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107 – </w:t>
            </w:r>
            <w:r w:rsidRPr="0084276A">
              <w:rPr>
                <w:rFonts w:ascii="Verdana" w:hAnsi="Verdana"/>
                <w:i/>
                <w:sz w:val="22"/>
              </w:rPr>
              <w:t>Legal Relations and Responsibility to Public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276A" w:rsidP="0084276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107.06: Rewritten to more thoroughly cover </w:t>
            </w:r>
            <w:r w:rsidRPr="0084276A">
              <w:rPr>
                <w:rFonts w:ascii="Verdana" w:hAnsi="Verdana"/>
                <w:i/>
                <w:sz w:val="22"/>
              </w:rPr>
              <w:t>Safety, Health, And Sanitary Provisions</w:t>
            </w:r>
            <w:r>
              <w:rPr>
                <w:rFonts w:ascii="Verdana" w:hAnsi="Verdana"/>
                <w:sz w:val="22"/>
              </w:rPr>
              <w:t>.  Includes requiring a safety management plan.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276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107.15: Completely rewritten </w:t>
            </w:r>
            <w:r w:rsidR="009C32D7">
              <w:rPr>
                <w:rFonts w:ascii="Verdana" w:hAnsi="Verdana"/>
                <w:sz w:val="22"/>
              </w:rPr>
              <w:t>subsection</w:t>
            </w:r>
            <w:r>
              <w:rPr>
                <w:rFonts w:ascii="Verdana" w:hAnsi="Verdana"/>
                <w:sz w:val="22"/>
              </w:rPr>
              <w:t xml:space="preserve"> on damage claims and insurance coverage.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A24CE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107.25: Major changes made to water quality requirements.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B87B64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108 – </w:t>
            </w:r>
            <w:r w:rsidRPr="00B87B64">
              <w:rPr>
                <w:rFonts w:ascii="Verdana" w:hAnsi="Verdana"/>
                <w:i/>
                <w:sz w:val="22"/>
              </w:rPr>
              <w:t>Prosecution and Progress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B87B64" w:rsidP="00B87B64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108.04: New subsection requires the Contractor to submit a Payment Schedule estimating the dollar amount of work that will be completed each month.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912D1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109 – </w:t>
            </w:r>
            <w:r w:rsidRPr="00912D12">
              <w:rPr>
                <w:rFonts w:ascii="Verdana" w:hAnsi="Verdana"/>
                <w:i/>
                <w:sz w:val="22"/>
              </w:rPr>
              <w:t>Measurement and Payment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912D1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109.01: Updated the requirements for scales.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F40F0F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109.06: </w:t>
            </w:r>
            <w:r w:rsidR="000C44C5">
              <w:rPr>
                <w:rFonts w:ascii="Verdana" w:hAnsi="Verdana"/>
                <w:sz w:val="22"/>
              </w:rPr>
              <w:t xml:space="preserve">Changed </w:t>
            </w:r>
            <w:r w:rsidR="00E13FF5">
              <w:rPr>
                <w:rFonts w:ascii="Verdana" w:hAnsi="Verdana"/>
                <w:sz w:val="22"/>
              </w:rPr>
              <w:t xml:space="preserve">the </w:t>
            </w:r>
            <w:r w:rsidR="000C44C5">
              <w:rPr>
                <w:rFonts w:ascii="Verdana" w:hAnsi="Verdana"/>
                <w:sz w:val="22"/>
              </w:rPr>
              <w:t>requirements for release of subcontractor's retainage.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0C44C5" w:rsidP="000C44C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203 – </w:t>
            </w:r>
            <w:r w:rsidRPr="000C44C5">
              <w:rPr>
                <w:rFonts w:ascii="Verdana" w:hAnsi="Verdana"/>
                <w:i/>
                <w:sz w:val="22"/>
              </w:rPr>
              <w:t>Excavation an</w:t>
            </w:r>
            <w:r>
              <w:rPr>
                <w:rFonts w:ascii="Verdana" w:hAnsi="Verdana"/>
                <w:i/>
                <w:sz w:val="22"/>
              </w:rPr>
              <w:t>d</w:t>
            </w:r>
            <w:r w:rsidRPr="000C44C5">
              <w:rPr>
                <w:rFonts w:ascii="Verdana" w:hAnsi="Verdana"/>
                <w:i/>
                <w:sz w:val="22"/>
              </w:rPr>
              <w:t xml:space="preserve"> Embankment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203.03: Required sulfate testing of embankment material.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203.04: Addressed asbestos contamination of the soil.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206 – </w:t>
            </w:r>
            <w:r w:rsidRPr="000C44C5">
              <w:rPr>
                <w:rFonts w:ascii="Verdana" w:hAnsi="Verdana"/>
                <w:i/>
                <w:sz w:val="22"/>
              </w:rPr>
              <w:t>Excavation and Backfill for Structures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206.03: Addressed asbestos contamination of the soil.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206 - </w:t>
            </w:r>
            <w:r w:rsidRPr="000C44C5">
              <w:rPr>
                <w:rFonts w:ascii="Verdana" w:hAnsi="Verdana"/>
                <w:i/>
                <w:sz w:val="22"/>
              </w:rPr>
              <w:t>Shoring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Added new section on specialty shoring.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208 – </w:t>
            </w:r>
            <w:r w:rsidRPr="000C44C5">
              <w:rPr>
                <w:rFonts w:ascii="Verdana" w:hAnsi="Verdana"/>
                <w:i/>
                <w:sz w:val="22"/>
              </w:rPr>
              <w:t>Erosion Control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0C44C5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Entire section </w:t>
            </w:r>
            <w:r w:rsidR="00FA0E81">
              <w:rPr>
                <w:rFonts w:ascii="Verdana" w:hAnsi="Verdana"/>
                <w:sz w:val="22"/>
              </w:rPr>
              <w:t xml:space="preserve">was </w:t>
            </w:r>
            <w:r>
              <w:rPr>
                <w:rFonts w:ascii="Verdana" w:hAnsi="Verdana"/>
                <w:sz w:val="22"/>
              </w:rPr>
              <w:t>completely rewritten</w:t>
            </w:r>
            <w:r w:rsidR="00FA0E81">
              <w:rPr>
                <w:rFonts w:ascii="Verdana" w:hAnsi="Verdana"/>
                <w:sz w:val="22"/>
              </w:rPr>
              <w:t>.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 xml:space="preserve">212 – </w:t>
            </w:r>
            <w:r w:rsidRPr="00F85A8A">
              <w:rPr>
                <w:rFonts w:ascii="Verdana" w:hAnsi="Verdana"/>
                <w:i/>
                <w:sz w:val="22"/>
              </w:rPr>
              <w:t>Seeding, Fertilizer, Soil Conditioner, and Sodding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212.02: Added requirements for compost.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213 - </w:t>
            </w:r>
            <w:r w:rsidRPr="00F85A8A">
              <w:rPr>
                <w:rFonts w:ascii="Verdana" w:hAnsi="Verdana"/>
                <w:i/>
                <w:sz w:val="22"/>
              </w:rPr>
              <w:t>Mulching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213.02, 213.03: Added requirements for spray-on mulch blanket.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250 – </w:t>
            </w:r>
            <w:r w:rsidRPr="00F85A8A">
              <w:rPr>
                <w:rFonts w:ascii="Verdana" w:hAnsi="Verdana"/>
                <w:i/>
                <w:sz w:val="22"/>
              </w:rPr>
              <w:t>Environmental, Health, and Safety Management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250.07: Added new subsection addressing asbestos-containing material management.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F85A8A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250.08: Added new subsection addressing methamphetamine lab sites.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3126D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401 – Plant Mix Pavements General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Made several small changes throughout to hot mix asphalt requirements.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401.16: Made changes to address material segregation.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401.17: Made changes to address to address density at pavement joints.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3126D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411 – </w:t>
            </w:r>
            <w:r w:rsidRPr="003126D1">
              <w:rPr>
                <w:rFonts w:ascii="Verdana" w:hAnsi="Verdana"/>
                <w:i/>
                <w:sz w:val="22"/>
              </w:rPr>
              <w:t>Asphalt Materials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3126D1" w:rsidP="003126D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411.04: Revised method of measuring emulsified asphalt for payment.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412 – </w:t>
            </w:r>
            <w:r w:rsidRPr="003126D1">
              <w:rPr>
                <w:rFonts w:ascii="Verdana" w:hAnsi="Verdana"/>
                <w:i/>
                <w:sz w:val="22"/>
              </w:rPr>
              <w:t>Portland Cement Concrete Pavement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412.12: Subsection on finishing concrete pavement was completely rewritten.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126D1" w:rsidP="003126D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412.16: Subsection on repair of defective concrete pavement was completely rewritten.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420 - </w:t>
            </w:r>
            <w:r w:rsidRPr="00B70FDD">
              <w:rPr>
                <w:rFonts w:ascii="Verdana" w:hAnsi="Verdana"/>
                <w:i/>
                <w:sz w:val="22"/>
              </w:rPr>
              <w:t>Geosynthetics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420.02: Classification and materials requirements for geosynthetics were revised to conform to current national standards.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502 - </w:t>
            </w:r>
            <w:r w:rsidRPr="00B70FDD">
              <w:rPr>
                <w:rFonts w:ascii="Verdana" w:hAnsi="Verdana"/>
                <w:i/>
                <w:sz w:val="22"/>
              </w:rPr>
              <w:t>Piling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Entire Section was rewritten.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509 – </w:t>
            </w:r>
            <w:r w:rsidRPr="00B70FDD">
              <w:rPr>
                <w:rFonts w:ascii="Verdana" w:hAnsi="Verdana"/>
                <w:i/>
                <w:sz w:val="22"/>
              </w:rPr>
              <w:t>Steel Structures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509.27: Made major changes to the requirements for erecting steel structures.  Added requirements for the Contractor to submit a structure erection plan and participate in a pre-erection conference.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601 – </w:t>
            </w:r>
            <w:r w:rsidRPr="00B70FDD">
              <w:rPr>
                <w:rFonts w:ascii="Verdana" w:hAnsi="Verdana"/>
                <w:i/>
                <w:sz w:val="22"/>
              </w:rPr>
              <w:t>Structural Concrete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B70F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601.02: </w:t>
            </w:r>
            <w:r w:rsidR="00EA3582">
              <w:rPr>
                <w:rFonts w:ascii="Verdana" w:hAnsi="Verdana"/>
                <w:sz w:val="22"/>
              </w:rPr>
              <w:t>Completely rewrote the subsection on concrete classification.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EA358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601.04: Added new subsection addressing sulfate resistance of concrete.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392C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601.05: Completely rewrote subsection on proportioning of concrete.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392C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601.08: Rewrote subsection on air content adjustment.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392C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601.11: Made changes to the falsework requirements.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84392C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601.12: Added requirements for placing concrete by pumping.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4C6FC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601.17: Revised subsection on acceptance and pay factors for concrete.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 xml:space="preserve">612 – </w:t>
            </w:r>
            <w:r w:rsidRPr="007913DD">
              <w:rPr>
                <w:rFonts w:ascii="Verdana" w:hAnsi="Verdana"/>
                <w:i/>
                <w:sz w:val="22"/>
              </w:rPr>
              <w:t>Delineators and Reflectors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Made several small changes throughout the section and added requirements for reflector strips.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613 – </w:t>
            </w:r>
            <w:r w:rsidRPr="007913DD">
              <w:rPr>
                <w:rFonts w:ascii="Verdana" w:hAnsi="Verdana"/>
                <w:i/>
                <w:sz w:val="22"/>
              </w:rPr>
              <w:t>Lighting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Section was completely rewritten to conform to current materials</w:t>
            </w:r>
            <w:r w:rsidR="003A5838">
              <w:rPr>
                <w:rFonts w:ascii="Verdana" w:hAnsi="Verdana"/>
                <w:sz w:val="22"/>
              </w:rPr>
              <w:t xml:space="preserve"> requirements</w:t>
            </w:r>
            <w:r>
              <w:rPr>
                <w:rFonts w:ascii="Verdana" w:hAnsi="Verdana"/>
                <w:sz w:val="22"/>
              </w:rPr>
              <w:t xml:space="preserve"> and standard practices.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614 – </w:t>
            </w:r>
            <w:r w:rsidRPr="007913DD">
              <w:rPr>
                <w:rFonts w:ascii="Verdana" w:hAnsi="Verdana"/>
                <w:i/>
                <w:sz w:val="22"/>
              </w:rPr>
              <w:t>Traffic Control Devices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Several minor changes were made throughout the section.  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614.06: Added subsection on flashing beacons.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614.08: Added requirements for special prefabricated loop detector wire.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614.09: Added requirements for tubular steel sign posts.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7913D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617 – Formerly, </w:t>
            </w:r>
            <w:r w:rsidRPr="007913DD">
              <w:rPr>
                <w:rFonts w:ascii="Verdana" w:hAnsi="Verdana"/>
                <w:i/>
                <w:sz w:val="22"/>
              </w:rPr>
              <w:t>Culvert Pipe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7913DD" w:rsidP="0038294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Section deleted.  All culvert </w:t>
            </w:r>
            <w:proofErr w:type="gramStart"/>
            <w:r>
              <w:rPr>
                <w:rFonts w:ascii="Verdana" w:hAnsi="Verdana"/>
                <w:sz w:val="22"/>
              </w:rPr>
              <w:t>pipe</w:t>
            </w:r>
            <w:proofErr w:type="gramEnd"/>
            <w:r>
              <w:rPr>
                <w:rFonts w:ascii="Verdana" w:hAnsi="Verdana"/>
                <w:sz w:val="22"/>
              </w:rPr>
              <w:t xml:space="preserve"> </w:t>
            </w:r>
            <w:r w:rsidR="00382942">
              <w:rPr>
                <w:rFonts w:ascii="Verdana" w:hAnsi="Verdana"/>
                <w:sz w:val="22"/>
              </w:rPr>
              <w:t>is</w:t>
            </w:r>
            <w:r>
              <w:rPr>
                <w:rFonts w:ascii="Verdana" w:hAnsi="Verdana"/>
                <w:sz w:val="22"/>
              </w:rPr>
              <w:t xml:space="preserve"> addressed in Sections 603 and 624.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CC034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618 – </w:t>
            </w:r>
            <w:r w:rsidRPr="00CC034E">
              <w:rPr>
                <w:rFonts w:ascii="Verdana" w:hAnsi="Verdana"/>
                <w:i/>
                <w:sz w:val="22"/>
              </w:rPr>
              <w:t>Prestressed Concrete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CC034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618.14: Included additional requirements for erection of pre-cast concrete members; Contractor must submit an erection plan and participate in a pre-erection conference.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CC034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624 – </w:t>
            </w:r>
            <w:r w:rsidRPr="00CC034E">
              <w:rPr>
                <w:rFonts w:ascii="Verdana" w:hAnsi="Verdana"/>
                <w:i/>
                <w:sz w:val="22"/>
              </w:rPr>
              <w:t>Drainage Pipe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CC034E" w:rsidP="008E560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This section was completely rewritten.  Materials for drainage pipe are based </w:t>
            </w:r>
            <w:r w:rsidR="008E560E">
              <w:rPr>
                <w:rFonts w:ascii="Verdana" w:hAnsi="Verdana"/>
                <w:sz w:val="22"/>
              </w:rPr>
              <w:t xml:space="preserve">on </w:t>
            </w:r>
            <w:r>
              <w:rPr>
                <w:rFonts w:ascii="Verdana" w:hAnsi="Verdana"/>
                <w:sz w:val="22"/>
              </w:rPr>
              <w:t xml:space="preserve">site requirements </w:t>
            </w:r>
            <w:r w:rsidR="008E560E">
              <w:rPr>
                <w:rFonts w:ascii="Verdana" w:hAnsi="Verdana"/>
                <w:sz w:val="22"/>
              </w:rPr>
              <w:t>as addressed in</w:t>
            </w:r>
            <w:r>
              <w:rPr>
                <w:rFonts w:ascii="Verdana" w:hAnsi="Verdana"/>
                <w:sz w:val="22"/>
              </w:rPr>
              <w:t xml:space="preserve"> CDOT's new Pipe Selection Guide.  Most drainage pipes will conform to this section and be paid for as 624 items. 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8E560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627 – </w:t>
            </w:r>
            <w:r w:rsidRPr="008E560E">
              <w:rPr>
                <w:rFonts w:ascii="Verdana" w:hAnsi="Verdana"/>
                <w:i/>
                <w:sz w:val="22"/>
              </w:rPr>
              <w:t>Pavement Marking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D11F2D" w:rsidP="00D11F2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627.03: Requirements for temporary pavement markings were completely rewritten.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D11F2D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627.04: Added requirements for waterborne and low volatile organic compound based pavement marking.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D11F2D" w:rsidP="00D11F2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627.08: Added requirements for installing the various types of plastic pavement marking materials.</w:t>
            </w:r>
          </w:p>
        </w:tc>
      </w:tr>
      <w:tr w:rsidR="00161472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4023C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630 – </w:t>
            </w:r>
            <w:r w:rsidRPr="004023CE">
              <w:rPr>
                <w:rFonts w:ascii="Verdana" w:hAnsi="Verdana"/>
                <w:i/>
                <w:sz w:val="22"/>
              </w:rPr>
              <w:t>Construction Zone Traffic Control</w:t>
            </w:r>
            <w:r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3B54F9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Several minor changes were made throughout this section.</w:t>
            </w:r>
          </w:p>
        </w:tc>
      </w:tr>
      <w:tr w:rsidR="003B54F9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3B54F9" w:rsidRDefault="003B54F9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3B54F9" w:rsidRDefault="003B54F9" w:rsidP="002A1BB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630.02: Made several changes to the material requirements for signs and barricades.</w:t>
            </w:r>
          </w:p>
        </w:tc>
      </w:tr>
      <w:tr w:rsidR="003B54F9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3B54F9" w:rsidRDefault="003B54F9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3B54F9" w:rsidRDefault="003B54F9" w:rsidP="002A1BB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630.07: Added new subsection for stackable vertical panels and stackable tubular markers.</w:t>
            </w:r>
          </w:p>
        </w:tc>
      </w:tr>
      <w:tr w:rsidR="003B54F9" w:rsidTr="005554CF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3B54F9" w:rsidRDefault="003B54F9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3B54F9" w:rsidRDefault="003B54F9" w:rsidP="003A583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630.10: </w:t>
            </w:r>
            <w:r w:rsidR="003A5838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 xml:space="preserve">ewrote this </w:t>
            </w:r>
            <w:r w:rsidR="003A5838">
              <w:rPr>
                <w:rFonts w:ascii="Verdana" w:hAnsi="Verdana"/>
                <w:sz w:val="22"/>
              </w:rPr>
              <w:t xml:space="preserve">entire </w:t>
            </w:r>
            <w:r>
              <w:rPr>
                <w:rFonts w:ascii="Verdana" w:hAnsi="Verdana"/>
                <w:sz w:val="22"/>
              </w:rPr>
              <w:t>subsection to require a complete Transportation Management Plan.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3B54F9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641 - </w:t>
            </w:r>
            <w:r w:rsidRPr="003B54F9">
              <w:rPr>
                <w:rFonts w:ascii="Verdana" w:hAnsi="Verdana"/>
                <w:i/>
                <w:sz w:val="22"/>
              </w:rPr>
              <w:t>Shotcrete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3B54F9" w:rsidP="003B54F9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Added entirely new section for this commonly used material.</w:t>
            </w:r>
          </w:p>
        </w:tc>
      </w:tr>
      <w:tr w:rsidR="00161472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CD189B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 xml:space="preserve">701 – </w:t>
            </w:r>
            <w:r w:rsidRPr="00CD189B">
              <w:rPr>
                <w:rFonts w:ascii="Verdana" w:hAnsi="Verdana"/>
                <w:i/>
                <w:sz w:val="22"/>
              </w:rPr>
              <w:t>Hydraulic Cement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AD7779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701.01: Completely rewrote the materials requirements for hydraulic cement.</w:t>
            </w:r>
          </w:p>
        </w:tc>
      </w:tr>
      <w:tr w:rsidR="00161472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161472" w:rsidRDefault="00ED63F5" w:rsidP="000A305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701.02: Completely rewrote the materials requirements for fly ash used as a pozz</w:t>
            </w:r>
            <w:r w:rsidR="000A305E">
              <w:rPr>
                <w:rFonts w:ascii="Verdana" w:hAnsi="Verdana"/>
                <w:sz w:val="22"/>
              </w:rPr>
              <w:t>o</w:t>
            </w:r>
            <w:r>
              <w:rPr>
                <w:rFonts w:ascii="Verdana" w:hAnsi="Verdana"/>
                <w:sz w:val="22"/>
              </w:rPr>
              <w:t>lan.</w:t>
            </w:r>
          </w:p>
        </w:tc>
      </w:tr>
      <w:tr w:rsidR="00702921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702921" w:rsidRDefault="0070292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702 – </w:t>
            </w:r>
            <w:r w:rsidRPr="000A305E">
              <w:rPr>
                <w:rFonts w:ascii="Verdana" w:hAnsi="Verdana"/>
                <w:i/>
                <w:sz w:val="22"/>
              </w:rPr>
              <w:t>Bituminous Materials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702921" w:rsidRDefault="00702921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Most of this section was revised to conform to current standard materials requirements.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A305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702.01: Rewrote the requirements for Superpave Performance Graded Binders and for dampproofing materials in this subsection.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A305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702.02: Rewrote the requirements for liquid asphaltic materials used on CDOT projects.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A305E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702.03: Rewrote the requirements for the various types of emulsified asphalts used on CDOT projects.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A305E" w:rsidP="000A305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702.04: Rewrote the requirements for asphalt rejuvenating agents used on CDOT projects.</w:t>
            </w:r>
          </w:p>
        </w:tc>
      </w:tr>
      <w:tr w:rsidR="00161472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161472" w:rsidRDefault="00161472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161472" w:rsidRDefault="000A305E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702.06: </w:t>
            </w:r>
            <w:r w:rsidR="009125EE">
              <w:rPr>
                <w:rFonts w:ascii="Verdana" w:hAnsi="Verdana"/>
                <w:sz w:val="22"/>
              </w:rPr>
              <w:t>Rewrote the requirements for hot poured joint and crack sealant used on CDOT projects.</w:t>
            </w:r>
          </w:p>
        </w:tc>
      </w:tr>
      <w:tr w:rsidR="00702921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02921" w:rsidRDefault="00CC550B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703 - </w:t>
            </w:r>
            <w:r w:rsidRPr="00CC550B">
              <w:rPr>
                <w:rFonts w:ascii="Verdana" w:hAnsi="Verdana"/>
                <w:i/>
                <w:sz w:val="22"/>
              </w:rPr>
              <w:t>Aggregates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02921" w:rsidRDefault="00CC550B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703.03: Revised the classification table for aggregate base course.</w:t>
            </w:r>
          </w:p>
        </w:tc>
      </w:tr>
      <w:tr w:rsidR="00702921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02921" w:rsidRDefault="00702921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02921" w:rsidRDefault="00CC550B" w:rsidP="00CC550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703.04: Revised the classification table for stone matrix asphalt.</w:t>
            </w:r>
          </w:p>
        </w:tc>
      </w:tr>
      <w:tr w:rsidR="00702921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702921" w:rsidRDefault="00DB5E22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705 – </w:t>
            </w:r>
            <w:r w:rsidRPr="00DB5E22">
              <w:rPr>
                <w:rFonts w:ascii="Verdana" w:hAnsi="Verdana"/>
                <w:i/>
                <w:sz w:val="22"/>
              </w:rPr>
              <w:t>Joint, Waterproofing, and Bearing Materials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702921" w:rsidRDefault="00DB5E22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705.09: Updated the requirements for single component, hot applied, elastomeric membrane.</w:t>
            </w:r>
          </w:p>
        </w:tc>
      </w:tr>
      <w:tr w:rsidR="007A5D00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A5D00" w:rsidRDefault="007A5D00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708 - </w:t>
            </w:r>
            <w:r w:rsidRPr="0017568B">
              <w:rPr>
                <w:rFonts w:ascii="Verdana" w:hAnsi="Verdana"/>
                <w:i/>
                <w:sz w:val="22"/>
              </w:rPr>
              <w:t>Paints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A5D00" w:rsidRDefault="007A5D00" w:rsidP="003A583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708.01: Rewrote the general requirements, including a list of unacceptable chemical components.</w:t>
            </w:r>
          </w:p>
        </w:tc>
      </w:tr>
      <w:tr w:rsidR="007A5D00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A5D00" w:rsidRDefault="007A5D00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A5D00" w:rsidRDefault="0017568B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708.05: Requirements for pavement marking materials were completely updated.</w:t>
            </w:r>
          </w:p>
        </w:tc>
      </w:tr>
      <w:tr w:rsidR="007A5D00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7A5D00" w:rsidRDefault="0017568B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712 - </w:t>
            </w:r>
            <w:r w:rsidRPr="0017568B">
              <w:rPr>
                <w:rFonts w:ascii="Verdana" w:hAnsi="Verdana"/>
                <w:i/>
                <w:sz w:val="22"/>
              </w:rPr>
              <w:t>Miscellaneous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7A5D00" w:rsidRDefault="0017568B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712.03: Requirements for hydrated lime were brought up to date.</w:t>
            </w:r>
          </w:p>
        </w:tc>
      </w:tr>
      <w:tr w:rsidR="007A5D00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7A5D00" w:rsidRDefault="007A5D00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7A5D00" w:rsidRDefault="0017568B" w:rsidP="003A583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712.07 &amp; 712.08: Material requirements for geosynthetics and geotextiles were brought up to date and separated into 2 subsections.</w:t>
            </w:r>
          </w:p>
        </w:tc>
      </w:tr>
      <w:tr w:rsidR="00702921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702921" w:rsidRDefault="00702921" w:rsidP="0016147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702921" w:rsidRDefault="007F1004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712.13: Material requirements for plastic pipe were brought up to date.</w:t>
            </w:r>
          </w:p>
        </w:tc>
      </w:tr>
      <w:tr w:rsidR="007F1004" w:rsidTr="00773062">
        <w:trPr>
          <w:cantSplit/>
          <w:trHeight w:val="432"/>
          <w:jc w:val="center"/>
        </w:trPr>
        <w:tc>
          <w:tcPr>
            <w:tcW w:w="3599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F1004" w:rsidRDefault="007F1004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713 – </w:t>
            </w:r>
            <w:r w:rsidRPr="007F1004">
              <w:rPr>
                <w:rFonts w:ascii="Verdana" w:hAnsi="Verdana"/>
                <w:i/>
                <w:sz w:val="22"/>
              </w:rPr>
              <w:t>Traffic Control Materials</w:t>
            </w:r>
          </w:p>
        </w:tc>
        <w:tc>
          <w:tcPr>
            <w:tcW w:w="5912" w:type="dxa"/>
            <w:shd w:val="clear" w:color="auto" w:fill="D9D9D9" w:themeFill="background1" w:themeFillShade="D9"/>
            <w:tcMar>
              <w:bottom w:w="72" w:type="dxa"/>
            </w:tcMar>
            <w:vAlign w:val="center"/>
          </w:tcPr>
          <w:p w:rsidR="007F1004" w:rsidRDefault="007F1004" w:rsidP="003A583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713.13: The requirements for preformed plastic pavement marking were rewritten to conform to current </w:t>
            </w:r>
            <w:r w:rsidR="003A5838">
              <w:rPr>
                <w:rFonts w:ascii="Verdana" w:hAnsi="Verdana"/>
                <w:sz w:val="22"/>
              </w:rPr>
              <w:t>standards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  <w:tr w:rsidR="007F1004" w:rsidTr="0084276A">
        <w:trPr>
          <w:cantSplit/>
          <w:trHeight w:val="432"/>
          <w:jc w:val="center"/>
        </w:trPr>
        <w:tc>
          <w:tcPr>
            <w:tcW w:w="3599" w:type="dxa"/>
            <w:tcMar>
              <w:bottom w:w="72" w:type="dxa"/>
            </w:tcMar>
            <w:vAlign w:val="center"/>
          </w:tcPr>
          <w:p w:rsidR="007F1004" w:rsidRDefault="007F1004" w:rsidP="0016147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715 – </w:t>
            </w:r>
            <w:r w:rsidRPr="007F1004">
              <w:rPr>
                <w:rFonts w:ascii="Verdana" w:hAnsi="Verdana"/>
                <w:i/>
                <w:sz w:val="22"/>
              </w:rPr>
              <w:t>Lighting and Electrical Materials</w:t>
            </w:r>
          </w:p>
        </w:tc>
        <w:tc>
          <w:tcPr>
            <w:tcW w:w="5912" w:type="dxa"/>
            <w:tcMar>
              <w:bottom w:w="72" w:type="dxa"/>
            </w:tcMar>
            <w:vAlign w:val="center"/>
          </w:tcPr>
          <w:p w:rsidR="007F1004" w:rsidRDefault="007F1004" w:rsidP="009125E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This section was completely rewritten to conform to current standards.</w:t>
            </w:r>
          </w:p>
        </w:tc>
      </w:tr>
    </w:tbl>
    <w:p w:rsidR="00774F2C" w:rsidRDefault="00774F2C" w:rsidP="00D57FB0"/>
    <w:sectPr w:rsidR="00774F2C" w:rsidSect="00FB3825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67" w:rsidRDefault="002D2A67">
      <w:r>
        <w:separator/>
      </w:r>
    </w:p>
  </w:endnote>
  <w:endnote w:type="continuationSeparator" w:id="0">
    <w:p w:rsidR="002D2A67" w:rsidRDefault="002D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67" w:rsidRDefault="002D2A67">
      <w:r>
        <w:separator/>
      </w:r>
    </w:p>
  </w:footnote>
  <w:footnote w:type="continuationSeparator" w:id="0">
    <w:p w:rsidR="002D2A67" w:rsidRDefault="002D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0" w:rsidRPr="00047254" w:rsidRDefault="00CC0180" w:rsidP="00047254">
    <w:pPr>
      <w:pStyle w:val="Header"/>
      <w:tabs>
        <w:tab w:val="clear" w:pos="4320"/>
        <w:tab w:val="clear" w:pos="8640"/>
        <w:tab w:val="center" w:pos="5016"/>
        <w:tab w:val="right" w:pos="9918"/>
      </w:tabs>
      <w:rPr>
        <w:rFonts w:ascii="Verdana" w:hAnsi="Verdana"/>
      </w:rPr>
    </w:pPr>
    <w:r w:rsidRPr="00047254">
      <w:rPr>
        <w:rFonts w:ascii="Verdana" w:hAnsi="Verdana"/>
      </w:rPr>
      <w:tab/>
    </w:r>
    <w:r w:rsidR="0028304A" w:rsidRPr="00047254">
      <w:rPr>
        <w:rStyle w:val="PageNumber"/>
        <w:rFonts w:ascii="Verdana" w:hAnsi="Verdana"/>
      </w:rPr>
      <w:fldChar w:fldCharType="begin"/>
    </w:r>
    <w:r w:rsidRPr="00047254">
      <w:rPr>
        <w:rStyle w:val="PageNumber"/>
        <w:rFonts w:ascii="Verdana" w:hAnsi="Verdana"/>
      </w:rPr>
      <w:instrText xml:space="preserve"> PAGE </w:instrText>
    </w:r>
    <w:r w:rsidR="0028304A" w:rsidRPr="00047254">
      <w:rPr>
        <w:rStyle w:val="PageNumber"/>
        <w:rFonts w:ascii="Verdana" w:hAnsi="Verdana"/>
      </w:rPr>
      <w:fldChar w:fldCharType="separate"/>
    </w:r>
    <w:r w:rsidR="003A5838">
      <w:rPr>
        <w:rStyle w:val="PageNumber"/>
        <w:rFonts w:ascii="Verdana" w:hAnsi="Verdana"/>
        <w:noProof/>
      </w:rPr>
      <w:t>5</w:t>
    </w:r>
    <w:r w:rsidR="0028304A" w:rsidRPr="00047254">
      <w:rPr>
        <w:rStyle w:val="PageNumber"/>
        <w:rFonts w:ascii="Verdana" w:hAnsi="Verdana"/>
      </w:rPr>
      <w:fldChar w:fldCharType="end"/>
    </w:r>
  </w:p>
  <w:p w:rsidR="00CC0180" w:rsidRDefault="00CC0180" w:rsidP="00047254">
    <w:pPr>
      <w:pStyle w:val="Header"/>
      <w:tabs>
        <w:tab w:val="clear" w:pos="8640"/>
        <w:tab w:val="right" w:pos="9918"/>
      </w:tabs>
      <w:rPr>
        <w:rFonts w:ascii="Verdana" w:hAnsi="Verdana"/>
      </w:rPr>
    </w:pPr>
    <w:r w:rsidRPr="00047254">
      <w:rPr>
        <w:rFonts w:ascii="Verdana" w:hAnsi="Verdana"/>
      </w:rPr>
      <w:t>Significant Changes</w:t>
    </w:r>
    <w:r w:rsidRPr="00047254">
      <w:rPr>
        <w:rFonts w:ascii="Verdana" w:hAnsi="Verdana"/>
      </w:rPr>
      <w:tab/>
    </w:r>
    <w:r w:rsidRPr="00047254">
      <w:rPr>
        <w:rFonts w:ascii="Verdana" w:hAnsi="Verdana"/>
      </w:rPr>
      <w:tab/>
      <w:t>20</w:t>
    </w:r>
    <w:r w:rsidR="004E4522">
      <w:rPr>
        <w:rFonts w:ascii="Verdana" w:hAnsi="Verdana"/>
      </w:rPr>
      <w:t>1</w:t>
    </w:r>
    <w:r w:rsidR="0084276A">
      <w:rPr>
        <w:rFonts w:ascii="Verdana" w:hAnsi="Verdana"/>
      </w:rPr>
      <w:t>1</w:t>
    </w:r>
    <w:r w:rsidRPr="00047254">
      <w:rPr>
        <w:rFonts w:ascii="Verdana" w:hAnsi="Verdana"/>
      </w:rPr>
      <w:t xml:space="preserve"> Standard Specifications</w:t>
    </w:r>
  </w:p>
  <w:p w:rsidR="00CC0180" w:rsidRPr="00047254" w:rsidRDefault="00CC0180" w:rsidP="00047254">
    <w:pPr>
      <w:pStyle w:val="Header"/>
      <w:tabs>
        <w:tab w:val="clear" w:pos="8640"/>
        <w:tab w:val="right" w:pos="9918"/>
      </w:tabs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7DC"/>
    <w:multiLevelType w:val="hybridMultilevel"/>
    <w:tmpl w:val="7FAEDD68"/>
    <w:lvl w:ilvl="0" w:tplc="8E889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1E"/>
    <w:rsid w:val="000246DF"/>
    <w:rsid w:val="000444B9"/>
    <w:rsid w:val="00047254"/>
    <w:rsid w:val="00051885"/>
    <w:rsid w:val="00080490"/>
    <w:rsid w:val="000A305E"/>
    <w:rsid w:val="000C44C5"/>
    <w:rsid w:val="000D70A6"/>
    <w:rsid w:val="000F0F87"/>
    <w:rsid w:val="000F5323"/>
    <w:rsid w:val="00135118"/>
    <w:rsid w:val="00156556"/>
    <w:rsid w:val="00161472"/>
    <w:rsid w:val="0017568B"/>
    <w:rsid w:val="001773CF"/>
    <w:rsid w:val="001D5CA3"/>
    <w:rsid w:val="001E705B"/>
    <w:rsid w:val="001F6252"/>
    <w:rsid w:val="0021602D"/>
    <w:rsid w:val="00230A85"/>
    <w:rsid w:val="00246AF7"/>
    <w:rsid w:val="0028304A"/>
    <w:rsid w:val="00295446"/>
    <w:rsid w:val="002B5C58"/>
    <w:rsid w:val="002D2A67"/>
    <w:rsid w:val="002E486C"/>
    <w:rsid w:val="003126D1"/>
    <w:rsid w:val="00344D98"/>
    <w:rsid w:val="00345515"/>
    <w:rsid w:val="00360181"/>
    <w:rsid w:val="0036362D"/>
    <w:rsid w:val="00382942"/>
    <w:rsid w:val="003A5838"/>
    <w:rsid w:val="003B54F9"/>
    <w:rsid w:val="003C043A"/>
    <w:rsid w:val="004023CE"/>
    <w:rsid w:val="00402C7B"/>
    <w:rsid w:val="004031A5"/>
    <w:rsid w:val="0043218E"/>
    <w:rsid w:val="00443998"/>
    <w:rsid w:val="00447850"/>
    <w:rsid w:val="00454DB1"/>
    <w:rsid w:val="004C6FCE"/>
    <w:rsid w:val="004E3B5C"/>
    <w:rsid w:val="004E4522"/>
    <w:rsid w:val="00511CBD"/>
    <w:rsid w:val="005337FB"/>
    <w:rsid w:val="005554CF"/>
    <w:rsid w:val="005578DF"/>
    <w:rsid w:val="005D7B1A"/>
    <w:rsid w:val="0060196E"/>
    <w:rsid w:val="0060572F"/>
    <w:rsid w:val="00632C13"/>
    <w:rsid w:val="0064091B"/>
    <w:rsid w:val="00642A98"/>
    <w:rsid w:val="0064781E"/>
    <w:rsid w:val="006632D0"/>
    <w:rsid w:val="00686DF7"/>
    <w:rsid w:val="006A0E17"/>
    <w:rsid w:val="006A6CAC"/>
    <w:rsid w:val="006C0B66"/>
    <w:rsid w:val="006D2EED"/>
    <w:rsid w:val="00702921"/>
    <w:rsid w:val="007034F6"/>
    <w:rsid w:val="00707E17"/>
    <w:rsid w:val="00711B53"/>
    <w:rsid w:val="007212B0"/>
    <w:rsid w:val="007437D8"/>
    <w:rsid w:val="00755826"/>
    <w:rsid w:val="00773062"/>
    <w:rsid w:val="00774F2C"/>
    <w:rsid w:val="007813F5"/>
    <w:rsid w:val="00784763"/>
    <w:rsid w:val="007913DD"/>
    <w:rsid w:val="00791E9D"/>
    <w:rsid w:val="0079410A"/>
    <w:rsid w:val="007A2921"/>
    <w:rsid w:val="007A5D00"/>
    <w:rsid w:val="007C0FE6"/>
    <w:rsid w:val="007F1004"/>
    <w:rsid w:val="007F448D"/>
    <w:rsid w:val="008207F9"/>
    <w:rsid w:val="0084276A"/>
    <w:rsid w:val="0084392C"/>
    <w:rsid w:val="00847970"/>
    <w:rsid w:val="00853CF7"/>
    <w:rsid w:val="008A60D5"/>
    <w:rsid w:val="008B790E"/>
    <w:rsid w:val="008C35CE"/>
    <w:rsid w:val="008E560E"/>
    <w:rsid w:val="00910708"/>
    <w:rsid w:val="009125EE"/>
    <w:rsid w:val="00912D12"/>
    <w:rsid w:val="00914309"/>
    <w:rsid w:val="00921F3D"/>
    <w:rsid w:val="0093506F"/>
    <w:rsid w:val="00942E93"/>
    <w:rsid w:val="009A1F19"/>
    <w:rsid w:val="009B0200"/>
    <w:rsid w:val="009C32D7"/>
    <w:rsid w:val="00A24CE2"/>
    <w:rsid w:val="00A705B9"/>
    <w:rsid w:val="00AA7B7E"/>
    <w:rsid w:val="00AD7779"/>
    <w:rsid w:val="00AF7710"/>
    <w:rsid w:val="00B1271E"/>
    <w:rsid w:val="00B40FE6"/>
    <w:rsid w:val="00B6476D"/>
    <w:rsid w:val="00B70FDD"/>
    <w:rsid w:val="00B765C0"/>
    <w:rsid w:val="00B805FC"/>
    <w:rsid w:val="00B87B64"/>
    <w:rsid w:val="00B93AA7"/>
    <w:rsid w:val="00BB62FE"/>
    <w:rsid w:val="00BD20E5"/>
    <w:rsid w:val="00BD704B"/>
    <w:rsid w:val="00C22305"/>
    <w:rsid w:val="00C72D75"/>
    <w:rsid w:val="00C838FE"/>
    <w:rsid w:val="00CC0180"/>
    <w:rsid w:val="00CC034E"/>
    <w:rsid w:val="00CC5043"/>
    <w:rsid w:val="00CC550B"/>
    <w:rsid w:val="00CD03A0"/>
    <w:rsid w:val="00CD189B"/>
    <w:rsid w:val="00CD640C"/>
    <w:rsid w:val="00CD646D"/>
    <w:rsid w:val="00D11F2D"/>
    <w:rsid w:val="00D34BAD"/>
    <w:rsid w:val="00D57FB0"/>
    <w:rsid w:val="00D77E62"/>
    <w:rsid w:val="00D83D7A"/>
    <w:rsid w:val="00D878F3"/>
    <w:rsid w:val="00DA3F34"/>
    <w:rsid w:val="00DB5E22"/>
    <w:rsid w:val="00DB71D3"/>
    <w:rsid w:val="00E13FF5"/>
    <w:rsid w:val="00E37EEB"/>
    <w:rsid w:val="00E56757"/>
    <w:rsid w:val="00EA3582"/>
    <w:rsid w:val="00EC179A"/>
    <w:rsid w:val="00EC2091"/>
    <w:rsid w:val="00ED63F5"/>
    <w:rsid w:val="00F15CDE"/>
    <w:rsid w:val="00F23062"/>
    <w:rsid w:val="00F269A4"/>
    <w:rsid w:val="00F40F0F"/>
    <w:rsid w:val="00F568AC"/>
    <w:rsid w:val="00F85A8A"/>
    <w:rsid w:val="00FA0E81"/>
    <w:rsid w:val="00FB3825"/>
    <w:rsid w:val="00FB4FC4"/>
    <w:rsid w:val="00FB527D"/>
    <w:rsid w:val="00FC07F7"/>
    <w:rsid w:val="00FC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7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7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6FCA-A376-43E2-B6FF-4B2E18F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coyv</dc:creator>
  <cp:lastModifiedBy>Mike Coy</cp:lastModifiedBy>
  <cp:revision>41</cp:revision>
  <cp:lastPrinted>2005-06-29T19:42:00Z</cp:lastPrinted>
  <dcterms:created xsi:type="dcterms:W3CDTF">2010-12-29T15:57:00Z</dcterms:created>
  <dcterms:modified xsi:type="dcterms:W3CDTF">2011-01-03T20:42:00Z</dcterms:modified>
</cp:coreProperties>
</file>