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bookmarkStart w:id="0" w:name="_GoBack"/>
      <w:bookmarkEnd w:id="0"/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4066944C" w14:textId="021B9341" w:rsidR="00E353CB" w:rsidRPr="0086424A" w:rsidRDefault="00EA3CE6" w:rsidP="00E353CB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A732A1">
        <w:rPr>
          <w:rFonts w:ascii="Trebuchet MS" w:eastAsia="Times New Roman" w:hAnsi="Trebuchet MS" w:cs="Arial"/>
          <w:sz w:val="22"/>
          <w:szCs w:val="22"/>
        </w:rPr>
        <w:t>November 10, 2016</w:t>
      </w:r>
    </w:p>
    <w:p w14:paraId="02158E92" w14:textId="049417ED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Larry Brinck,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5C8856C1" w14:textId="58A27602" w:rsidR="0024537E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7E6201">
        <w:rPr>
          <w:rFonts w:ascii="Trebuchet MS" w:eastAsia="Times New Roman" w:hAnsi="Trebuchet MS" w:cs="Arial"/>
          <w:sz w:val="22"/>
          <w:szCs w:val="22"/>
        </w:rPr>
        <w:t>Revision of Section 201, Clearing and Grubbing</w:t>
      </w:r>
    </w:p>
    <w:p w14:paraId="498F0AF7" w14:textId="5D112A95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a new standard special provision, </w:t>
      </w:r>
      <w:r w:rsidR="007E6201" w:rsidRPr="007E6201">
        <w:rPr>
          <w:color w:val="auto"/>
          <w:sz w:val="22"/>
          <w:szCs w:val="22"/>
        </w:rPr>
        <w:t>Revision of Section 201, Clearing and Grubbing</w:t>
      </w:r>
      <w:r w:rsidR="002D6B33">
        <w:rPr>
          <w:color w:val="auto"/>
          <w:sz w:val="22"/>
          <w:szCs w:val="22"/>
        </w:rPr>
        <w:t>.</w:t>
      </w:r>
      <w:r w:rsidRPr="002D6B33">
        <w:rPr>
          <w:color w:val="auto"/>
          <w:sz w:val="22"/>
          <w:szCs w:val="22"/>
        </w:rPr>
        <w:t xml:space="preserve">  This </w:t>
      </w:r>
      <w:r w:rsidR="007F483E">
        <w:rPr>
          <w:color w:val="auto"/>
          <w:sz w:val="22"/>
          <w:szCs w:val="22"/>
        </w:rPr>
        <w:t>new</w:t>
      </w:r>
      <w:r w:rsidRPr="002D6B33">
        <w:rPr>
          <w:color w:val="auto"/>
          <w:sz w:val="22"/>
          <w:szCs w:val="22"/>
        </w:rPr>
        <w:t xml:space="preserve"> </w:t>
      </w:r>
      <w:r w:rsidR="002D6B33">
        <w:rPr>
          <w:color w:val="auto"/>
          <w:sz w:val="22"/>
          <w:szCs w:val="22"/>
        </w:rPr>
        <w:t xml:space="preserve">standard special provision is </w:t>
      </w:r>
      <w:r w:rsidR="007E6201">
        <w:rPr>
          <w:color w:val="auto"/>
          <w:sz w:val="22"/>
          <w:szCs w:val="22"/>
        </w:rPr>
        <w:t>1</w:t>
      </w:r>
      <w:r w:rsidR="00645762">
        <w:rPr>
          <w:color w:val="auto"/>
          <w:sz w:val="22"/>
          <w:szCs w:val="22"/>
        </w:rPr>
        <w:t xml:space="preserve">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="007E6201">
        <w:rPr>
          <w:color w:val="auto"/>
          <w:sz w:val="22"/>
          <w:szCs w:val="22"/>
        </w:rPr>
        <w:t>page</w:t>
      </w:r>
      <w:r w:rsidRPr="002D6B33">
        <w:rPr>
          <w:color w:val="auto"/>
          <w:sz w:val="22"/>
          <w:szCs w:val="22"/>
        </w:rPr>
        <w:t xml:space="preserve"> long. </w:t>
      </w:r>
    </w:p>
    <w:p w14:paraId="6044A86E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E166AFF" w14:textId="6A0CF603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 xml:space="preserve">Use this </w:t>
      </w:r>
      <w:r w:rsidR="0079587B">
        <w:rPr>
          <w:color w:val="auto"/>
          <w:sz w:val="22"/>
          <w:szCs w:val="22"/>
        </w:rPr>
        <w:t>new</w:t>
      </w:r>
      <w:r w:rsidRPr="002D6B33">
        <w:rPr>
          <w:color w:val="auto"/>
          <w:sz w:val="22"/>
          <w:szCs w:val="22"/>
        </w:rPr>
        <w:t xml:space="preserve"> standard special provision in </w:t>
      </w:r>
      <w:r w:rsidR="007E6201">
        <w:rPr>
          <w:color w:val="auto"/>
          <w:sz w:val="22"/>
          <w:szCs w:val="22"/>
        </w:rPr>
        <w:t xml:space="preserve">projects having </w:t>
      </w:r>
      <w:r w:rsidR="00967BAC">
        <w:rPr>
          <w:color w:val="auto"/>
          <w:sz w:val="22"/>
          <w:szCs w:val="22"/>
        </w:rPr>
        <w:t>earthwork</w:t>
      </w:r>
      <w:r w:rsidR="002D6B33">
        <w:rPr>
          <w:color w:val="auto"/>
          <w:sz w:val="22"/>
          <w:szCs w:val="22"/>
        </w:rPr>
        <w:t xml:space="preserve">, </w:t>
      </w:r>
      <w:r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A732A1">
        <w:rPr>
          <w:color w:val="auto"/>
          <w:sz w:val="22"/>
          <w:szCs w:val="22"/>
        </w:rPr>
        <w:t>December 8, 2016</w:t>
      </w:r>
      <w:r w:rsidRPr="002D6B33">
        <w:rPr>
          <w:color w:val="auto"/>
          <w:sz w:val="22"/>
          <w:szCs w:val="22"/>
        </w:rPr>
        <w:t xml:space="preserve">.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123A6AA" w14:textId="68D0625B" w:rsidR="00EA3CE6" w:rsidRDefault="0086424A" w:rsidP="007E620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This new standard special provision </w:t>
      </w:r>
      <w:r w:rsidR="007E6201" w:rsidRPr="007E6201">
        <w:rPr>
          <w:rFonts w:ascii="Trebuchet MS" w:hAnsi="Trebuchet MS"/>
          <w:sz w:val="22"/>
          <w:szCs w:val="22"/>
        </w:rPr>
        <w:t>require</w:t>
      </w:r>
      <w:r w:rsidR="007E6201">
        <w:rPr>
          <w:rFonts w:ascii="Trebuchet MS" w:hAnsi="Trebuchet MS"/>
          <w:sz w:val="22"/>
          <w:szCs w:val="22"/>
        </w:rPr>
        <w:t>s</w:t>
      </w:r>
      <w:r w:rsidR="007E6201" w:rsidRPr="007E6201">
        <w:rPr>
          <w:rFonts w:ascii="Trebuchet MS" w:hAnsi="Trebuchet MS"/>
          <w:sz w:val="22"/>
          <w:szCs w:val="22"/>
        </w:rPr>
        <w:t xml:space="preserve"> clearing and grubbing and removal of organics beneath all embankment foundations regardless of height.</w:t>
      </w:r>
    </w:p>
    <w:p w14:paraId="13251786" w14:textId="77777777" w:rsidR="007E6201" w:rsidRPr="002D6B33" w:rsidRDefault="007E6201" w:rsidP="007E6201">
      <w:pPr>
        <w:rPr>
          <w:rFonts w:eastAsia="Times New Roman" w:cs="Arial"/>
          <w:sz w:val="22"/>
          <w:szCs w:val="22"/>
        </w:rPr>
      </w:pPr>
    </w:p>
    <w:p w14:paraId="50B7B6D0" w14:textId="41EED0E7" w:rsidR="00E34B89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86424A">
        <w:rPr>
          <w:rFonts w:ascii="Trebuchet MS" w:eastAsia="Times New Roman" w:hAnsi="Trebuchet MS" w:cs="Arial"/>
          <w:sz w:val="22"/>
          <w:szCs w:val="22"/>
        </w:rPr>
        <w:t>should add this new standard special provision to your file</w:t>
      </w:r>
      <w:r w:rsidRPr="002D6B33">
        <w:rPr>
          <w:rFonts w:ascii="Trebuchet MS" w:eastAsia="Times New Roman" w:hAnsi="Trebuchet MS" w:cs="Arial"/>
          <w:sz w:val="22"/>
          <w:szCs w:val="22"/>
        </w:rPr>
        <w:t>.  For your convenience, you can find this and others special provisions issued this date in one place at our Construction Specifications web page:</w:t>
      </w:r>
    </w:p>
    <w:p w14:paraId="64A9833C" w14:textId="1E9BD48F" w:rsidR="00FD5C37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FD5C37" w:rsidRPr="002D6B33">
          <w:rPr>
            <w:rStyle w:val="Hyperlink"/>
            <w:rFonts w:ascii="Trebuchet MS" w:eastAsia="Times New Roman" w:hAnsi="Trebuchet MS" w:cs="Arial"/>
            <w:color w:val="auto"/>
            <w:sz w:val="22"/>
            <w:szCs w:val="22"/>
          </w:rPr>
          <w:t>https://www.codot.gov/business/designsupport/construction-specifications/2011-Specs</w:t>
        </w:r>
      </w:hyperlink>
    </w:p>
    <w:p w14:paraId="480A0F7A" w14:textId="38BABFF6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Pr="002D6B33" w:rsidRDefault="00EA3CE6" w:rsidP="00FE454E">
      <w:pPr>
        <w:pStyle w:val="body"/>
        <w:ind w:right="0"/>
        <w:rPr>
          <w:noProof w:val="0"/>
          <w:color w:val="auto"/>
        </w:rPr>
      </w:pPr>
    </w:p>
    <w:p w14:paraId="5D3484FA" w14:textId="77777777" w:rsidR="00370CDA" w:rsidRPr="002D6B33" w:rsidRDefault="00370CDA" w:rsidP="00FE454E">
      <w:pPr>
        <w:pStyle w:val="body"/>
        <w:ind w:right="0"/>
        <w:rPr>
          <w:color w:val="auto"/>
          <w:sz w:val="22"/>
          <w:szCs w:val="22"/>
        </w:rPr>
      </w:pPr>
    </w:p>
    <w:sectPr w:rsidR="00370CDA" w:rsidRPr="002D6B3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303E4" w14:textId="77777777" w:rsidR="004873D8" w:rsidRDefault="004873D8" w:rsidP="00370CDA">
      <w:r>
        <w:separator/>
      </w:r>
    </w:p>
  </w:endnote>
  <w:endnote w:type="continuationSeparator" w:id="0">
    <w:p w14:paraId="395475BA" w14:textId="77777777" w:rsidR="004873D8" w:rsidRDefault="004873D8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49996" w14:textId="77777777" w:rsidR="004873D8" w:rsidRDefault="004873D8" w:rsidP="00370CDA">
      <w:r>
        <w:separator/>
      </w:r>
    </w:p>
  </w:footnote>
  <w:footnote w:type="continuationSeparator" w:id="0">
    <w:p w14:paraId="460B9A47" w14:textId="77777777" w:rsidR="004873D8" w:rsidRDefault="004873D8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623E"/>
    <w:rsid w:val="001D021E"/>
    <w:rsid w:val="001D2E80"/>
    <w:rsid w:val="0024537E"/>
    <w:rsid w:val="00283E9E"/>
    <w:rsid w:val="0028669C"/>
    <w:rsid w:val="002C1694"/>
    <w:rsid w:val="002D6B33"/>
    <w:rsid w:val="0036022C"/>
    <w:rsid w:val="00370CDA"/>
    <w:rsid w:val="0043210A"/>
    <w:rsid w:val="0045551E"/>
    <w:rsid w:val="004569A4"/>
    <w:rsid w:val="004646B6"/>
    <w:rsid w:val="004744F3"/>
    <w:rsid w:val="00475C8F"/>
    <w:rsid w:val="00483573"/>
    <w:rsid w:val="004873D8"/>
    <w:rsid w:val="004F0C17"/>
    <w:rsid w:val="00532AC2"/>
    <w:rsid w:val="00533949"/>
    <w:rsid w:val="0056366C"/>
    <w:rsid w:val="0058513F"/>
    <w:rsid w:val="00645762"/>
    <w:rsid w:val="00700833"/>
    <w:rsid w:val="00733213"/>
    <w:rsid w:val="00766707"/>
    <w:rsid w:val="007877FC"/>
    <w:rsid w:val="007918A9"/>
    <w:rsid w:val="0079587B"/>
    <w:rsid w:val="007E6201"/>
    <w:rsid w:val="007F483E"/>
    <w:rsid w:val="00800B86"/>
    <w:rsid w:val="008039A8"/>
    <w:rsid w:val="0086424A"/>
    <w:rsid w:val="008B34A9"/>
    <w:rsid w:val="0093767A"/>
    <w:rsid w:val="0096175F"/>
    <w:rsid w:val="00967BAC"/>
    <w:rsid w:val="009B7DA8"/>
    <w:rsid w:val="009C1544"/>
    <w:rsid w:val="009F63B1"/>
    <w:rsid w:val="00A415DE"/>
    <w:rsid w:val="00A732A1"/>
    <w:rsid w:val="00AC7971"/>
    <w:rsid w:val="00B101C3"/>
    <w:rsid w:val="00B340AC"/>
    <w:rsid w:val="00BB4F18"/>
    <w:rsid w:val="00BB5A81"/>
    <w:rsid w:val="00BD60DA"/>
    <w:rsid w:val="00BF0EE0"/>
    <w:rsid w:val="00C71BE4"/>
    <w:rsid w:val="00C925E7"/>
    <w:rsid w:val="00CA6E16"/>
    <w:rsid w:val="00D10630"/>
    <w:rsid w:val="00D33DC1"/>
    <w:rsid w:val="00D408A1"/>
    <w:rsid w:val="00D55128"/>
    <w:rsid w:val="00D773E4"/>
    <w:rsid w:val="00DC62AA"/>
    <w:rsid w:val="00E34B89"/>
    <w:rsid w:val="00E353CB"/>
    <w:rsid w:val="00E77696"/>
    <w:rsid w:val="00EA3CE6"/>
    <w:rsid w:val="00EB6486"/>
    <w:rsid w:val="00EE0CC0"/>
    <w:rsid w:val="00EE405D"/>
    <w:rsid w:val="00EE476A"/>
    <w:rsid w:val="00EF64A8"/>
    <w:rsid w:val="00F4270C"/>
    <w:rsid w:val="00F741A4"/>
    <w:rsid w:val="00F940F3"/>
    <w:rsid w:val="00FA5C39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2</cp:revision>
  <cp:lastPrinted>2014-02-24T20:31:00Z</cp:lastPrinted>
  <dcterms:created xsi:type="dcterms:W3CDTF">2016-11-04T20:37:00Z</dcterms:created>
  <dcterms:modified xsi:type="dcterms:W3CDTF">2016-11-04T20:37:00Z</dcterms:modified>
</cp:coreProperties>
</file>