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28" w:rsidRPr="00E50A15" w:rsidRDefault="00743F28">
      <w:pPr>
        <w:rPr>
          <w:sz w:val="20"/>
          <w:szCs w:val="20"/>
        </w:rPr>
      </w:pPr>
    </w:p>
    <w:p w:rsidR="00A762A6" w:rsidRDefault="00A762A6"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rsidR="00A762A6" w:rsidRDefault="00A32652"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r>
        <w:rPr>
          <w:rFonts w:cs="Arial"/>
          <w:sz w:val="28"/>
          <w:szCs w:val="28"/>
        </w:rPr>
        <w:t>October 31, 2013</w:t>
      </w:r>
    </w:p>
    <w:p w:rsidR="00A32652" w:rsidRDefault="00A32652"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r w:rsidRPr="00BE3CAD">
        <w:rPr>
          <w:rFonts w:cs="Arial"/>
          <w:sz w:val="28"/>
          <w:szCs w:val="28"/>
        </w:rPr>
        <w:t>REQUIRED CONTRACT PROVISIONS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cs="Arial"/>
          <w:sz w:val="28"/>
          <w:szCs w:val="28"/>
        </w:rPr>
        <w:t>FEDERAL-AID CONSTRUCTION CONTRACTS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b/>
          <w:bCs/>
          <w:sz w:val="40"/>
          <w:szCs w:val="40"/>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w:t>
      </w:r>
      <w:proofErr w:type="spellStart"/>
      <w:r w:rsidRPr="00BE3CAD">
        <w:rPr>
          <w:rFonts w:ascii="Times New Roman" w:hAnsi="Times New Roman"/>
          <w:sz w:val="28"/>
          <w:szCs w:val="28"/>
        </w:rPr>
        <w:t>CDOT’s</w:t>
      </w:r>
      <w:proofErr w:type="spellEnd"/>
      <w:r w:rsidRPr="00BE3CAD">
        <w:rPr>
          <w:rFonts w:ascii="Times New Roman" w:hAnsi="Times New Roman"/>
          <w:sz w:val="28"/>
          <w:szCs w:val="28"/>
        </w:rPr>
        <w:t xml:space="preserv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It has gone through a formal review and approval process and has been issued by </w:t>
      </w:r>
      <w:proofErr w:type="spellStart"/>
      <w:r w:rsidRPr="00BE3CAD">
        <w:rPr>
          <w:rFonts w:ascii="Times New Roman" w:hAnsi="Times New Roman"/>
          <w:sz w:val="28"/>
          <w:szCs w:val="28"/>
        </w:rPr>
        <w:t>CDOT’s</w:t>
      </w:r>
      <w:proofErr w:type="spellEnd"/>
      <w:r w:rsidRPr="00BE3CAD">
        <w:rPr>
          <w:rFonts w:ascii="Times New Roman" w:hAnsi="Times New Roman"/>
          <w:sz w:val="28"/>
          <w:szCs w:val="28"/>
        </w:rPr>
        <w:t xml:space="preserve"> Project Development Branch with formal instructions for its use on </w:t>
      </w:r>
      <w:proofErr w:type="spellStart"/>
      <w:r w:rsidRPr="00BE3CAD">
        <w:rPr>
          <w:rFonts w:ascii="Times New Roman" w:hAnsi="Times New Roman"/>
          <w:sz w:val="28"/>
          <w:szCs w:val="28"/>
        </w:rPr>
        <w:t>CDOT</w:t>
      </w:r>
      <w:proofErr w:type="spellEnd"/>
      <w:r w:rsidRPr="00BE3CAD">
        <w:rPr>
          <w:rFonts w:ascii="Times New Roman" w:hAnsi="Times New Roman"/>
          <w:sz w:val="28"/>
          <w:szCs w:val="28"/>
        </w:rPr>
        <w:t xml:space="preserve"> construction projects.  It is to be used as written without change.  Do not use modified versions of this special provision on </w:t>
      </w:r>
      <w:proofErr w:type="spellStart"/>
      <w:r w:rsidRPr="00BE3CAD">
        <w:rPr>
          <w:rFonts w:ascii="Times New Roman" w:hAnsi="Times New Roman"/>
          <w:sz w:val="28"/>
          <w:szCs w:val="28"/>
        </w:rPr>
        <w:t>CDOT</w:t>
      </w:r>
      <w:proofErr w:type="spellEnd"/>
      <w:r w:rsidRPr="00BE3CAD">
        <w:rPr>
          <w:rFonts w:ascii="Times New Roman" w:hAnsi="Times New Roman"/>
          <w:sz w:val="28"/>
          <w:szCs w:val="28"/>
        </w:rPr>
        <w:t xml:space="preserve"> construction projects, and do not use this special provision on </w:t>
      </w:r>
      <w:proofErr w:type="spellStart"/>
      <w:r w:rsidRPr="00BE3CAD">
        <w:rPr>
          <w:rFonts w:ascii="Times New Roman" w:hAnsi="Times New Roman"/>
          <w:sz w:val="28"/>
          <w:szCs w:val="28"/>
        </w:rPr>
        <w:t>CDOT</w:t>
      </w:r>
      <w:proofErr w:type="spellEnd"/>
      <w:r w:rsidRPr="00BE3CAD">
        <w:rPr>
          <w:rFonts w:ascii="Times New Roman" w:hAnsi="Times New Roman"/>
          <w:sz w:val="28"/>
          <w:szCs w:val="28"/>
        </w:rPr>
        <w:t xml:space="preserve"> projects in a manner other than that specified in the instructions unless such use is first approved by the Standards and Specifications Unit of the Project Development Branch.  The instructions for use on </w:t>
      </w:r>
      <w:proofErr w:type="spellStart"/>
      <w:r w:rsidRPr="00BE3CAD">
        <w:rPr>
          <w:rFonts w:ascii="Times New Roman" w:hAnsi="Times New Roman"/>
          <w:sz w:val="28"/>
          <w:szCs w:val="28"/>
        </w:rPr>
        <w:t>CDOT</w:t>
      </w:r>
      <w:proofErr w:type="spellEnd"/>
      <w:r w:rsidRPr="00BE3CAD">
        <w:rPr>
          <w:rFonts w:ascii="Times New Roman" w:hAnsi="Times New Roman"/>
          <w:sz w:val="28"/>
          <w:szCs w:val="28"/>
        </w:rPr>
        <w:t xml:space="preserve">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cs="Arial"/>
          <w:b/>
          <w:bCs/>
          <w:sz w:val="28"/>
          <w:szCs w:val="28"/>
        </w:rPr>
        <w:t xml:space="preserve">Instructions for use on </w:t>
      </w:r>
      <w:proofErr w:type="spellStart"/>
      <w:r w:rsidRPr="00BE3CAD">
        <w:rPr>
          <w:rFonts w:cs="Arial"/>
          <w:b/>
          <w:bCs/>
          <w:sz w:val="28"/>
          <w:szCs w:val="28"/>
        </w:rPr>
        <w:t>CDOT</w:t>
      </w:r>
      <w:proofErr w:type="spellEnd"/>
      <w:r w:rsidRPr="00BE3CAD">
        <w:rPr>
          <w:rFonts w:cs="Arial"/>
          <w:b/>
          <w:bCs/>
          <w:sz w:val="28"/>
          <w:szCs w:val="28"/>
        </w:rPr>
        <w:t xml:space="preserve"> construction projects:</w:t>
      </w:r>
      <w:r w:rsidRPr="00BE3CAD">
        <w:rPr>
          <w:rFonts w:cs="Arial"/>
          <w:sz w:val="28"/>
          <w:szCs w:val="28"/>
        </w:rPr>
        <w:t xml:space="preserve">  </w:t>
      </w:r>
    </w:p>
    <w:p w:rsidR="009926D7" w:rsidRDefault="00A762A6" w:rsidP="00127E7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cs="Arial"/>
          <w:sz w:val="16"/>
        </w:rPr>
      </w:pPr>
      <w:r>
        <w:rPr>
          <w:rFonts w:ascii="Times New Roman" w:hAnsi="Times New Roman"/>
          <w:sz w:val="28"/>
          <w:szCs w:val="28"/>
        </w:rPr>
        <w:br/>
      </w:r>
      <w:r w:rsidR="00127E78" w:rsidRPr="00127E78">
        <w:rPr>
          <w:rFonts w:ascii="Times New Roman" w:hAnsi="Times New Roman"/>
          <w:sz w:val="28"/>
          <w:szCs w:val="28"/>
        </w:rPr>
        <w:t xml:space="preserve">Use on all Federal-Aid Projects advertised before January 1, 2017. Do not use if project is approved for using </w:t>
      </w:r>
      <w:proofErr w:type="spellStart"/>
      <w:r w:rsidR="00127E78" w:rsidRPr="00127E78">
        <w:rPr>
          <w:rFonts w:ascii="Times New Roman" w:hAnsi="Times New Roman"/>
          <w:sz w:val="28"/>
          <w:szCs w:val="28"/>
        </w:rPr>
        <w:t>LCPTracker</w:t>
      </w:r>
      <w:proofErr w:type="spellEnd"/>
      <w:r w:rsidR="00127E78" w:rsidRPr="00127E78">
        <w:rPr>
          <w:rFonts w:ascii="Times New Roman" w:hAnsi="Times New Roman"/>
          <w:sz w:val="28"/>
          <w:szCs w:val="28"/>
        </w:rPr>
        <w:t xml:space="preserve"> and the Required Contract Provisions, Federal-Aid Construction Contracts</w:t>
      </w:r>
      <w:r w:rsidR="00127E78">
        <w:rPr>
          <w:rFonts w:ascii="Times New Roman" w:hAnsi="Times New Roman"/>
          <w:sz w:val="28"/>
          <w:szCs w:val="28"/>
        </w:rPr>
        <w:t xml:space="preserve"> </w:t>
      </w:r>
      <w:r w:rsidR="00CF1FE2" w:rsidRPr="00CF1FE2">
        <w:rPr>
          <w:rFonts w:ascii="Times New Roman" w:hAnsi="Times New Roman"/>
          <w:sz w:val="28"/>
          <w:szCs w:val="28"/>
        </w:rPr>
        <w:t>standard special provision</w:t>
      </w:r>
      <w:bookmarkStart w:id="0" w:name="_GoBack"/>
      <w:bookmarkEnd w:id="0"/>
      <w:r w:rsidR="00127E78">
        <w:rPr>
          <w:rFonts w:ascii="Times New Roman" w:hAnsi="Times New Roman"/>
          <w:sz w:val="28"/>
          <w:szCs w:val="28"/>
        </w:rPr>
        <w:t>, dated October 20, 2016</w:t>
      </w:r>
      <w:r w:rsidR="00127E78" w:rsidRPr="00127E78">
        <w:rPr>
          <w:rFonts w:ascii="Times New Roman" w:hAnsi="Times New Roman"/>
          <w:sz w:val="28"/>
          <w:szCs w:val="28"/>
        </w:rPr>
        <w:t xml:space="preserve"> is being used.</w:t>
      </w:r>
      <w:r w:rsidR="009926D7">
        <w:rPr>
          <w:rFonts w:cs="Arial"/>
          <w:sz w:val="16"/>
        </w:rPr>
        <w:br w:type="page"/>
      </w:r>
    </w:p>
    <w:p w:rsidR="00BE3CAD" w:rsidRPr="00BE3CAD" w:rsidRDefault="00BE3CAD" w:rsidP="00BE3CAD">
      <w:pPr>
        <w:rPr>
          <w:rFonts w:cs="Arial"/>
          <w:sz w:val="16"/>
        </w:rPr>
      </w:pPr>
    </w:p>
    <w:p w:rsidR="00BE3CAD" w:rsidRPr="00BE3CAD" w:rsidRDefault="00BE3CAD" w:rsidP="00BE3CAD">
      <w:pPr>
        <w:rPr>
          <w:rFonts w:cs="Arial"/>
          <w:sz w:val="20"/>
          <w:szCs w:val="20"/>
        </w:rPr>
      </w:pPr>
      <w:r w:rsidRPr="00BE3CAD">
        <w:rPr>
          <w:rFonts w:cs="Arial"/>
          <w:sz w:val="20"/>
          <w:szCs w:val="20"/>
        </w:rPr>
        <w:t xml:space="preserve">Attached is Form </w:t>
      </w:r>
      <w:proofErr w:type="spellStart"/>
      <w:r w:rsidRPr="00BE3CAD">
        <w:rPr>
          <w:rFonts w:cs="Arial"/>
          <w:sz w:val="20"/>
          <w:szCs w:val="20"/>
        </w:rPr>
        <w:t>FHWA</w:t>
      </w:r>
      <w:proofErr w:type="spellEnd"/>
      <w:r w:rsidRPr="00BE3CAD">
        <w:rPr>
          <w:rFonts w:cs="Arial"/>
          <w:sz w:val="20"/>
          <w:szCs w:val="20"/>
        </w:rPr>
        <w:t xml:space="preserve"> 1273 titled </w:t>
      </w:r>
      <w:r w:rsidRPr="008202C3">
        <w:rPr>
          <w:rFonts w:cs="Arial"/>
          <w:i/>
          <w:sz w:val="20"/>
          <w:szCs w:val="20"/>
        </w:rPr>
        <w:t>Required Contract Provisions Federal-Aid Construction Contracts</w:t>
      </w:r>
      <w:r w:rsidRPr="00BE3CAD">
        <w:rPr>
          <w:rFonts w:cs="Arial"/>
          <w:sz w:val="20"/>
          <w:szCs w:val="20"/>
        </w:rPr>
        <w:t xml:space="preserve">.  As described in Section I. General, the provisions of Form </w:t>
      </w:r>
      <w:proofErr w:type="spellStart"/>
      <w:r w:rsidRPr="00BE3CAD">
        <w:rPr>
          <w:rFonts w:cs="Arial"/>
          <w:sz w:val="20"/>
          <w:szCs w:val="20"/>
        </w:rPr>
        <w:t>FHWA</w:t>
      </w:r>
      <w:proofErr w:type="spellEnd"/>
      <w:r w:rsidRPr="00BE3CAD">
        <w:rPr>
          <w:rFonts w:cs="Arial"/>
          <w:sz w:val="20"/>
          <w:szCs w:val="20"/>
        </w:rPr>
        <w:t xml:space="preserve"> 1273 apply to all work performed under the Contract and are to be included in all subcontracts with the following modification:</w:t>
      </w:r>
    </w:p>
    <w:p w:rsidR="00BE3CAD" w:rsidRPr="00BE3CAD" w:rsidRDefault="00BE3CAD" w:rsidP="00BE3CAD">
      <w:pPr>
        <w:rPr>
          <w:rFonts w:cs="Arial"/>
          <w:sz w:val="20"/>
          <w:szCs w:val="20"/>
        </w:rPr>
      </w:pPr>
    </w:p>
    <w:p w:rsidR="00037A26" w:rsidRPr="00A32652" w:rsidRDefault="00A32652" w:rsidP="00BE3CAD">
      <w:pPr>
        <w:rPr>
          <w:rFonts w:cs="Arial"/>
          <w:sz w:val="20"/>
          <w:szCs w:val="20"/>
        </w:rPr>
      </w:pPr>
      <w:r w:rsidRPr="00A32652">
        <w:rPr>
          <w:rFonts w:cs="Arial"/>
          <w:sz w:val="20"/>
          <w:szCs w:val="20"/>
        </w:rPr>
        <w:t xml:space="preserve">For TAP (Transportation Alternatives Program) funded </w:t>
      </w:r>
      <w:proofErr w:type="gramStart"/>
      <w:r w:rsidRPr="00A32652">
        <w:rPr>
          <w:rFonts w:cs="Arial"/>
          <w:sz w:val="20"/>
          <w:szCs w:val="20"/>
        </w:rPr>
        <w:t>Recreational Trails</w:t>
      </w:r>
      <w:proofErr w:type="gramEnd"/>
      <w:r w:rsidRPr="00A32652">
        <w:rPr>
          <w:rFonts w:cs="Arial"/>
          <w:sz w:val="20"/>
          <w:szCs w:val="20"/>
        </w:rPr>
        <w:t xml:space="preserve"> projects, Section I (4) regarding convict labor and all of Section IV of the </w:t>
      </w:r>
      <w:proofErr w:type="spellStart"/>
      <w:r w:rsidRPr="00A32652">
        <w:rPr>
          <w:rFonts w:cs="Arial"/>
          <w:sz w:val="20"/>
          <w:szCs w:val="20"/>
        </w:rPr>
        <w:t>FHWA</w:t>
      </w:r>
      <w:proofErr w:type="spellEnd"/>
      <w:r w:rsidRPr="00A32652">
        <w:rPr>
          <w:rFonts w:cs="Arial"/>
          <w:sz w:val="20"/>
          <w:szCs w:val="20"/>
        </w:rPr>
        <w:t xml:space="preserve"> 1273 do not apply.</w:t>
      </w:r>
      <w:r w:rsidR="00037A26" w:rsidRPr="00A32652">
        <w:rPr>
          <w:rFonts w:cs="Arial"/>
          <w:sz w:val="20"/>
          <w:szCs w:val="20"/>
        </w:rPr>
        <w:br w:type="page"/>
      </w:r>
    </w:p>
    <w:p w:rsidR="003959B4" w:rsidRDefault="003959B4" w:rsidP="0012311C">
      <w:pPr>
        <w:jc w:val="right"/>
        <w:rPr>
          <w:rFonts w:cs="Arial"/>
          <w:sz w:val="16"/>
        </w:rPr>
      </w:pPr>
      <w:proofErr w:type="spellStart"/>
      <w:r>
        <w:rPr>
          <w:rFonts w:cs="Arial"/>
          <w:sz w:val="16"/>
        </w:rPr>
        <w:lastRenderedPageBreak/>
        <w:t>FHWA</w:t>
      </w:r>
      <w:proofErr w:type="spellEnd"/>
      <w:r>
        <w:rPr>
          <w:rFonts w:cs="Arial"/>
          <w:sz w:val="16"/>
        </w:rPr>
        <w:t xml:space="preserve">-1273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9926D7">
          <w:headerReference w:type="default" r:id="rId7"/>
          <w:footerReference w:type="even" r:id="rId8"/>
          <w:headerReference w:type="first" r:id="rId9"/>
          <w:pgSz w:w="12240" w:h="15840" w:code="1"/>
          <w:pgMar w:top="720" w:right="1080" w:bottom="720" w:left="1080" w:header="0" w:footer="0" w:gutter="0"/>
          <w:pgNumType w:start="0"/>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proofErr w:type="spellStart"/>
      <w:r>
        <w:rPr>
          <w:rFonts w:cs="Arial"/>
          <w:sz w:val="16"/>
        </w:rPr>
        <w:t>Nonsegregated</w:t>
      </w:r>
      <w:proofErr w:type="spellEnd"/>
      <w:r>
        <w:rPr>
          <w:rFonts w:cs="Arial"/>
          <w:sz w:val="16"/>
        </w:rPr>
        <w:t xml:space="preserve">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 xml:space="preserve">Compliance with </w:t>
      </w:r>
      <w:proofErr w:type="spellStart"/>
      <w:r w:rsidR="00C84B0C">
        <w:rPr>
          <w:rFonts w:cs="Arial"/>
          <w:sz w:val="16"/>
        </w:rPr>
        <w:t>Governmentwide</w:t>
      </w:r>
      <w:proofErr w:type="spellEnd"/>
      <w:r w:rsidR="00C84B0C">
        <w:rPr>
          <w:rFonts w:cs="Arial"/>
          <w:sz w:val="16"/>
        </w:rPr>
        <w:t xml:space="preserv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w:t>
      </w:r>
      <w:proofErr w:type="spellStart"/>
      <w:r w:rsidR="00E81E8A">
        <w:rPr>
          <w:rFonts w:cs="Arial"/>
          <w:sz w:val="16"/>
        </w:rPr>
        <w:t>FHWA</w:t>
      </w:r>
      <w:proofErr w:type="spellEnd"/>
      <w:r w:rsidR="00E81E8A">
        <w:rPr>
          <w:rFonts w:cs="Arial"/>
          <w:sz w:val="16"/>
        </w:rPr>
        <w:t xml:space="preserve">-1273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w:t>
      </w:r>
      <w:proofErr w:type="spellStart"/>
      <w:r>
        <w:rPr>
          <w:rFonts w:cs="Arial"/>
          <w:sz w:val="16"/>
        </w:rPr>
        <w:t>FHWA</w:t>
      </w:r>
      <w:proofErr w:type="spellEnd"/>
      <w:r>
        <w:rPr>
          <w:rFonts w:cs="Arial"/>
          <w:sz w:val="16"/>
        </w:rPr>
        <w:t xml:space="preserve">-1273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w:t>
      </w:r>
      <w:proofErr w:type="spellStart"/>
      <w:r w:rsidRPr="00E745C4">
        <w:rPr>
          <w:rFonts w:cs="Arial"/>
          <w:sz w:val="16"/>
        </w:rPr>
        <w:t>FHWA</w:t>
      </w:r>
      <w:proofErr w:type="spellEnd"/>
      <w:r w:rsidRPr="00E745C4">
        <w:rPr>
          <w:rFonts w:cs="Arial"/>
          <w:sz w:val="16"/>
        </w:rPr>
        <w:t xml:space="preserve">-1273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 xml:space="preserve">Contracting agencies may reference Form </w:t>
      </w:r>
      <w:proofErr w:type="spellStart"/>
      <w:r>
        <w:rPr>
          <w:rFonts w:cs="Arial"/>
          <w:sz w:val="16"/>
        </w:rPr>
        <w:t>FHWA</w:t>
      </w:r>
      <w:proofErr w:type="spellEnd"/>
      <w:r>
        <w:rPr>
          <w:rFonts w:cs="Arial"/>
          <w:sz w:val="16"/>
        </w:rPr>
        <w:t xml:space="preserve">-1273 in bid proposal or request for proposal documents, however, the Form </w:t>
      </w:r>
      <w:proofErr w:type="spellStart"/>
      <w:r>
        <w:rPr>
          <w:rFonts w:cs="Arial"/>
          <w:sz w:val="16"/>
        </w:rPr>
        <w:t>FHWA</w:t>
      </w:r>
      <w:proofErr w:type="spellEnd"/>
      <w:r>
        <w:rPr>
          <w:rFonts w:cs="Arial"/>
          <w:sz w:val="16"/>
        </w:rPr>
        <w:t>-1273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and with the assistance of workers under the contractor's </w:t>
      </w:r>
      <w:r w:rsidR="003959B4">
        <w:rPr>
          <w:rFonts w:cs="Arial"/>
          <w:sz w:val="16"/>
        </w:rPr>
        <w:t>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 xml:space="preserve">by the contracting agency and </w:t>
      </w:r>
      <w:proofErr w:type="spellStart"/>
      <w:r w:rsidR="002323A8">
        <w:rPr>
          <w:rFonts w:cs="Arial"/>
          <w:sz w:val="16"/>
        </w:rPr>
        <w:t>FHWA</w:t>
      </w:r>
      <w:proofErr w:type="spellEnd"/>
      <w:r w:rsidR="002323A8">
        <w:rPr>
          <w:rFonts w:cs="Arial"/>
          <w:sz w:val="16"/>
        </w:rPr>
        <w:t>.</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The provisions of 23 CFR Part 230 are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 xml:space="preserve">Note: The U.S. Department of Labor has exclusive authority to determine compliance with Executive Order 11246 and the policies of the Secretary of Labor including 41 CFR 60, and 29 CFR 1625-1627.  The contracting agency and the </w:t>
      </w:r>
      <w:proofErr w:type="spellStart"/>
      <w:r>
        <w:rPr>
          <w:rFonts w:cs="Arial"/>
          <w:sz w:val="16"/>
        </w:rPr>
        <w:t>FHWA</w:t>
      </w:r>
      <w:proofErr w:type="spellEnd"/>
      <w:r>
        <w:rPr>
          <w:rFonts w:cs="Arial"/>
          <w:sz w:val="16"/>
        </w:rPr>
        <w:t xml:space="preserve">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w:t>
      </w:r>
      <w:proofErr w:type="spellStart"/>
      <w:r>
        <w:rPr>
          <w:rFonts w:cs="Arial"/>
          <w:sz w:val="16"/>
        </w:rPr>
        <w:t>DOL</w:t>
      </w:r>
      <w:proofErr w:type="spellEnd"/>
      <w:r>
        <w:rPr>
          <w:rFonts w:cs="Arial"/>
          <w:sz w:val="16"/>
        </w:rPr>
        <w:t xml:space="preserve">) and </w:t>
      </w:r>
      <w:proofErr w:type="spellStart"/>
      <w:r>
        <w:rPr>
          <w:rFonts w:cs="Arial"/>
          <w:sz w:val="16"/>
        </w:rPr>
        <w:t>FHWA</w:t>
      </w:r>
      <w:proofErr w:type="spellEnd"/>
      <w:r>
        <w:rPr>
          <w:rFonts w:cs="Arial"/>
          <w:sz w:val="16"/>
        </w:rPr>
        <w:t xml:space="preserve">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Equal employment opportunity (</w:t>
      </w:r>
      <w:proofErr w:type="spellStart"/>
      <w:r>
        <w:rPr>
          <w:rFonts w:cs="Arial"/>
          <w:sz w:val="16"/>
        </w:rPr>
        <w:t>EEO</w:t>
      </w:r>
      <w:proofErr w:type="spellEnd"/>
      <w:r>
        <w:rPr>
          <w:rFonts w:cs="Arial"/>
          <w:sz w:val="16"/>
        </w:rPr>
        <w:t xml:space="preserve">) requirements not to discriminate and to take affirmative action to assure equal opportunity as set forth under laws, executive orders, rules, regulations (28 CFR 35, 29 CFR 1630, 29 CFR 1625-1627, 41 CFR 60 and 49 CFR 27) and orders of the Secretary of Labor as modified by the </w:t>
      </w:r>
      <w:r>
        <w:rPr>
          <w:rFonts w:cs="Arial"/>
          <w:sz w:val="16"/>
        </w:rPr>
        <w:lastRenderedPageBreak/>
        <w:t xml:space="preserve">provisions prescribed herein, and imposed pursuant to 23 </w:t>
      </w:r>
      <w:proofErr w:type="spellStart"/>
      <w:r>
        <w:rPr>
          <w:rFonts w:cs="Arial"/>
          <w:sz w:val="16"/>
        </w:rPr>
        <w:t>U.S.C</w:t>
      </w:r>
      <w:proofErr w:type="spellEnd"/>
      <w:r>
        <w:rPr>
          <w:rFonts w:cs="Arial"/>
          <w:sz w:val="16"/>
        </w:rPr>
        <w:t xml:space="preserve">. 140 shall constitute the </w:t>
      </w:r>
      <w:proofErr w:type="spellStart"/>
      <w:r>
        <w:rPr>
          <w:rFonts w:cs="Arial"/>
          <w:sz w:val="16"/>
        </w:rPr>
        <w:t>EEO</w:t>
      </w:r>
      <w:proofErr w:type="spellEnd"/>
      <w:r>
        <w:rPr>
          <w:rFonts w:cs="Arial"/>
          <w:sz w:val="16"/>
        </w:rPr>
        <w:t xml:space="preserve"> and specific affirmative action standards for the contractor's project activities under this contract.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w:t>
      </w:r>
      <w:proofErr w:type="spellStart"/>
      <w:r>
        <w:rPr>
          <w:rFonts w:cs="Arial"/>
          <w:sz w:val="16"/>
        </w:rPr>
        <w:t>U.S.C</w:t>
      </w:r>
      <w:proofErr w:type="spellEnd"/>
      <w:r>
        <w:rPr>
          <w:rFonts w:cs="Arial"/>
          <w:sz w:val="16"/>
        </w:rPr>
        <w:t xml:space="preserve">. 12101 et seq.) set forth under 28 CFR 35 and 29 CFR 1630 are incorporated by reference in this contract. In the execution of this contract, the contractor agrees to comply with the following minimum specific requirement activities of </w:t>
      </w:r>
      <w:proofErr w:type="spellStart"/>
      <w:r>
        <w:rPr>
          <w:rFonts w:cs="Arial"/>
          <w:sz w:val="16"/>
        </w:rPr>
        <w:t>EEO</w:t>
      </w:r>
      <w:proofErr w:type="spellEnd"/>
      <w:r>
        <w:rPr>
          <w:rFonts w:cs="Arial"/>
          <w:sz w:val="16"/>
        </w:rPr>
        <w:t>:</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proofErr w:type="spellStart"/>
      <w:r w:rsidR="003959B4" w:rsidRPr="009B7AB7">
        <w:rPr>
          <w:rFonts w:cs="Arial"/>
          <w:b/>
          <w:bCs/>
          <w:sz w:val="16"/>
        </w:rPr>
        <w:t>EEO</w:t>
      </w:r>
      <w:proofErr w:type="spellEnd"/>
      <w:r w:rsidR="003959B4" w:rsidRPr="009B7AB7">
        <w:rPr>
          <w:rFonts w:cs="Arial"/>
          <w:b/>
          <w:bCs/>
          <w:sz w:val="16"/>
        </w:rPr>
        <w:t xml:space="preserve"> Officer:</w:t>
      </w:r>
      <w:r w:rsidR="003959B4">
        <w:rPr>
          <w:rFonts w:cs="Arial"/>
          <w:sz w:val="16"/>
        </w:rPr>
        <w:t xml:space="preserve"> The contractor will designate and make known to the contracting officers an </w:t>
      </w:r>
      <w:proofErr w:type="spellStart"/>
      <w:r w:rsidR="003959B4">
        <w:rPr>
          <w:rFonts w:cs="Arial"/>
          <w:sz w:val="16"/>
        </w:rPr>
        <w:t>EEO</w:t>
      </w:r>
      <w:proofErr w:type="spellEnd"/>
      <w:r w:rsidR="003959B4">
        <w:rPr>
          <w:rFonts w:cs="Arial"/>
          <w:sz w:val="16"/>
        </w:rPr>
        <w:t xml:space="preserve"> Officer who will have the responsibility for and must be capable of effectively administering and promoting an active </w:t>
      </w:r>
      <w:proofErr w:type="spellStart"/>
      <w:r w:rsidR="003959B4">
        <w:rPr>
          <w:rFonts w:cs="Arial"/>
          <w:sz w:val="16"/>
        </w:rPr>
        <w:t>EEO</w:t>
      </w:r>
      <w:proofErr w:type="spellEnd"/>
      <w:r w:rsidR="003959B4">
        <w:rPr>
          <w:rFonts w:cs="Arial"/>
          <w:sz w:val="16"/>
        </w:rPr>
        <w:t xml:space="preserve">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w:t>
      </w:r>
      <w:proofErr w:type="spellStart"/>
      <w:r w:rsidR="003959B4">
        <w:rPr>
          <w:rFonts w:cs="Arial"/>
          <w:sz w:val="16"/>
        </w:rPr>
        <w:t>EEO</w:t>
      </w:r>
      <w:proofErr w:type="spellEnd"/>
      <w:r w:rsidR="003959B4">
        <w:rPr>
          <w:rFonts w:cs="Arial"/>
          <w:sz w:val="16"/>
        </w:rPr>
        <w:t xml:space="preserve"> policy and contractual responsibilities to provide </w:t>
      </w:r>
      <w:proofErr w:type="spellStart"/>
      <w:r w:rsidR="003959B4">
        <w:rPr>
          <w:rFonts w:cs="Arial"/>
          <w:sz w:val="16"/>
        </w:rPr>
        <w:t>EEO</w:t>
      </w:r>
      <w:proofErr w:type="spellEnd"/>
      <w:r w:rsidR="003959B4">
        <w:rPr>
          <w:rFonts w:cs="Arial"/>
          <w:sz w:val="16"/>
        </w:rPr>
        <w:t xml:space="preserve">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 xml:space="preserve">Periodic meetings of supervisory and personnel office employees will be conducted before the start of work and then not less often than once every six months, at which time the contractor's </w:t>
      </w:r>
      <w:proofErr w:type="spellStart"/>
      <w:r>
        <w:rPr>
          <w:rFonts w:cs="Arial"/>
          <w:sz w:val="16"/>
        </w:rPr>
        <w:t>EEO</w:t>
      </w:r>
      <w:proofErr w:type="spellEnd"/>
      <w:r>
        <w:rPr>
          <w:rFonts w:cs="Arial"/>
          <w:sz w:val="16"/>
        </w:rPr>
        <w:t xml:space="preserve"> policy and its implementation will be reviewed and explained.  The meetings will be conducted by the </w:t>
      </w:r>
      <w:proofErr w:type="spellStart"/>
      <w:r>
        <w:rPr>
          <w:rFonts w:cs="Arial"/>
          <w:sz w:val="16"/>
        </w:rPr>
        <w:t>EEO</w:t>
      </w:r>
      <w:proofErr w:type="spellEnd"/>
      <w:r>
        <w:rPr>
          <w:rFonts w:cs="Arial"/>
          <w:sz w:val="16"/>
        </w:rPr>
        <w:t xml:space="preserve">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w:t>
      </w:r>
      <w:proofErr w:type="spellStart"/>
      <w:r>
        <w:rPr>
          <w:rFonts w:cs="Arial"/>
          <w:sz w:val="16"/>
        </w:rPr>
        <w:t>EEO</w:t>
      </w:r>
      <w:proofErr w:type="spellEnd"/>
      <w:r>
        <w:rPr>
          <w:rFonts w:cs="Arial"/>
          <w:sz w:val="16"/>
        </w:rPr>
        <w:t xml:space="preserve"> Officer, covering all major aspects of the contractor's </w:t>
      </w:r>
      <w:proofErr w:type="spellStart"/>
      <w:r>
        <w:rPr>
          <w:rFonts w:cs="Arial"/>
          <w:sz w:val="16"/>
        </w:rPr>
        <w:t>EEO</w:t>
      </w:r>
      <w:proofErr w:type="spellEnd"/>
      <w:r>
        <w:rPr>
          <w:rFonts w:cs="Arial"/>
          <w:sz w:val="16"/>
        </w:rPr>
        <w:t xml:space="preserve">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w:t>
      </w:r>
      <w:proofErr w:type="spellStart"/>
      <w:r>
        <w:rPr>
          <w:rFonts w:cs="Arial"/>
          <w:sz w:val="16"/>
        </w:rPr>
        <w:t>EEO</w:t>
      </w:r>
      <w:proofErr w:type="spellEnd"/>
      <w:r>
        <w:rPr>
          <w:rFonts w:cs="Arial"/>
          <w:sz w:val="16"/>
        </w:rPr>
        <w:t xml:space="preserve">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w:t>
      </w:r>
      <w:proofErr w:type="spellStart"/>
      <w:r>
        <w:rPr>
          <w:rFonts w:cs="Arial"/>
          <w:sz w:val="16"/>
        </w:rPr>
        <w:t>EEO</w:t>
      </w:r>
      <w:proofErr w:type="spellEnd"/>
      <w:r>
        <w:rPr>
          <w:rFonts w:cs="Arial"/>
          <w:sz w:val="16"/>
        </w:rPr>
        <w:t xml:space="preserve">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w:t>
      </w:r>
      <w:proofErr w:type="spellStart"/>
      <w:r>
        <w:rPr>
          <w:rFonts w:cs="Arial"/>
          <w:sz w:val="16"/>
        </w:rPr>
        <w:t>EEO</w:t>
      </w:r>
      <w:proofErr w:type="spellEnd"/>
      <w:r>
        <w:rPr>
          <w:rFonts w:cs="Arial"/>
          <w:sz w:val="16"/>
        </w:rPr>
        <w:t xml:space="preserve">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w:t>
      </w:r>
      <w:proofErr w:type="spellStart"/>
      <w:r>
        <w:rPr>
          <w:rFonts w:cs="Arial"/>
          <w:sz w:val="16"/>
        </w:rPr>
        <w:t>EEO</w:t>
      </w:r>
      <w:proofErr w:type="spellEnd"/>
      <w:r>
        <w:rPr>
          <w:rFonts w:cs="Arial"/>
          <w:sz w:val="16"/>
        </w:rPr>
        <w:t xml:space="preserve">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w:t>
      </w:r>
      <w:proofErr w:type="spellStart"/>
      <w:r w:rsidR="00185672">
        <w:rPr>
          <w:rFonts w:cs="Arial"/>
          <w:sz w:val="16"/>
        </w:rPr>
        <w:t>U.S.C</w:t>
      </w:r>
      <w:proofErr w:type="spellEnd"/>
      <w:r w:rsidR="00185672">
        <w:rPr>
          <w:rFonts w:cs="Arial"/>
          <w:sz w:val="16"/>
        </w:rPr>
        <w:t>.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w:t>
      </w:r>
      <w:proofErr w:type="spellStart"/>
      <w:r>
        <w:rPr>
          <w:rFonts w:cs="Arial"/>
          <w:sz w:val="16"/>
        </w:rPr>
        <w:t>EEO</w:t>
      </w:r>
      <w:proofErr w:type="spellEnd"/>
      <w:r>
        <w:rPr>
          <w:rFonts w:cs="Arial"/>
          <w:sz w:val="16"/>
        </w:rPr>
        <w:t xml:space="preserve">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w:t>
      </w:r>
      <w:proofErr w:type="gramEnd"/>
      <w:r>
        <w:rPr>
          <w:rFonts w:cs="Arial"/>
          <w:sz w:val="16"/>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Pr>
          <w:rFonts w:cs="Arial"/>
          <w:sz w:val="16"/>
        </w:rPr>
        <w:t>qualifiable</w:t>
      </w:r>
      <w:proofErr w:type="spellEnd"/>
      <w:r>
        <w:rPr>
          <w:rFonts w:cs="Arial"/>
          <w:sz w:val="16"/>
        </w:rPr>
        <w:t xml:space="preserv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 and suppliers and lessors of their </w:t>
      </w:r>
      <w:proofErr w:type="spellStart"/>
      <w:r>
        <w:rPr>
          <w:rFonts w:cs="Arial"/>
          <w:sz w:val="16"/>
        </w:rPr>
        <w:t>EEO</w:t>
      </w:r>
      <w:proofErr w:type="spellEnd"/>
      <w:r>
        <w:rPr>
          <w:rFonts w:cs="Arial"/>
          <w:sz w:val="16"/>
        </w:rPr>
        <w:t xml:space="preserve">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w:t>
      </w:r>
      <w:proofErr w:type="spellStart"/>
      <w:r>
        <w:rPr>
          <w:rFonts w:cs="Arial"/>
          <w:sz w:val="16"/>
        </w:rPr>
        <w:t>EEO</w:t>
      </w:r>
      <w:proofErr w:type="spellEnd"/>
      <w:r>
        <w:rPr>
          <w:rFonts w:cs="Arial"/>
          <w:sz w:val="16"/>
        </w:rPr>
        <w:t xml:space="preserve">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 xml:space="preserve">The requirements of 49 CFR Part 26 and the State </w:t>
      </w:r>
      <w:proofErr w:type="spellStart"/>
      <w:r w:rsidR="003959B4">
        <w:rPr>
          <w:rFonts w:cs="Arial"/>
          <w:sz w:val="16"/>
        </w:rPr>
        <w:t>DOT’s</w:t>
      </w:r>
      <w:proofErr w:type="spellEnd"/>
      <w:r w:rsidR="003959B4">
        <w:rPr>
          <w:rFonts w:cs="Arial"/>
          <w:sz w:val="16"/>
        </w:rPr>
        <w:t xml:space="preserve"> U.S. DOT-approved DBE program are incorporated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w:t>
      </w:r>
      <w:proofErr w:type="spellStart"/>
      <w:r w:rsidR="003959B4">
        <w:rPr>
          <w:rFonts w:cs="Arial"/>
          <w:sz w:val="16"/>
        </w:rPr>
        <w:t>EEO</w:t>
      </w:r>
      <w:proofErr w:type="spellEnd"/>
      <w:r w:rsidR="003959B4">
        <w:rPr>
          <w:rFonts w:cs="Arial"/>
          <w:sz w:val="16"/>
        </w:rPr>
        <w:t xml:space="preserve">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 xml:space="preserve">contract work and shall be available at reasonable times and places for inspection by authorized representatives of the contracting agency and the </w:t>
      </w:r>
      <w:proofErr w:type="spellStart"/>
      <w:r w:rsidR="003959B4">
        <w:rPr>
          <w:rFonts w:cs="Arial"/>
          <w:sz w:val="16"/>
        </w:rPr>
        <w:t>FHWA</w:t>
      </w:r>
      <w:proofErr w:type="spellEnd"/>
      <w:r w:rsidR="003959B4">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being made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0" w:history="1">
        <w:r w:rsidRPr="00DC4C8C">
          <w:rPr>
            <w:rStyle w:val="Hyperlink"/>
            <w:rFonts w:cs="Arial"/>
            <w:sz w:val="16"/>
          </w:rPr>
          <w:t xml:space="preserve">Form </w:t>
        </w:r>
        <w:proofErr w:type="spellStart"/>
        <w:r w:rsidRPr="00DC4C8C">
          <w:rPr>
            <w:rStyle w:val="Hyperlink"/>
            <w:rFonts w:cs="Arial"/>
            <w:sz w:val="16"/>
          </w:rPr>
          <w:t>FHWA</w:t>
        </w:r>
        <w:proofErr w:type="spellEnd"/>
        <w:r w:rsidRPr="00DC4C8C">
          <w:rPr>
            <w:rStyle w:val="Hyperlink"/>
            <w:rFonts w:cs="Arial"/>
            <w:sz w:val="16"/>
          </w:rPr>
          <w:t>-1391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III. </w:t>
      </w:r>
      <w:proofErr w:type="spellStart"/>
      <w:r>
        <w:t>NONSEGREGATED</w:t>
      </w:r>
      <w:proofErr w:type="spellEnd"/>
      <w:r>
        <w:t xml:space="preserve">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proofErr w:type="spellStart"/>
      <w:r w:rsidR="009B7AB7">
        <w:rPr>
          <w:rFonts w:ascii="Arial" w:hAnsi="Arial" w:cs="Arial"/>
          <w:sz w:val="16"/>
          <w:szCs w:val="16"/>
        </w:rPr>
        <w:t>FHWA</w:t>
      </w:r>
      <w:proofErr w:type="spellEnd"/>
      <w:r w:rsidR="009B7AB7">
        <w:rPr>
          <w:rFonts w:ascii="Arial" w:hAnsi="Arial" w:cs="Arial"/>
          <w:sz w:val="16"/>
          <w:szCs w:val="16"/>
        </w:rPr>
        <w:t xml:space="preserve">-1273 </w:t>
      </w:r>
      <w:r w:rsidRPr="00517634">
        <w:rPr>
          <w:rFonts w:ascii="Arial" w:hAnsi="Arial" w:cs="Arial"/>
          <w:sz w:val="16"/>
          <w:szCs w:val="16"/>
        </w:rPr>
        <w:t xml:space="preserve">format and </w:t>
      </w:r>
      <w:proofErr w:type="spellStart"/>
      <w:r w:rsidRPr="00517634">
        <w:rPr>
          <w:rFonts w:ascii="Arial" w:hAnsi="Arial" w:cs="Arial"/>
          <w:sz w:val="16"/>
          <w:szCs w:val="16"/>
        </w:rPr>
        <w:t>FHWA</w:t>
      </w:r>
      <w:proofErr w:type="spellEnd"/>
      <w:r w:rsidRPr="00517634">
        <w:rPr>
          <w:rFonts w:ascii="Arial" w:hAnsi="Arial" w:cs="Arial"/>
          <w:sz w:val="16"/>
          <w:szCs w:val="16"/>
        </w:rPr>
        <w:t xml:space="preserve">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w:t>
      </w:r>
      <w:proofErr w:type="spellStart"/>
      <w:r w:rsidRPr="00517634">
        <w:rPr>
          <w:rFonts w:ascii="Arial" w:hAnsi="Arial" w:cs="Arial"/>
          <w:sz w:val="16"/>
          <w:szCs w:val="16"/>
        </w:rPr>
        <w:t>1.d</w:t>
      </w:r>
      <w:proofErr w:type="spellEnd"/>
      <w:r w:rsidRPr="00517634">
        <w:rPr>
          <w:rFonts w:ascii="Arial" w:hAnsi="Arial" w:cs="Arial"/>
          <w:sz w:val="16"/>
          <w:szCs w:val="16"/>
        </w:rPr>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w:t>
      </w:r>
      <w:proofErr w:type="spellStart"/>
      <w:r w:rsidRPr="00517634">
        <w:rPr>
          <w:rFonts w:ascii="Arial" w:hAnsi="Arial" w:cs="Arial"/>
          <w:sz w:val="16"/>
          <w:szCs w:val="16"/>
        </w:rPr>
        <w:t>1.b</w:t>
      </w:r>
      <w:proofErr w:type="spellEnd"/>
      <w:r w:rsidRPr="00517634">
        <w:rPr>
          <w:rFonts w:ascii="Arial" w:hAnsi="Arial" w:cs="Arial"/>
          <w:sz w:val="16"/>
          <w:szCs w:val="16"/>
        </w:rPr>
        <w:t>. of this section) and the Davis-Bacon poster (</w:t>
      </w:r>
      <w:proofErr w:type="spellStart"/>
      <w:r w:rsidRPr="00517634">
        <w:rPr>
          <w:rFonts w:ascii="Arial" w:hAnsi="Arial" w:cs="Arial"/>
          <w:sz w:val="16"/>
          <w:szCs w:val="16"/>
        </w:rPr>
        <w:t>WH</w:t>
      </w:r>
      <w:proofErr w:type="spellEnd"/>
      <w:r w:rsidRPr="00517634">
        <w:rPr>
          <w:rFonts w:ascii="Arial" w:hAnsi="Arial" w:cs="Arial"/>
          <w:sz w:val="16"/>
          <w:szCs w:val="16"/>
        </w:rPr>
        <w:t>–1321)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(4) The wage rate (including fringe benefits where appropriate) determined pursuant to paragraphs </w:t>
      </w:r>
      <w:proofErr w:type="spellStart"/>
      <w:r w:rsidRPr="00517634">
        <w:rPr>
          <w:rFonts w:ascii="Arial" w:hAnsi="Arial" w:cs="Arial"/>
          <w:sz w:val="16"/>
          <w:szCs w:val="16"/>
        </w:rPr>
        <w:t>1.b</w:t>
      </w:r>
      <w:proofErr w:type="spellEnd"/>
      <w:r w:rsidRPr="00517634">
        <w:rPr>
          <w:rFonts w:ascii="Arial" w:hAnsi="Arial" w:cs="Arial"/>
          <w:sz w:val="16"/>
          <w:szCs w:val="16"/>
        </w:rPr>
        <w:t xml:space="preserve">.(2) or </w:t>
      </w:r>
      <w:proofErr w:type="spellStart"/>
      <w:r w:rsidRPr="00517634">
        <w:rPr>
          <w:rFonts w:ascii="Arial" w:hAnsi="Arial" w:cs="Arial"/>
          <w:sz w:val="16"/>
          <w:szCs w:val="16"/>
        </w:rPr>
        <w:t>1.b</w:t>
      </w:r>
      <w:proofErr w:type="spellEnd"/>
      <w:r w:rsidRPr="00517634">
        <w:rPr>
          <w:rFonts w:ascii="Arial" w:hAnsi="Arial" w:cs="Arial"/>
          <w:sz w:val="16"/>
          <w:szCs w:val="16"/>
        </w:rPr>
        <w:t>.(3)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00517634" w:rsidRPr="00517634">
        <w:rPr>
          <w:rFonts w:ascii="Arial" w:hAnsi="Arial" w:cs="Arial"/>
          <w:sz w:val="16"/>
          <w:szCs w:val="16"/>
        </w:rPr>
        <w:t>)(</w:t>
      </w:r>
      <w:proofErr w:type="gramEnd"/>
      <w:r w:rsidR="00517634" w:rsidRPr="00517634">
        <w:rPr>
          <w:rFonts w:ascii="Arial" w:hAnsi="Arial" w:cs="Arial"/>
          <w:sz w:val="16"/>
          <w:szCs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517634">
        <w:rPr>
          <w:rFonts w:ascii="Arial" w:hAnsi="Arial" w:cs="Arial"/>
          <w:sz w:val="16"/>
          <w:szCs w:val="16"/>
        </w:rPr>
        <w:t>i</w:t>
      </w:r>
      <w:proofErr w:type="spellEnd"/>
      <w:r w:rsidRPr="00517634">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may be submitted in any form desired. Optional Form </w:t>
      </w:r>
      <w:proofErr w:type="spellStart"/>
      <w:r w:rsidRPr="00517634">
        <w:rPr>
          <w:rFonts w:ascii="Arial" w:hAnsi="Arial" w:cs="Arial"/>
          <w:sz w:val="16"/>
          <w:szCs w:val="16"/>
        </w:rPr>
        <w:t>WH</w:t>
      </w:r>
      <w:proofErr w:type="spellEnd"/>
      <w:r w:rsidRPr="00517634">
        <w:rPr>
          <w:rFonts w:ascii="Arial" w:hAnsi="Arial" w:cs="Arial"/>
          <w:sz w:val="16"/>
          <w:szCs w:val="16"/>
        </w:rPr>
        <w:t>–347 is available for this purpose from the Wage and Hour Division Web site at http://</w:t>
      </w:r>
      <w:proofErr w:type="spellStart"/>
      <w:r w:rsidRPr="00517634">
        <w:rPr>
          <w:rFonts w:ascii="Arial" w:hAnsi="Arial" w:cs="Arial"/>
          <w:sz w:val="16"/>
          <w:szCs w:val="16"/>
        </w:rPr>
        <w:t>www.dol.gov</w:t>
      </w:r>
      <w:proofErr w:type="spellEnd"/>
      <w:r w:rsidRPr="00517634">
        <w:rPr>
          <w:rFonts w:ascii="Arial" w:hAnsi="Arial" w:cs="Arial"/>
          <w:sz w:val="16"/>
          <w:szCs w:val="16"/>
        </w:rPr>
        <w:t>/</w:t>
      </w:r>
      <w:proofErr w:type="spellStart"/>
      <w:r w:rsidRPr="00517634">
        <w:rPr>
          <w:rFonts w:ascii="Arial" w:hAnsi="Arial" w:cs="Arial"/>
          <w:sz w:val="16"/>
          <w:szCs w:val="16"/>
        </w:rPr>
        <w:t>esa</w:t>
      </w:r>
      <w:proofErr w:type="spellEnd"/>
      <w:r w:rsidRPr="00517634">
        <w:rPr>
          <w:rFonts w:ascii="Arial" w:hAnsi="Arial" w:cs="Arial"/>
          <w:sz w:val="16"/>
          <w:szCs w:val="16"/>
        </w:rPr>
        <w:t>/</w:t>
      </w:r>
      <w:proofErr w:type="spellStart"/>
      <w:r w:rsidRPr="00517634">
        <w:rPr>
          <w:rFonts w:ascii="Arial" w:hAnsi="Arial" w:cs="Arial"/>
          <w:sz w:val="16"/>
          <w:szCs w:val="16"/>
        </w:rPr>
        <w:t>whd</w:t>
      </w:r>
      <w:proofErr w:type="spellEnd"/>
      <w:r w:rsidRPr="00517634">
        <w:rPr>
          <w:rFonts w:ascii="Arial" w:hAnsi="Arial" w:cs="Arial"/>
          <w:sz w:val="16"/>
          <w:szCs w:val="16"/>
        </w:rPr>
        <w:t>/forms/</w:t>
      </w:r>
      <w:proofErr w:type="spellStart"/>
      <w:r w:rsidRPr="00517634">
        <w:rPr>
          <w:rFonts w:ascii="Arial" w:hAnsi="Arial" w:cs="Arial"/>
          <w:sz w:val="16"/>
          <w:szCs w:val="16"/>
        </w:rPr>
        <w:t>wh347instr.htm</w:t>
      </w:r>
      <w:proofErr w:type="spellEnd"/>
      <w:r w:rsidRPr="00517634">
        <w:rPr>
          <w:rFonts w:ascii="Arial" w:hAnsi="Arial" w:cs="Arial"/>
          <w:sz w:val="16"/>
          <w:szCs w:val="16"/>
        </w:rPr>
        <w:t xml:space="preserve"> </w:t>
      </w:r>
      <w:r w:rsidRPr="00517634">
        <w:rPr>
          <w:rFonts w:ascii="Arial" w:hAnsi="Arial" w:cs="Arial"/>
          <w:sz w:val="16"/>
          <w:szCs w:val="16"/>
        </w:rPr>
        <w:lastRenderedPageBreak/>
        <w:t xml:space="preserve">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w:t>
      </w:r>
      <w:proofErr w:type="spellStart"/>
      <w:r w:rsidRPr="00517634">
        <w:rPr>
          <w:rFonts w:ascii="Arial" w:hAnsi="Arial" w:cs="Arial"/>
          <w:sz w:val="16"/>
          <w:szCs w:val="16"/>
        </w:rPr>
        <w:t>FHWA</w:t>
      </w:r>
      <w:proofErr w:type="spellEnd"/>
      <w:r w:rsidRPr="00517634">
        <w:rPr>
          <w:rFonts w:ascii="Arial" w:hAnsi="Arial" w:cs="Arial"/>
          <w:sz w:val="16"/>
          <w:szCs w:val="16"/>
        </w:rPr>
        <w:t xml:space="preserve">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517634">
        <w:rPr>
          <w:rFonts w:ascii="Arial" w:hAnsi="Arial" w:cs="Arial"/>
          <w:sz w:val="16"/>
          <w:szCs w:val="16"/>
        </w:rPr>
        <w:t>..</w:t>
      </w:r>
      <w:proofErr w:type="gramEnd"/>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w:t>
      </w:r>
      <w:proofErr w:type="spellStart"/>
      <w:r w:rsidRPr="00517634">
        <w:rPr>
          <w:rFonts w:ascii="Arial" w:hAnsi="Arial" w:cs="Arial"/>
          <w:sz w:val="16"/>
          <w:szCs w:val="16"/>
        </w:rPr>
        <w:t>i</w:t>
      </w:r>
      <w:proofErr w:type="spellEnd"/>
      <w:r w:rsidRPr="00517634">
        <w:rPr>
          <w:rFonts w:ascii="Arial" w:hAnsi="Arial" w:cs="Arial"/>
          <w:sz w:val="16"/>
          <w:szCs w:val="16"/>
        </w:rPr>
        <w:t>)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The weekly submission of a properly executed certification set forth on the reverse side of Optional Form </w:t>
      </w:r>
      <w:proofErr w:type="spellStart"/>
      <w:r w:rsidRPr="00517634">
        <w:rPr>
          <w:rFonts w:ascii="Arial" w:hAnsi="Arial" w:cs="Arial"/>
          <w:sz w:val="16"/>
          <w:szCs w:val="16"/>
        </w:rPr>
        <w:t>WH</w:t>
      </w:r>
      <w:proofErr w:type="spellEnd"/>
      <w:r w:rsidRPr="00517634">
        <w:rPr>
          <w:rFonts w:ascii="Arial" w:hAnsi="Arial" w:cs="Arial"/>
          <w:sz w:val="16"/>
          <w:szCs w:val="16"/>
        </w:rPr>
        <w:t xml:space="preserve">–347 shall satisfy the requirement for submission of the “Statement of Compliance” required by paragraph </w:t>
      </w:r>
      <w:proofErr w:type="spellStart"/>
      <w:r w:rsidRPr="00517634">
        <w:rPr>
          <w:rFonts w:ascii="Arial" w:hAnsi="Arial" w:cs="Arial"/>
          <w:sz w:val="16"/>
          <w:szCs w:val="16"/>
        </w:rPr>
        <w:t>3.b</w:t>
      </w:r>
      <w:proofErr w:type="spellEnd"/>
      <w:r w:rsidRPr="00517634">
        <w:rPr>
          <w:rFonts w:ascii="Arial" w:hAnsi="Arial" w:cs="Arial"/>
          <w:sz w:val="16"/>
          <w:szCs w:val="16"/>
        </w:rPr>
        <w:t>.(2)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The contractor or subcontractor shall make the records required under paragraph </w:t>
      </w:r>
      <w:proofErr w:type="spellStart"/>
      <w:r w:rsidRPr="00517634">
        <w:rPr>
          <w:rFonts w:ascii="Arial" w:hAnsi="Arial" w:cs="Arial"/>
          <w:sz w:val="16"/>
          <w:szCs w:val="16"/>
        </w:rPr>
        <w:t>3.a</w:t>
      </w:r>
      <w:proofErr w:type="spellEnd"/>
      <w:r w:rsidRPr="00517634">
        <w:rPr>
          <w:rFonts w:ascii="Arial" w:hAnsi="Arial" w:cs="Arial"/>
          <w:sz w:val="16"/>
          <w:szCs w:val="16"/>
        </w:rPr>
        <w:t xml:space="preserve">. of this section available for inspection, copying, or transcription by authorized representatives of the contracting agency, the State DOT, the </w:t>
      </w:r>
      <w:proofErr w:type="spellStart"/>
      <w:r w:rsidRPr="00517634">
        <w:rPr>
          <w:rFonts w:ascii="Arial" w:hAnsi="Arial" w:cs="Arial"/>
          <w:sz w:val="16"/>
          <w:szCs w:val="16"/>
        </w:rPr>
        <w:t>FHWA</w:t>
      </w:r>
      <w:proofErr w:type="spellEnd"/>
      <w:r w:rsidRPr="00517634">
        <w:rPr>
          <w:rFonts w:ascii="Arial" w:hAnsi="Arial" w:cs="Arial"/>
          <w:sz w:val="16"/>
          <w:szCs w:val="16"/>
        </w:rPr>
        <w:t xml:space="preserve">,  or the Department of Labor, and shall permit such representatives to interview employees during working hours on the job. If the contractor or subcontractor fails to submit the required records or to make them available, the </w:t>
      </w:r>
      <w:proofErr w:type="spellStart"/>
      <w:r w:rsidRPr="00517634">
        <w:rPr>
          <w:rFonts w:ascii="Arial" w:hAnsi="Arial" w:cs="Arial"/>
          <w:sz w:val="16"/>
          <w:szCs w:val="16"/>
        </w:rPr>
        <w:t>FHWA</w:t>
      </w:r>
      <w:proofErr w:type="spellEnd"/>
      <w:r w:rsidRPr="00517634">
        <w:rPr>
          <w:rFonts w:ascii="Arial" w:hAnsi="Arial" w:cs="Arial"/>
          <w:sz w:val="16"/>
          <w:szCs w:val="16"/>
        </w:rPr>
        <w:t xml:space="preserve"> may, after written notice to the contractor, the contracting agency or </w:t>
      </w:r>
      <w:r w:rsidRPr="00517634">
        <w:rPr>
          <w:rFonts w:ascii="Arial" w:hAnsi="Arial" w:cs="Arial"/>
          <w:sz w:val="16"/>
          <w:szCs w:val="16"/>
        </w:rPr>
        <w:t>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w:t>
      </w:r>
      <w:proofErr w:type="spellStart"/>
      <w:r w:rsidRPr="00517634">
        <w:rPr>
          <w:rFonts w:ascii="Arial" w:hAnsi="Arial" w:cs="Arial"/>
          <w:sz w:val="16"/>
          <w:szCs w:val="16"/>
        </w:rPr>
        <w:t>USDOL</w:t>
      </w:r>
      <w:proofErr w:type="spellEnd"/>
      <w:r w:rsidRPr="00517634">
        <w:rPr>
          <w:rFonts w:ascii="Arial" w:hAnsi="Arial" w:cs="Arial"/>
          <w:sz w:val="16"/>
          <w:szCs w:val="16"/>
        </w:rPr>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517634">
        <w:rPr>
          <w:rFonts w:ascii="Arial" w:hAnsi="Arial" w:cs="Arial"/>
          <w:sz w:val="16"/>
          <w:szCs w:val="16"/>
        </w:rPr>
        <w:t>subcontractor's</w:t>
      </w:r>
      <w:proofErr w:type="gramEnd"/>
      <w:r w:rsidRPr="00517634">
        <w:rPr>
          <w:rFonts w:ascii="Arial" w:hAnsi="Arial" w:cs="Arial"/>
          <w:sz w:val="16"/>
          <w:szCs w:val="16"/>
        </w:rPr>
        <w:t xml:space="preserve">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Office of Apprenticeship Training, Employer and Labor Services, or a State Apprenticeship Agency recognized by the Office, withdraws approval of an apprenticeship program, the contractor will no longer be permitted to utilize apprentices at less than the applicable </w:t>
      </w:r>
      <w:r w:rsidRPr="00517634">
        <w:rPr>
          <w:rFonts w:ascii="Arial" w:hAnsi="Arial" w:cs="Arial"/>
          <w:sz w:val="16"/>
          <w:szCs w:val="16"/>
        </w:rPr>
        <w:lastRenderedPageBreak/>
        <w:t>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w:t>
      </w:r>
      <w:proofErr w:type="spellStart"/>
      <w:r w:rsidRPr="00517634">
        <w:rPr>
          <w:rFonts w:ascii="Arial" w:hAnsi="Arial" w:cs="Arial"/>
          <w:sz w:val="16"/>
          <w:szCs w:val="16"/>
        </w:rPr>
        <w:t>USDOL</w:t>
      </w:r>
      <w:proofErr w:type="spellEnd"/>
      <w:r w:rsidRPr="00517634">
        <w:rPr>
          <w:rFonts w:ascii="Arial" w:hAnsi="Arial" w:cs="Arial"/>
          <w:sz w:val="16"/>
          <w:szCs w:val="16"/>
        </w:rPr>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Equal employment opportunity. The utilization of apprentices, trainees and journeymen under this part shall be in conformity with the equal employment opportunity requirements of Executive Order 11246, as amended,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and trainees working under apprenticeship and skill training programs which have been certified by the Secretary of Transportation as promoting </w:t>
      </w:r>
      <w:proofErr w:type="spellStart"/>
      <w:r w:rsidRPr="00517634">
        <w:rPr>
          <w:rFonts w:ascii="Arial" w:hAnsi="Arial" w:cs="Arial"/>
          <w:sz w:val="16"/>
          <w:szCs w:val="16"/>
        </w:rPr>
        <w:t>EEO</w:t>
      </w:r>
      <w:proofErr w:type="spellEnd"/>
      <w:r w:rsidRPr="00517634">
        <w:rPr>
          <w:rFonts w:ascii="Arial" w:hAnsi="Arial" w:cs="Arial"/>
          <w:sz w:val="16"/>
          <w:szCs w:val="16"/>
        </w:rPr>
        <w:t xml:space="preserve">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w:t>
      </w:r>
      <w:r w:rsidRPr="00517634">
        <w:rPr>
          <w:rFonts w:ascii="Arial" w:hAnsi="Arial" w:cs="Arial"/>
          <w:sz w:val="16"/>
          <w:szCs w:val="16"/>
        </w:rPr>
        <w:t>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part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 xml:space="preserve">The contractor or subcontractor shall insert Form </w:t>
      </w:r>
      <w:proofErr w:type="spellStart"/>
      <w:r w:rsidRPr="00517634">
        <w:rPr>
          <w:rFonts w:ascii="Arial" w:hAnsi="Arial" w:cs="Arial"/>
          <w:sz w:val="16"/>
          <w:szCs w:val="16"/>
        </w:rPr>
        <w:t>FHWA</w:t>
      </w:r>
      <w:proofErr w:type="spellEnd"/>
      <w:r w:rsidRPr="00517634">
        <w:rPr>
          <w:rFonts w:ascii="Arial" w:hAnsi="Arial" w:cs="Arial"/>
          <w:sz w:val="16"/>
          <w:szCs w:val="16"/>
        </w:rPr>
        <w:t xml:space="preserve">-1273 in any subcontracts and also require the subcontractors to include Form </w:t>
      </w:r>
      <w:proofErr w:type="spellStart"/>
      <w:r w:rsidRPr="00517634">
        <w:rPr>
          <w:rFonts w:ascii="Arial" w:hAnsi="Arial" w:cs="Arial"/>
          <w:sz w:val="16"/>
          <w:szCs w:val="16"/>
        </w:rPr>
        <w:t>FHWA</w:t>
      </w:r>
      <w:proofErr w:type="spellEnd"/>
      <w:r w:rsidRPr="00517634">
        <w:rPr>
          <w:rFonts w:ascii="Arial" w:hAnsi="Arial" w:cs="Arial"/>
          <w:sz w:val="16"/>
          <w:szCs w:val="16"/>
        </w:rPr>
        <w:t>-1273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 The penalty for making false statements is prescribed in the U.S. Criminal Code, 18 </w:t>
      </w:r>
      <w:proofErr w:type="spellStart"/>
      <w:r w:rsidRPr="00517634">
        <w:rPr>
          <w:rFonts w:ascii="Arial" w:hAnsi="Arial" w:cs="Arial"/>
          <w:sz w:val="16"/>
          <w:szCs w:val="16"/>
        </w:rPr>
        <w:t>U.S.C</w:t>
      </w:r>
      <w:proofErr w:type="spellEnd"/>
      <w:r w:rsidRPr="00517634">
        <w:rPr>
          <w:rFonts w:ascii="Arial" w:hAnsi="Arial" w:cs="Arial"/>
          <w:sz w:val="16"/>
          <w:szCs w:val="16"/>
        </w:rPr>
        <w:t>.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w:t>
      </w:r>
      <w:r w:rsidRPr="00517634">
        <w:rPr>
          <w:rFonts w:ascii="Arial" w:hAnsi="Arial" w:cs="Arial"/>
          <w:sz w:val="16"/>
          <w:szCs w:val="16"/>
        </w:rPr>
        <w:lastRenderedPageBreak/>
        <w:t>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proofErr w:type="spellStart"/>
      <w:r w:rsidR="00442481">
        <w:rPr>
          <w:rFonts w:ascii="Arial" w:hAnsi="Arial" w:cs="Arial"/>
          <w:sz w:val="16"/>
          <w:szCs w:val="16"/>
        </w:rPr>
        <w:t>FHWA</w:t>
      </w:r>
      <w:proofErr w:type="spellEnd"/>
      <w:r w:rsidR="00442481">
        <w:rPr>
          <w:rFonts w:ascii="Arial" w:hAnsi="Arial" w:cs="Arial"/>
          <w:sz w:val="16"/>
          <w:szCs w:val="16"/>
        </w:rPr>
        <w:t xml:space="preserve">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r>
        <w:rPr>
          <w:rFonts w:cs="Arial"/>
          <w:sz w:val="16"/>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(1) the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(2) the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(3) the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(4) the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 xml:space="preserve">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w:t>
      </w:r>
      <w:r>
        <w:rPr>
          <w:rFonts w:cs="Arial"/>
          <w:sz w:val="16"/>
        </w:rPr>
        <w:lastRenderedPageBreak/>
        <w:t>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w:t>
      </w:r>
      <w:proofErr w:type="spellStart"/>
      <w:r>
        <w:rPr>
          <w:rFonts w:cs="Arial"/>
          <w:sz w:val="16"/>
        </w:rPr>
        <w:t>U.S.C</w:t>
      </w:r>
      <w:proofErr w:type="spellEnd"/>
      <w:r>
        <w:rPr>
          <w:rFonts w:cs="Arial"/>
          <w:sz w:val="16"/>
        </w:rPr>
        <w:t xml:space="preserve">.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w:t>
      </w:r>
      <w:proofErr w:type="spellStart"/>
      <w:r>
        <w:rPr>
          <w:rFonts w:cs="Arial"/>
          <w:sz w:val="16"/>
        </w:rPr>
        <w:t>U.S.C.</w:t>
      </w:r>
      <w:r w:rsidR="00B97A4E">
        <w:rPr>
          <w:rFonts w:cs="Arial"/>
          <w:sz w:val="16"/>
        </w:rPr>
        <w:t>3704</w:t>
      </w:r>
      <w:proofErr w:type="spellEnd"/>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w:t>
      </w:r>
      <w:proofErr w:type="spellStart"/>
      <w:r w:rsidR="00AB0D72">
        <w:rPr>
          <w:rFonts w:cs="Arial"/>
          <w:sz w:val="16"/>
        </w:rPr>
        <w:t>FHWA</w:t>
      </w:r>
      <w:proofErr w:type="spellEnd"/>
      <w:r w:rsidR="00AB0D72">
        <w:rPr>
          <w:rFonts w:cs="Arial"/>
          <w:sz w:val="16"/>
        </w:rPr>
        <w:t xml:space="preserve">-1022 </w:t>
      </w:r>
      <w:r>
        <w:rPr>
          <w:rFonts w:cs="Arial"/>
          <w:sz w:val="16"/>
        </w:rPr>
        <w:t xml:space="preserve">shall be posted on each Federal-aid highway project (23 CFR 635) in one or more </w:t>
      </w:r>
      <w:r>
        <w:rPr>
          <w:rFonts w:cs="Arial"/>
          <w:sz w:val="16"/>
        </w:rPr>
        <w:t>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18 </w:t>
      </w:r>
      <w:proofErr w:type="spellStart"/>
      <w:r>
        <w:rPr>
          <w:rFonts w:cs="Arial"/>
          <w:sz w:val="16"/>
        </w:rPr>
        <w:t>U.S.C</w:t>
      </w:r>
      <w:proofErr w:type="spellEnd"/>
      <w:r>
        <w:rPr>
          <w:rFonts w:cs="Arial"/>
          <w:sz w:val="16"/>
        </w:rPr>
        <w:t>.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w:t>
      </w:r>
      <w:proofErr w:type="spellStart"/>
      <w:r w:rsidR="00E92A88">
        <w:rPr>
          <w:rFonts w:cs="Arial"/>
          <w:sz w:val="16"/>
        </w:rPr>
        <w:t>FHWA</w:t>
      </w:r>
      <w:proofErr w:type="spellEnd"/>
      <w:r w:rsidR="00E92A88">
        <w:rPr>
          <w:rFonts w:cs="Arial"/>
          <w:sz w:val="16"/>
        </w:rPr>
        <w:t xml:space="preserve"> </w:t>
      </w:r>
      <w:r w:rsidR="00E92A88">
        <w:rPr>
          <w:rFonts w:cs="Arial"/>
          <w:sz w:val="16"/>
        </w:rPr>
        <w:lastRenderedPageBreak/>
        <w:t xml:space="preserve">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whom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w:t>
      </w:r>
      <w:proofErr w:type="spellStart"/>
      <w:r w:rsidR="004F3545">
        <w:rPr>
          <w:rFonts w:cs="Arial"/>
          <w:sz w:val="16"/>
        </w:rPr>
        <w:t>subgrantee</w:t>
      </w:r>
      <w:proofErr w:type="spellEnd"/>
      <w:r w:rsidR="004F3545">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F3545">
        <w:rPr>
          <w:rFonts w:cs="Arial"/>
          <w:sz w:val="16"/>
        </w:rPr>
        <w:t>subgrantee</w:t>
      </w:r>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 xml:space="preserve">participant further agrees by submitting this proposal that it will include the clause titled "Certification Regarding Debarment, Suspension, Ineligibility and Voluntary Exclusion-Lower Tier Covered Transactions," provided by the department or contracting agency, entering </w:t>
      </w:r>
      <w:r>
        <w:rPr>
          <w:rFonts w:cs="Arial"/>
          <w:sz w:val="16"/>
        </w:rPr>
        <w:t>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1" w:history="1">
        <w:r w:rsidR="00E32737" w:rsidRPr="00BB7A48">
          <w:rPr>
            <w:rStyle w:val="Hyperlink"/>
            <w:rFonts w:cs="Arial"/>
            <w:sz w:val="16"/>
          </w:rPr>
          <w:t>https://</w:t>
        </w:r>
        <w:proofErr w:type="spellStart"/>
        <w:r w:rsidR="00E32737" w:rsidRPr="00BB7A48">
          <w:rPr>
            <w:rStyle w:val="Hyperlink"/>
            <w:rFonts w:cs="Arial"/>
            <w:sz w:val="16"/>
          </w:rPr>
          <w:t>www.epls.gov</w:t>
        </w:r>
        <w:proofErr w:type="spellEnd"/>
        <w:r w:rsidR="00E32737" w:rsidRPr="00BB7A48">
          <w:rPr>
            <w:rStyle w:val="Hyperlink"/>
            <w:rFonts w:cs="Arial"/>
            <w:sz w:val="16"/>
          </w:rPr>
          <w:t>/</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E32737">
        <w:rPr>
          <w:rFonts w:cs="Arial"/>
          <w:sz w:val="16"/>
        </w:rPr>
        <w:t>i</w:t>
      </w:r>
      <w:proofErr w:type="spellEnd"/>
      <w:r w:rsidR="00961CAB">
        <w:rPr>
          <w:rFonts w:cs="Arial"/>
          <w:sz w:val="16"/>
        </w:rPr>
        <w:t xml:space="preserve">. </w:t>
      </w:r>
      <w:r>
        <w:rPr>
          <w:rFonts w:cs="Arial"/>
          <w:sz w:val="16"/>
        </w:rPr>
        <w:t xml:space="preserve"> Nothing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r>
        <w:rPr>
          <w:rFonts w:cs="Arial"/>
          <w:sz w:val="16"/>
        </w:rPr>
        <w:t xml:space="preserve">a.  The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proofErr w:type="spellStart"/>
      <w:r w:rsidR="00E32737">
        <w:rPr>
          <w:rFonts w:cs="Arial"/>
          <w:sz w:val="16"/>
        </w:rPr>
        <w:t>FHWA</w:t>
      </w:r>
      <w:proofErr w:type="spellEnd"/>
      <w:r w:rsidR="00E32737">
        <w:rPr>
          <w:rFonts w:cs="Arial"/>
          <w:sz w:val="16"/>
        </w:rPr>
        <w:t xml:space="preserve">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w:t>
      </w:r>
      <w:proofErr w:type="spellStart"/>
      <w:r w:rsidR="00457208">
        <w:rPr>
          <w:rFonts w:cs="Arial"/>
          <w:sz w:val="16"/>
        </w:rPr>
        <w:t>subgrantee</w:t>
      </w:r>
      <w:proofErr w:type="spellEnd"/>
      <w:r w:rsidR="00457208">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57208">
        <w:rPr>
          <w:rFonts w:cs="Arial"/>
          <w:sz w:val="16"/>
        </w:rPr>
        <w:t>subgrantee</w:t>
      </w:r>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2" w:history="1">
        <w:r w:rsidR="00457208" w:rsidRPr="00BB7A48">
          <w:rPr>
            <w:rStyle w:val="Hyperlink"/>
            <w:rFonts w:cs="Arial"/>
            <w:sz w:val="16"/>
          </w:rPr>
          <w:t>https://</w:t>
        </w:r>
        <w:proofErr w:type="spellStart"/>
        <w:r w:rsidR="00457208" w:rsidRPr="00BB7A48">
          <w:rPr>
            <w:rStyle w:val="Hyperlink"/>
            <w:rFonts w:cs="Arial"/>
            <w:sz w:val="16"/>
          </w:rPr>
          <w:t>www.epls.gov</w:t>
        </w:r>
        <w:proofErr w:type="spellEnd"/>
        <w:r w:rsidR="00457208" w:rsidRPr="00BB7A48">
          <w:rPr>
            <w:rStyle w:val="Hyperlink"/>
            <w:rFonts w:cs="Arial"/>
            <w:sz w:val="16"/>
          </w:rPr>
          <w:t>/</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457208">
        <w:rPr>
          <w:rFonts w:cs="Arial"/>
          <w:sz w:val="16"/>
        </w:rPr>
        <w:t>i</w:t>
      </w:r>
      <w:proofErr w:type="spellEnd"/>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w:t>
      </w:r>
      <w:r>
        <w:rPr>
          <w:rFonts w:cs="Arial"/>
          <w:sz w:val="16"/>
        </w:rPr>
        <w:lastRenderedPageBreak/>
        <w:t>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w:t>
      </w:r>
      <w:proofErr w:type="spellStart"/>
      <w:r>
        <w:rPr>
          <w:rFonts w:cs="Arial"/>
          <w:sz w:val="16"/>
        </w:rPr>
        <w:t>LLL</w:t>
      </w:r>
      <w:proofErr w:type="spellEnd"/>
      <w:r>
        <w:rPr>
          <w:rFonts w:cs="Arial"/>
          <w:sz w:val="16"/>
        </w:rPr>
        <w:t>,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w:t>
      </w:r>
      <w:proofErr w:type="spellStart"/>
      <w:r>
        <w:rPr>
          <w:rFonts w:cs="Arial"/>
          <w:sz w:val="16"/>
        </w:rPr>
        <w:t>U.S.C</w:t>
      </w:r>
      <w:proofErr w:type="spellEnd"/>
      <w:r>
        <w:rPr>
          <w:rFonts w:cs="Arial"/>
          <w:sz w:val="16"/>
        </w:rPr>
        <w:t>.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w:t>
      </w:r>
      <w:proofErr w:type="spellStart"/>
      <w:r>
        <w:rPr>
          <w:rFonts w:cs="Arial"/>
          <w:sz w:val="16"/>
        </w:rPr>
        <w:t>DOL</w:t>
      </w:r>
      <w:proofErr w:type="spellEnd"/>
      <w:r>
        <w:rPr>
          <w:rFonts w:cs="Arial"/>
          <w:sz w:val="16"/>
        </w:rPr>
        <w:t xml:space="preserve">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w:t>
      </w:r>
      <w:proofErr w:type="spellStart"/>
      <w:r>
        <w:rPr>
          <w:rFonts w:cs="Arial"/>
          <w:sz w:val="16"/>
        </w:rPr>
        <w:t>1c</w:t>
      </w:r>
      <w:proofErr w:type="spellEnd"/>
      <w:r>
        <w:rPr>
          <w:rFonts w:cs="Arial"/>
          <w:sz w:val="16"/>
        </w:rPr>
        <w:t>)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w:t>
      </w:r>
      <w:proofErr w:type="spellStart"/>
      <w:r>
        <w:rPr>
          <w:rFonts w:cs="Arial"/>
          <w:sz w:val="16"/>
        </w:rPr>
        <w:t>1c</w:t>
      </w:r>
      <w:proofErr w:type="spellEnd"/>
      <w:r>
        <w:rPr>
          <w:rFonts w:cs="Arial"/>
          <w:sz w:val="16"/>
        </w:rPr>
        <w:t>)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allow the contracting agency to provide a contractual preference for the </w:t>
      </w:r>
      <w:r>
        <w:rPr>
          <w:rFonts w:cs="Arial"/>
          <w:sz w:val="16"/>
        </w:rPr>
        <w:t xml:space="preserve">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0C" w:rsidRDefault="00A6670C">
      <w:r>
        <w:separator/>
      </w:r>
    </w:p>
  </w:endnote>
  <w:endnote w:type="continuationSeparator" w:id="0">
    <w:p w:rsidR="00A6670C" w:rsidRDefault="00A6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0C" w:rsidRDefault="00A6670C">
      <w:r>
        <w:separator/>
      </w:r>
    </w:p>
  </w:footnote>
  <w:footnote w:type="continuationSeparator" w:id="0">
    <w:p w:rsidR="00A6670C" w:rsidRDefault="00A6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A32652" w:rsidP="009926D7">
    <w:pPr>
      <w:jc w:val="right"/>
      <w:rPr>
        <w:rFonts w:cs="Arial"/>
        <w:sz w:val="20"/>
        <w:szCs w:val="20"/>
      </w:rPr>
    </w:pPr>
    <w:r>
      <w:rPr>
        <w:rFonts w:cs="Arial"/>
        <w:sz w:val="20"/>
        <w:szCs w:val="20"/>
      </w:rPr>
      <w:t>October 31, 2013</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CF1FE2">
      <w:rPr>
        <w:rFonts w:cs="Arial"/>
        <w:noProof/>
        <w:sz w:val="20"/>
        <w:szCs w:val="20"/>
      </w:rPr>
      <w:t>14</w:t>
    </w:r>
    <w:r w:rsidRPr="009926D7">
      <w:rPr>
        <w:rFonts w:cs="Arial"/>
        <w:noProof/>
        <w:sz w:val="20"/>
        <w:szCs w:val="20"/>
      </w:rPr>
      <w:fldChar w:fldCharType="end"/>
    </w:r>
  </w:p>
  <w:p w:rsidR="009926D7" w:rsidRPr="00A762A6" w:rsidRDefault="009926D7" w:rsidP="009926D7">
    <w:pPr>
      <w:jc w:val="center"/>
      <w:rPr>
        <w:rFonts w:cs="Arial"/>
        <w:sz w:val="20"/>
        <w:szCs w:val="20"/>
      </w:rPr>
    </w:pPr>
    <w:r w:rsidRPr="00A762A6">
      <w:rPr>
        <w:rFonts w:cs="Arial"/>
        <w:sz w:val="20"/>
        <w:szCs w:val="20"/>
      </w:rPr>
      <w:t>REQUIRED CONTRACT PROVISIONS</w:t>
    </w:r>
  </w:p>
  <w:p w:rsidR="009926D7" w:rsidRPr="00A762A6" w:rsidRDefault="009926D7" w:rsidP="009926D7">
    <w:pPr>
      <w:jc w:val="center"/>
      <w:rPr>
        <w:rFonts w:cs="Arial"/>
        <w:sz w:val="20"/>
        <w:szCs w:val="20"/>
      </w:rPr>
    </w:pPr>
    <w:r w:rsidRPr="00A762A6">
      <w:rPr>
        <w:rFonts w:cs="Arial"/>
        <w:sz w:val="20"/>
        <w:szCs w:val="20"/>
      </w:rPr>
      <w:t>FEDERAL-AID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A6" w:rsidRDefault="00A762A6">
    <w:pPr>
      <w:pStyle w:val="Header"/>
    </w:pPr>
  </w:p>
  <w:p w:rsidR="00A762A6" w:rsidRDefault="00A7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12EE"/>
    <w:rsid w:val="00050E6A"/>
    <w:rsid w:val="00064F58"/>
    <w:rsid w:val="00075E1E"/>
    <w:rsid w:val="0008385C"/>
    <w:rsid w:val="00086EC6"/>
    <w:rsid w:val="00093FAA"/>
    <w:rsid w:val="000A2748"/>
    <w:rsid w:val="000A6D5A"/>
    <w:rsid w:val="000B145D"/>
    <w:rsid w:val="000B3EE5"/>
    <w:rsid w:val="000C4390"/>
    <w:rsid w:val="000D46D0"/>
    <w:rsid w:val="000D5CF2"/>
    <w:rsid w:val="00111235"/>
    <w:rsid w:val="0011732F"/>
    <w:rsid w:val="00120154"/>
    <w:rsid w:val="0012311C"/>
    <w:rsid w:val="00127E78"/>
    <w:rsid w:val="0013686C"/>
    <w:rsid w:val="0014509C"/>
    <w:rsid w:val="00164653"/>
    <w:rsid w:val="00176523"/>
    <w:rsid w:val="00185143"/>
    <w:rsid w:val="00185672"/>
    <w:rsid w:val="001868C6"/>
    <w:rsid w:val="001A10F8"/>
    <w:rsid w:val="001C6006"/>
    <w:rsid w:val="001D5BC6"/>
    <w:rsid w:val="001D7F8A"/>
    <w:rsid w:val="001E220F"/>
    <w:rsid w:val="001E26FB"/>
    <w:rsid w:val="001E45FC"/>
    <w:rsid w:val="00204569"/>
    <w:rsid w:val="002072AB"/>
    <w:rsid w:val="00211660"/>
    <w:rsid w:val="002309AF"/>
    <w:rsid w:val="002323A8"/>
    <w:rsid w:val="00242761"/>
    <w:rsid w:val="00252CB9"/>
    <w:rsid w:val="00277AC9"/>
    <w:rsid w:val="00293C33"/>
    <w:rsid w:val="002B29D5"/>
    <w:rsid w:val="002B5AD0"/>
    <w:rsid w:val="002C3F8C"/>
    <w:rsid w:val="002C55E8"/>
    <w:rsid w:val="002D7FA5"/>
    <w:rsid w:val="002E7F54"/>
    <w:rsid w:val="0030639B"/>
    <w:rsid w:val="00310626"/>
    <w:rsid w:val="00320C3D"/>
    <w:rsid w:val="00324C83"/>
    <w:rsid w:val="00334A90"/>
    <w:rsid w:val="0033621B"/>
    <w:rsid w:val="00356A02"/>
    <w:rsid w:val="00372F43"/>
    <w:rsid w:val="003959B4"/>
    <w:rsid w:val="003B1348"/>
    <w:rsid w:val="003C11F5"/>
    <w:rsid w:val="003C1EDE"/>
    <w:rsid w:val="003C2237"/>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C4D"/>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61BF6"/>
    <w:rsid w:val="00564804"/>
    <w:rsid w:val="005711D8"/>
    <w:rsid w:val="005826FE"/>
    <w:rsid w:val="005953D5"/>
    <w:rsid w:val="005A5471"/>
    <w:rsid w:val="005C202F"/>
    <w:rsid w:val="005D0D1B"/>
    <w:rsid w:val="005E6D9D"/>
    <w:rsid w:val="005F601B"/>
    <w:rsid w:val="005F7B77"/>
    <w:rsid w:val="0061249E"/>
    <w:rsid w:val="00613568"/>
    <w:rsid w:val="006334B7"/>
    <w:rsid w:val="00647223"/>
    <w:rsid w:val="006560C0"/>
    <w:rsid w:val="0066054C"/>
    <w:rsid w:val="006650BA"/>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C4CA4"/>
    <w:rsid w:val="007D5DDF"/>
    <w:rsid w:val="007E478D"/>
    <w:rsid w:val="007E6C27"/>
    <w:rsid w:val="00805017"/>
    <w:rsid w:val="00805F8F"/>
    <w:rsid w:val="008202C3"/>
    <w:rsid w:val="0083615C"/>
    <w:rsid w:val="00841ABD"/>
    <w:rsid w:val="00845099"/>
    <w:rsid w:val="00883C4C"/>
    <w:rsid w:val="008872BF"/>
    <w:rsid w:val="00891D79"/>
    <w:rsid w:val="008A099B"/>
    <w:rsid w:val="008A6E4D"/>
    <w:rsid w:val="008B2DCC"/>
    <w:rsid w:val="00910DA5"/>
    <w:rsid w:val="00915559"/>
    <w:rsid w:val="009245EE"/>
    <w:rsid w:val="0092768D"/>
    <w:rsid w:val="00946838"/>
    <w:rsid w:val="00952F87"/>
    <w:rsid w:val="009533EE"/>
    <w:rsid w:val="009538AD"/>
    <w:rsid w:val="009574EE"/>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A00E41"/>
    <w:rsid w:val="00A23D8F"/>
    <w:rsid w:val="00A32652"/>
    <w:rsid w:val="00A36D59"/>
    <w:rsid w:val="00A42CE1"/>
    <w:rsid w:val="00A42F50"/>
    <w:rsid w:val="00A44A01"/>
    <w:rsid w:val="00A55D50"/>
    <w:rsid w:val="00A60EE0"/>
    <w:rsid w:val="00A62E12"/>
    <w:rsid w:val="00A6670C"/>
    <w:rsid w:val="00A66F31"/>
    <w:rsid w:val="00A762A6"/>
    <w:rsid w:val="00AA498C"/>
    <w:rsid w:val="00AB0D72"/>
    <w:rsid w:val="00AC5DD1"/>
    <w:rsid w:val="00AC65BF"/>
    <w:rsid w:val="00AD1094"/>
    <w:rsid w:val="00AE14CF"/>
    <w:rsid w:val="00AE77FE"/>
    <w:rsid w:val="00B10081"/>
    <w:rsid w:val="00B23862"/>
    <w:rsid w:val="00B24277"/>
    <w:rsid w:val="00B27231"/>
    <w:rsid w:val="00B54158"/>
    <w:rsid w:val="00B56C3E"/>
    <w:rsid w:val="00B97559"/>
    <w:rsid w:val="00B97A4E"/>
    <w:rsid w:val="00BB4944"/>
    <w:rsid w:val="00BB5EB7"/>
    <w:rsid w:val="00BB7A0F"/>
    <w:rsid w:val="00BC086F"/>
    <w:rsid w:val="00BE0210"/>
    <w:rsid w:val="00BE3CAD"/>
    <w:rsid w:val="00BE3E44"/>
    <w:rsid w:val="00BE6B39"/>
    <w:rsid w:val="00C14E41"/>
    <w:rsid w:val="00C223E9"/>
    <w:rsid w:val="00C225EE"/>
    <w:rsid w:val="00C463DD"/>
    <w:rsid w:val="00C53DB2"/>
    <w:rsid w:val="00C57906"/>
    <w:rsid w:val="00C617C1"/>
    <w:rsid w:val="00C84B0C"/>
    <w:rsid w:val="00C91340"/>
    <w:rsid w:val="00CB0A2B"/>
    <w:rsid w:val="00CB2233"/>
    <w:rsid w:val="00CB4E75"/>
    <w:rsid w:val="00CC0FCA"/>
    <w:rsid w:val="00CD534C"/>
    <w:rsid w:val="00CF1C32"/>
    <w:rsid w:val="00CF1FE2"/>
    <w:rsid w:val="00D1029F"/>
    <w:rsid w:val="00D268DF"/>
    <w:rsid w:val="00D30533"/>
    <w:rsid w:val="00D33B99"/>
    <w:rsid w:val="00D344B2"/>
    <w:rsid w:val="00D50D39"/>
    <w:rsid w:val="00D6774F"/>
    <w:rsid w:val="00D847C1"/>
    <w:rsid w:val="00D86873"/>
    <w:rsid w:val="00D913B9"/>
    <w:rsid w:val="00D961D6"/>
    <w:rsid w:val="00DA1AA9"/>
    <w:rsid w:val="00DB0892"/>
    <w:rsid w:val="00DB7B6F"/>
    <w:rsid w:val="00DC4794"/>
    <w:rsid w:val="00DC4C8C"/>
    <w:rsid w:val="00DD10B2"/>
    <w:rsid w:val="00DD194E"/>
    <w:rsid w:val="00DE1E21"/>
    <w:rsid w:val="00DF0D2D"/>
    <w:rsid w:val="00DF3F29"/>
    <w:rsid w:val="00DF5E07"/>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11018"/>
    <w:rsid w:val="00F4166F"/>
    <w:rsid w:val="00F6134B"/>
    <w:rsid w:val="00F73A2D"/>
    <w:rsid w:val="00F75158"/>
    <w:rsid w:val="00F94658"/>
    <w:rsid w:val="00FC504F"/>
    <w:rsid w:val="00FD0848"/>
    <w:rsid w:val="00FD0E83"/>
    <w:rsid w:val="00FD192A"/>
    <w:rsid w:val="00FE1828"/>
    <w:rsid w:val="00FE74BB"/>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5:docId w15:val="{A3FE756F-4A21-411D-85A2-D438E45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p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ls.gov/" TargetMode="External"/><Relationship Id="rId5" Type="http://schemas.openxmlformats.org/officeDocument/2006/relationships/footnotes" Target="footnotes.xml"/><Relationship Id="rId10" Type="http://schemas.openxmlformats.org/officeDocument/2006/relationships/hyperlink" Target="http://www.fhwa.dot.gov/eform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30A7-D360-4CDB-A583-2F78E73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10815</Words>
  <Characters>61651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72322</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6</cp:revision>
  <cp:lastPrinted>2011-07-19T13:53:00Z</cp:lastPrinted>
  <dcterms:created xsi:type="dcterms:W3CDTF">2016-11-03T16:34:00Z</dcterms:created>
  <dcterms:modified xsi:type="dcterms:W3CDTF">2016-11-03T18:53:00Z</dcterms:modified>
</cp:coreProperties>
</file>