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45" w:rsidRDefault="00A16A45" w:rsidP="00A16A45"/>
    <w:p w:rsidR="007A1E1C" w:rsidRDefault="000D1A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29, 2015</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703</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AGGREGATE FOR COVER COAT MATERIAL</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7A1E1C" w:rsidRDefault="007A1E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7A1E1C" w:rsidRDefault="007A1E1C"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projects having cover coat material.</w:t>
      </w:r>
    </w:p>
    <w:p w:rsidR="00A16A45" w:rsidRDefault="00A16A45" w:rsidP="001512DF">
      <w:pPr>
        <w:tabs>
          <w:tab w:val="right" w:pos="8640"/>
        </w:tabs>
      </w:pPr>
      <w:r>
        <w:rPr>
          <w:sz w:val="22"/>
        </w:rPr>
        <w:tab/>
      </w:r>
    </w:p>
    <w:p w:rsidR="007A1E1C" w:rsidRDefault="007A1E1C">
      <w:pPr>
        <w:rPr>
          <w:rFonts w:ascii="Arial" w:hAnsi="Arial" w:cs="Arial"/>
          <w:color w:val="181717"/>
        </w:rPr>
      </w:pPr>
      <w:r>
        <w:rPr>
          <w:rFonts w:ascii="Arial" w:hAnsi="Arial" w:cs="Arial"/>
          <w:color w:val="181717"/>
        </w:rPr>
        <w:br w:type="page"/>
      </w:r>
    </w:p>
    <w:p w:rsidR="007A1E1C" w:rsidRDefault="000D1AD2" w:rsidP="007A1E1C">
      <w:pPr>
        <w:ind w:left="10" w:right="110" w:hanging="10"/>
        <w:jc w:val="right"/>
        <w:rPr>
          <w:rFonts w:ascii="Arial" w:hAnsi="Arial" w:cs="Arial"/>
          <w:color w:val="181717"/>
        </w:rPr>
      </w:pPr>
      <w:r>
        <w:rPr>
          <w:rFonts w:ascii="Arial" w:hAnsi="Arial" w:cs="Arial"/>
          <w:color w:val="181717"/>
        </w:rPr>
        <w:lastRenderedPageBreak/>
        <w:t>October 29</w:t>
      </w:r>
      <w:bookmarkStart w:id="0" w:name="_GoBack"/>
      <w:bookmarkEnd w:id="0"/>
      <w:r w:rsidR="007A1E1C">
        <w:rPr>
          <w:rFonts w:ascii="Arial" w:hAnsi="Arial" w:cs="Arial"/>
          <w:color w:val="181717"/>
        </w:rPr>
        <w:t>, 2015</w:t>
      </w:r>
    </w:p>
    <w:p w:rsidR="00A16A45" w:rsidRPr="009C44DA" w:rsidRDefault="00A16A45" w:rsidP="00C112E7">
      <w:pPr>
        <w:ind w:left="10" w:right="110" w:hanging="10"/>
        <w:jc w:val="center"/>
        <w:rPr>
          <w:rFonts w:ascii="Arial" w:hAnsi="Arial" w:cs="Arial"/>
          <w:color w:val="181717"/>
        </w:rPr>
      </w:pPr>
      <w:r w:rsidRPr="009C44DA">
        <w:rPr>
          <w:rFonts w:ascii="Arial" w:hAnsi="Arial" w:cs="Arial"/>
          <w:color w:val="181717"/>
        </w:rPr>
        <w:t>SECTION 703</w:t>
      </w:r>
    </w:p>
    <w:p w:rsidR="00A16A45" w:rsidRPr="009C44DA" w:rsidRDefault="00A16A45" w:rsidP="00C112E7">
      <w:pPr>
        <w:spacing w:after="264"/>
        <w:ind w:left="10" w:right="110" w:hanging="10"/>
        <w:jc w:val="center"/>
        <w:rPr>
          <w:rFonts w:ascii="Arial" w:hAnsi="Arial" w:cs="Arial"/>
          <w:color w:val="181717"/>
        </w:rPr>
      </w:pPr>
      <w:r w:rsidRPr="009C44DA">
        <w:rPr>
          <w:rFonts w:ascii="Arial" w:hAnsi="Arial" w:cs="Arial"/>
          <w:color w:val="181717"/>
        </w:rPr>
        <w:t>AGGREGATE</w:t>
      </w:r>
      <w:r w:rsidR="008B6006" w:rsidRPr="009C44DA">
        <w:rPr>
          <w:rFonts w:ascii="Arial" w:hAnsi="Arial" w:cs="Arial"/>
          <w:color w:val="181717"/>
        </w:rPr>
        <w:t xml:space="preserve"> FOR COVER COAT MATERIAL</w:t>
      </w:r>
    </w:p>
    <w:p w:rsidR="00A16A45" w:rsidRPr="009C44DA" w:rsidRDefault="00A16A45" w:rsidP="00A16A45">
      <w:pPr>
        <w:spacing w:after="172" w:line="255" w:lineRule="auto"/>
        <w:ind w:left="-5" w:right="58" w:hanging="10"/>
        <w:rPr>
          <w:rFonts w:ascii="Arial" w:hAnsi="Arial" w:cs="Arial"/>
          <w:b/>
        </w:rPr>
      </w:pPr>
      <w:r w:rsidRPr="009C44DA">
        <w:rPr>
          <w:rFonts w:ascii="Arial" w:hAnsi="Arial" w:cs="Arial"/>
        </w:rPr>
        <w:t>Section 703 of the Standard Specification</w:t>
      </w:r>
      <w:r w:rsidR="00660E5F" w:rsidRPr="009C44DA">
        <w:rPr>
          <w:rFonts w:ascii="Arial" w:hAnsi="Arial" w:cs="Arial"/>
        </w:rPr>
        <w:t>s</w:t>
      </w:r>
      <w:r w:rsidRPr="009C44DA">
        <w:rPr>
          <w:rFonts w:ascii="Arial" w:hAnsi="Arial" w:cs="Arial"/>
        </w:rPr>
        <w:t xml:space="preserve"> is hereby revised for this project as follows:</w:t>
      </w:r>
    </w:p>
    <w:p w:rsidR="009C44DA" w:rsidRDefault="00A16A45" w:rsidP="009C44DA">
      <w:pPr>
        <w:spacing w:after="172" w:line="255" w:lineRule="auto"/>
        <w:ind w:left="-5" w:right="58" w:hanging="10"/>
        <w:rPr>
          <w:rFonts w:ascii="Arial" w:hAnsi="Arial" w:cs="Arial"/>
          <w:color w:val="181717"/>
        </w:rPr>
      </w:pPr>
      <w:r w:rsidRPr="009C44DA">
        <w:rPr>
          <w:rFonts w:ascii="Arial" w:hAnsi="Arial" w:cs="Arial"/>
          <w:color w:val="181717"/>
        </w:rPr>
        <w:t>Delete subsection 703.05 and replace with the following:</w:t>
      </w:r>
    </w:p>
    <w:p w:rsidR="00A16A45" w:rsidRPr="009C44DA" w:rsidRDefault="00A16A45" w:rsidP="009C44DA">
      <w:pPr>
        <w:spacing w:after="172" w:line="255" w:lineRule="auto"/>
        <w:ind w:left="-5" w:right="58" w:hanging="10"/>
        <w:rPr>
          <w:rFonts w:ascii="Arial" w:hAnsi="Arial" w:cs="Arial"/>
          <w:color w:val="181717"/>
        </w:rPr>
      </w:pPr>
      <w:proofErr w:type="gramStart"/>
      <w:r w:rsidRPr="009C44DA">
        <w:rPr>
          <w:rFonts w:ascii="Arial" w:hAnsi="Arial" w:cs="Arial"/>
          <w:b/>
          <w:color w:val="181717"/>
        </w:rPr>
        <w:t>703.05  Aggregate</w:t>
      </w:r>
      <w:proofErr w:type="gramEnd"/>
      <w:r w:rsidRPr="009C44DA">
        <w:rPr>
          <w:rFonts w:ascii="Arial" w:hAnsi="Arial" w:cs="Arial"/>
          <w:b/>
          <w:color w:val="181717"/>
        </w:rPr>
        <w:t xml:space="preserve"> for Cover Coat Material.  </w:t>
      </w:r>
      <w:r w:rsidRPr="009C44DA">
        <w:rPr>
          <w:rFonts w:ascii="Arial" w:hAnsi="Arial" w:cs="Arial"/>
          <w:color w:val="181717"/>
        </w:rPr>
        <w:t xml:space="preserve">Aggregates for cover coat material shall be crushed stone, crushed slag, crushed gravel, or natural gravel. Aggregates shall be composed of clean, tough, durable fragments free from an excess of flat, elongated, soft, or disintegrated pieces and free from fragments coated with dirt or other objectionable matter. Slag shall be air-cooled blast-furnace slag reasonably uniform in density. </w:t>
      </w:r>
    </w:p>
    <w:p w:rsidR="00A16A45" w:rsidRPr="009C44DA" w:rsidRDefault="00A16A45" w:rsidP="00C112E7">
      <w:pPr>
        <w:spacing w:after="196" w:line="255" w:lineRule="auto"/>
        <w:ind w:left="-5" w:right="58" w:hanging="10"/>
        <w:rPr>
          <w:rFonts w:ascii="Arial" w:hAnsi="Arial" w:cs="Arial"/>
          <w:color w:val="181717"/>
        </w:rPr>
      </w:pPr>
      <w:r w:rsidRPr="009C44DA">
        <w:rPr>
          <w:rFonts w:ascii="Arial" w:hAnsi="Arial" w:cs="Arial"/>
          <w:color w:val="181717"/>
        </w:rPr>
        <w:t>The aggregate shall conform to the following requirements:</w:t>
      </w:r>
    </w:p>
    <w:p w:rsidR="00A16A45" w:rsidRPr="009C44DA" w:rsidRDefault="00A16A45" w:rsidP="00A16A45">
      <w:pPr>
        <w:numPr>
          <w:ilvl w:val="0"/>
          <w:numId w:val="20"/>
        </w:numPr>
        <w:spacing w:after="196" w:line="255" w:lineRule="auto"/>
        <w:ind w:right="58" w:hanging="528"/>
        <w:rPr>
          <w:rFonts w:ascii="Arial" w:hAnsi="Arial" w:cs="Arial"/>
          <w:color w:val="181717"/>
        </w:rPr>
      </w:pPr>
      <w:r w:rsidRPr="009C44DA">
        <w:rPr>
          <w:rFonts w:ascii="Arial" w:hAnsi="Arial" w:cs="Arial"/>
          <w:color w:val="181717"/>
        </w:rPr>
        <w:t>Percentage of wear, Los Angeles Abrasion Test (AASHTO T 96), not more than 35.</w:t>
      </w:r>
    </w:p>
    <w:p w:rsidR="00A16A45" w:rsidRPr="009C44DA" w:rsidRDefault="00A16A45" w:rsidP="00A16A45">
      <w:pPr>
        <w:numPr>
          <w:ilvl w:val="0"/>
          <w:numId w:val="20"/>
        </w:numPr>
        <w:spacing w:after="196" w:line="255" w:lineRule="auto"/>
        <w:ind w:right="58" w:hanging="528"/>
        <w:rPr>
          <w:rFonts w:ascii="Arial" w:hAnsi="Arial" w:cs="Arial"/>
          <w:color w:val="181717"/>
        </w:rPr>
      </w:pPr>
      <w:r w:rsidRPr="009C44DA">
        <w:rPr>
          <w:rFonts w:ascii="Arial" w:hAnsi="Arial" w:cs="Arial"/>
          <w:color w:val="181717"/>
        </w:rPr>
        <w:t>The maximum amount of flat and elongated aggregate with a ratio of 3:1 shall not exceed 12</w:t>
      </w:r>
      <w:r w:rsidR="008B6006" w:rsidRPr="009C44DA">
        <w:rPr>
          <w:rFonts w:ascii="Arial" w:hAnsi="Arial" w:cs="Arial"/>
          <w:color w:val="181717"/>
        </w:rPr>
        <w:t xml:space="preserve"> percent </w:t>
      </w:r>
      <w:r w:rsidRPr="009C44DA">
        <w:rPr>
          <w:rFonts w:ascii="Arial" w:hAnsi="Arial" w:cs="Arial"/>
          <w:color w:val="181717"/>
        </w:rPr>
        <w:t>as determined by ASTM D4791.</w:t>
      </w:r>
    </w:p>
    <w:p w:rsidR="00A16A45" w:rsidRPr="009C44DA" w:rsidRDefault="00A16A45" w:rsidP="00A16A45">
      <w:pPr>
        <w:numPr>
          <w:ilvl w:val="0"/>
          <w:numId w:val="20"/>
        </w:numPr>
        <w:spacing w:after="196" w:line="255" w:lineRule="auto"/>
        <w:ind w:right="58" w:hanging="528"/>
        <w:rPr>
          <w:rFonts w:ascii="Arial" w:hAnsi="Arial" w:cs="Arial"/>
          <w:color w:val="181717"/>
        </w:rPr>
      </w:pPr>
      <w:r w:rsidRPr="009C44DA">
        <w:rPr>
          <w:rFonts w:ascii="Arial" w:hAnsi="Arial" w:cs="Arial"/>
          <w:color w:val="181717"/>
        </w:rPr>
        <w:t>When blast-furnace slag is used, weight per cubic foot shall be at least 70 pounds.</w:t>
      </w:r>
    </w:p>
    <w:p w:rsidR="00A16A45" w:rsidRPr="009C44DA" w:rsidRDefault="00A16A45" w:rsidP="00A16A45">
      <w:pPr>
        <w:numPr>
          <w:ilvl w:val="0"/>
          <w:numId w:val="20"/>
        </w:numPr>
        <w:spacing w:after="196" w:line="255" w:lineRule="auto"/>
        <w:ind w:right="58" w:hanging="528"/>
        <w:rPr>
          <w:rFonts w:ascii="Arial" w:hAnsi="Arial" w:cs="Arial"/>
          <w:color w:val="181717"/>
        </w:rPr>
      </w:pPr>
      <w:r w:rsidRPr="009C44DA">
        <w:rPr>
          <w:rFonts w:ascii="Arial" w:hAnsi="Arial" w:cs="Arial"/>
          <w:color w:val="181717"/>
        </w:rPr>
        <w:t>For Type I, II, or IV cover coat material, 90 percent by weight of the particles retained on the 4.75 mm (No. 4) sieve shall have at least two fractured faces when tested in accordance with Colorado Procedure 45.</w:t>
      </w:r>
    </w:p>
    <w:p w:rsidR="00A16A45" w:rsidRPr="009C44DA" w:rsidRDefault="00A16A45" w:rsidP="00A16A45">
      <w:pPr>
        <w:numPr>
          <w:ilvl w:val="0"/>
          <w:numId w:val="20"/>
        </w:numPr>
        <w:spacing w:after="353" w:line="255" w:lineRule="auto"/>
        <w:ind w:right="58" w:hanging="528"/>
        <w:rPr>
          <w:rFonts w:ascii="Arial" w:hAnsi="Arial" w:cs="Arial"/>
          <w:color w:val="181717"/>
        </w:rPr>
      </w:pPr>
      <w:r w:rsidRPr="009C44DA">
        <w:rPr>
          <w:rFonts w:ascii="Arial" w:hAnsi="Arial" w:cs="Arial"/>
          <w:color w:val="181717"/>
        </w:rPr>
        <w:t>Lightweight aggregate used for cover coat material shall be an aggregate prepared by expanding shale, clay, or slate in a rotary fired kiln. Lightweight aggregate shall have a dry loose unit weight of 35 to 55 pounds per cubic foot determined in accordance with AASHTO T 19, Shoveling Procedure. The total mass of the test sample of lightweight aggregate used in AASHTO T 96 (Los Angles Abrasion) shall be 2000 g.</w:t>
      </w:r>
    </w:p>
    <w:p w:rsidR="009C44DA" w:rsidRDefault="00A16A45" w:rsidP="00C112E7">
      <w:pPr>
        <w:keepNext/>
        <w:keepLines/>
        <w:ind w:left="265" w:right="146" w:hanging="10"/>
        <w:jc w:val="center"/>
        <w:outlineLvl w:val="2"/>
        <w:rPr>
          <w:rFonts w:ascii="Arial" w:hAnsi="Arial" w:cs="Arial"/>
          <w:b/>
          <w:color w:val="181717"/>
        </w:rPr>
      </w:pPr>
      <w:r w:rsidRPr="009C44DA">
        <w:rPr>
          <w:rFonts w:ascii="Arial" w:hAnsi="Arial" w:cs="Arial"/>
          <w:b/>
          <w:color w:val="181717"/>
        </w:rPr>
        <w:t xml:space="preserve">Table 703-6 </w:t>
      </w:r>
    </w:p>
    <w:p w:rsidR="00A16A45" w:rsidRPr="009C44DA" w:rsidRDefault="00A16A45" w:rsidP="00C112E7">
      <w:pPr>
        <w:keepNext/>
        <w:keepLines/>
        <w:ind w:left="265" w:right="146" w:hanging="10"/>
        <w:jc w:val="center"/>
        <w:outlineLvl w:val="2"/>
        <w:rPr>
          <w:rFonts w:ascii="Arial" w:hAnsi="Arial" w:cs="Arial"/>
          <w:b/>
          <w:color w:val="181717"/>
        </w:rPr>
      </w:pPr>
      <w:r w:rsidRPr="009C44DA">
        <w:rPr>
          <w:rFonts w:ascii="Arial" w:hAnsi="Arial" w:cs="Arial"/>
          <w:b/>
          <w:color w:val="181717"/>
        </w:rPr>
        <w:t>GRADATION SPECIFICATIONS FOR COVER COAT AGGREGATE</w:t>
      </w:r>
    </w:p>
    <w:tbl>
      <w:tblPr>
        <w:tblStyle w:val="TableGrid"/>
        <w:tblW w:w="8059" w:type="dxa"/>
        <w:jc w:val="center"/>
        <w:tblInd w:w="0" w:type="dxa"/>
        <w:tblCellMar>
          <w:top w:w="107" w:type="dxa"/>
          <w:left w:w="88" w:type="dxa"/>
          <w:right w:w="115" w:type="dxa"/>
        </w:tblCellMar>
        <w:tblLook w:val="04A0" w:firstRow="1" w:lastRow="0" w:firstColumn="1" w:lastColumn="0" w:noHBand="0" w:noVBand="1"/>
      </w:tblPr>
      <w:tblGrid>
        <w:gridCol w:w="2065"/>
        <w:gridCol w:w="1998"/>
        <w:gridCol w:w="1998"/>
        <w:gridCol w:w="1998"/>
      </w:tblGrid>
      <w:tr w:rsidR="00A16A45" w:rsidRPr="009C44DA" w:rsidTr="009C44DA">
        <w:trPr>
          <w:trHeight w:val="347"/>
          <w:jc w:val="center"/>
        </w:trPr>
        <w:tc>
          <w:tcPr>
            <w:tcW w:w="2065" w:type="dxa"/>
            <w:vMerge w:val="restart"/>
            <w:tcBorders>
              <w:top w:val="double" w:sz="5" w:space="0" w:color="181717"/>
              <w:left w:val="double" w:sz="5" w:space="0" w:color="181717"/>
              <w:bottom w:val="single" w:sz="5" w:space="0" w:color="181717"/>
              <w:right w:val="single" w:sz="5" w:space="0" w:color="181717"/>
            </w:tcBorders>
            <w:vAlign w:val="center"/>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Sieve Size</w:t>
            </w:r>
          </w:p>
        </w:tc>
        <w:tc>
          <w:tcPr>
            <w:tcW w:w="5994" w:type="dxa"/>
            <w:gridSpan w:val="3"/>
            <w:tcBorders>
              <w:top w:val="double" w:sz="5" w:space="0" w:color="181717"/>
              <w:left w:val="single" w:sz="5" w:space="0" w:color="181717"/>
              <w:bottom w:val="single" w:sz="5" w:space="0" w:color="181717"/>
              <w:right w:val="doub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Percent by Weight Passing Square Mesh Sieve</w:t>
            </w:r>
          </w:p>
        </w:tc>
      </w:tr>
      <w:tr w:rsidR="00A16A45" w:rsidRPr="009C44DA" w:rsidTr="009C44DA">
        <w:trPr>
          <w:trHeight w:val="615"/>
          <w:jc w:val="center"/>
        </w:trPr>
        <w:tc>
          <w:tcPr>
            <w:tcW w:w="0" w:type="auto"/>
            <w:vMerge/>
            <w:tcBorders>
              <w:top w:val="nil"/>
              <w:left w:val="double" w:sz="5" w:space="0" w:color="181717"/>
              <w:bottom w:val="single" w:sz="5" w:space="0" w:color="181717"/>
              <w:right w:val="single" w:sz="5" w:space="0" w:color="181717"/>
            </w:tcBorders>
          </w:tcPr>
          <w:p w:rsidR="00A16A45" w:rsidRPr="009C44DA" w:rsidRDefault="00A16A45" w:rsidP="00C112E7">
            <w:pPr>
              <w:rPr>
                <w:rFonts w:ascii="Arial" w:eastAsia="Times New Roman" w:hAnsi="Arial" w:cs="Arial"/>
                <w:color w:val="181717"/>
                <w:sz w:val="20"/>
                <w:szCs w:val="20"/>
              </w:rPr>
            </w:pPr>
          </w:p>
        </w:tc>
        <w:tc>
          <w:tcPr>
            <w:tcW w:w="1998" w:type="dxa"/>
            <w:tcBorders>
              <w:top w:val="single" w:sz="5" w:space="0" w:color="181717"/>
              <w:left w:val="single" w:sz="5" w:space="0" w:color="181717"/>
              <w:bottom w:val="single" w:sz="5" w:space="0" w:color="181717"/>
              <w:right w:val="sing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9.5 mm (</w:t>
            </w:r>
            <w:r w:rsidRPr="009C44DA">
              <w:rPr>
                <w:rFonts w:ascii="Arial" w:eastAsia="Garamond" w:hAnsi="Arial" w:cs="Arial"/>
                <w:color w:val="181717"/>
                <w:sz w:val="20"/>
                <w:szCs w:val="20"/>
              </w:rPr>
              <w:t>⅜</w:t>
            </w:r>
            <w:r w:rsidRPr="009C44DA">
              <w:rPr>
                <w:rFonts w:ascii="Arial" w:eastAsia="Times New Roman" w:hAnsi="Arial" w:cs="Arial"/>
                <w:b/>
                <w:color w:val="181717"/>
                <w:sz w:val="20"/>
                <w:szCs w:val="20"/>
              </w:rPr>
              <w:t>")</w:t>
            </w:r>
          </w:p>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Type 1</w:t>
            </w:r>
          </w:p>
        </w:tc>
        <w:tc>
          <w:tcPr>
            <w:tcW w:w="1998" w:type="dxa"/>
            <w:tcBorders>
              <w:top w:val="single" w:sz="5" w:space="0" w:color="181717"/>
              <w:left w:val="single" w:sz="5" w:space="0" w:color="181717"/>
              <w:bottom w:val="single" w:sz="5" w:space="0" w:color="181717"/>
              <w:right w:val="sing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12.5 mm (½")</w:t>
            </w:r>
          </w:p>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Type II</w:t>
            </w:r>
          </w:p>
        </w:tc>
        <w:tc>
          <w:tcPr>
            <w:tcW w:w="1998" w:type="dxa"/>
            <w:tcBorders>
              <w:top w:val="single" w:sz="5" w:space="0" w:color="181717"/>
              <w:left w:val="single" w:sz="5" w:space="0" w:color="181717"/>
              <w:bottom w:val="single" w:sz="5" w:space="0" w:color="181717"/>
              <w:right w:val="doub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19.0 mm (¾")*</w:t>
            </w:r>
          </w:p>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b/>
                <w:color w:val="181717"/>
                <w:sz w:val="20"/>
                <w:szCs w:val="20"/>
              </w:rPr>
              <w:t>Type IV</w:t>
            </w:r>
          </w:p>
        </w:tc>
      </w:tr>
      <w:tr w:rsidR="00A16A45" w:rsidRPr="009C44DA" w:rsidTr="009C44DA">
        <w:trPr>
          <w:trHeight w:val="348"/>
          <w:jc w:val="center"/>
        </w:trPr>
        <w:tc>
          <w:tcPr>
            <w:tcW w:w="2065" w:type="dxa"/>
            <w:tcBorders>
              <w:top w:val="single" w:sz="5" w:space="0" w:color="181717"/>
              <w:left w:val="double" w:sz="5" w:space="0" w:color="181717"/>
              <w:bottom w:val="nil"/>
              <w:right w:val="single" w:sz="5" w:space="0" w:color="181717"/>
            </w:tcBorders>
            <w:shd w:val="clear" w:color="auto" w:fill="E9E8E7"/>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19.0 mm (¾")</w:t>
            </w:r>
          </w:p>
        </w:tc>
        <w:tc>
          <w:tcPr>
            <w:tcW w:w="1998" w:type="dxa"/>
            <w:tcBorders>
              <w:top w:val="single" w:sz="5" w:space="0" w:color="181717"/>
              <w:left w:val="single" w:sz="5" w:space="0" w:color="181717"/>
              <w:bottom w:val="nil"/>
              <w:right w:val="single" w:sz="5" w:space="0" w:color="181717"/>
            </w:tcBorders>
            <w:shd w:val="clear" w:color="auto" w:fill="E9E8E7"/>
          </w:tcPr>
          <w:p w:rsidR="00A16A45" w:rsidRPr="009C44DA" w:rsidRDefault="00A16A45" w:rsidP="00C112E7">
            <w:pPr>
              <w:rPr>
                <w:rFonts w:ascii="Arial" w:eastAsia="Times New Roman" w:hAnsi="Arial" w:cs="Arial"/>
                <w:color w:val="181717"/>
                <w:sz w:val="20"/>
                <w:szCs w:val="20"/>
              </w:rPr>
            </w:pPr>
          </w:p>
        </w:tc>
        <w:tc>
          <w:tcPr>
            <w:tcW w:w="1998" w:type="dxa"/>
            <w:tcBorders>
              <w:top w:val="single" w:sz="5" w:space="0" w:color="181717"/>
              <w:left w:val="single" w:sz="5" w:space="0" w:color="181717"/>
              <w:bottom w:val="nil"/>
              <w:right w:val="single" w:sz="5" w:space="0" w:color="181717"/>
            </w:tcBorders>
            <w:shd w:val="clear" w:color="auto" w:fill="E9E8E7"/>
          </w:tcPr>
          <w:p w:rsidR="00A16A45" w:rsidRPr="009C44DA" w:rsidRDefault="00A16A45" w:rsidP="00C112E7">
            <w:pPr>
              <w:rPr>
                <w:rFonts w:ascii="Arial" w:eastAsia="Times New Roman" w:hAnsi="Arial" w:cs="Arial"/>
                <w:color w:val="181717"/>
                <w:sz w:val="20"/>
                <w:szCs w:val="20"/>
              </w:rPr>
            </w:pPr>
          </w:p>
        </w:tc>
        <w:tc>
          <w:tcPr>
            <w:tcW w:w="1998" w:type="dxa"/>
            <w:tcBorders>
              <w:top w:val="single" w:sz="5" w:space="0" w:color="181717"/>
              <w:left w:val="single" w:sz="5" w:space="0" w:color="181717"/>
              <w:bottom w:val="nil"/>
              <w:right w:val="double" w:sz="5" w:space="0" w:color="181717"/>
            </w:tcBorders>
            <w:shd w:val="clear" w:color="auto" w:fill="E9E8E7"/>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100</w:t>
            </w:r>
          </w:p>
        </w:tc>
      </w:tr>
      <w:tr w:rsidR="00A16A45" w:rsidRPr="009C44DA" w:rsidTr="009C44DA">
        <w:trPr>
          <w:trHeight w:val="348"/>
          <w:jc w:val="center"/>
        </w:trPr>
        <w:tc>
          <w:tcPr>
            <w:tcW w:w="2065" w:type="dxa"/>
            <w:tcBorders>
              <w:top w:val="nil"/>
              <w:left w:val="double" w:sz="5" w:space="0" w:color="181717"/>
              <w:bottom w:val="nil"/>
              <w:right w:val="sing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12.5 mm (½")</w:t>
            </w:r>
          </w:p>
        </w:tc>
        <w:tc>
          <w:tcPr>
            <w:tcW w:w="1998" w:type="dxa"/>
            <w:tcBorders>
              <w:top w:val="nil"/>
              <w:left w:val="single" w:sz="5" w:space="0" w:color="181717"/>
              <w:bottom w:val="nil"/>
              <w:right w:val="single" w:sz="5" w:space="0" w:color="181717"/>
            </w:tcBorders>
          </w:tcPr>
          <w:p w:rsidR="00A16A45" w:rsidRPr="009C44DA" w:rsidRDefault="00A16A45" w:rsidP="00C112E7">
            <w:pPr>
              <w:rPr>
                <w:rFonts w:ascii="Arial" w:eastAsia="Times New Roman" w:hAnsi="Arial" w:cs="Arial"/>
                <w:color w:val="181717"/>
                <w:sz w:val="20"/>
                <w:szCs w:val="20"/>
              </w:rPr>
            </w:pPr>
          </w:p>
        </w:tc>
        <w:tc>
          <w:tcPr>
            <w:tcW w:w="1998" w:type="dxa"/>
            <w:tcBorders>
              <w:top w:val="nil"/>
              <w:left w:val="single" w:sz="5" w:space="0" w:color="181717"/>
              <w:bottom w:val="nil"/>
              <w:right w:val="sing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100</w:t>
            </w:r>
          </w:p>
        </w:tc>
        <w:tc>
          <w:tcPr>
            <w:tcW w:w="1998" w:type="dxa"/>
            <w:tcBorders>
              <w:top w:val="nil"/>
              <w:left w:val="single" w:sz="5" w:space="0" w:color="181717"/>
              <w:bottom w:val="nil"/>
              <w:right w:val="double" w:sz="5" w:space="0" w:color="181717"/>
            </w:tcBorders>
          </w:tcPr>
          <w:p w:rsidR="00A16A45" w:rsidRPr="009C44DA" w:rsidRDefault="00A16A45" w:rsidP="00C112E7">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95-100</w:t>
            </w:r>
          </w:p>
        </w:tc>
      </w:tr>
      <w:tr w:rsidR="00A16A45" w:rsidRPr="009C44DA" w:rsidTr="009C44DA">
        <w:trPr>
          <w:trHeight w:val="348"/>
          <w:jc w:val="center"/>
        </w:trPr>
        <w:tc>
          <w:tcPr>
            <w:tcW w:w="2065" w:type="dxa"/>
            <w:tcBorders>
              <w:top w:val="nil"/>
              <w:left w:val="double" w:sz="5" w:space="0" w:color="181717"/>
              <w:bottom w:val="nil"/>
              <w:right w:val="sing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9.5 mm (</w:t>
            </w:r>
            <w:r w:rsidRPr="009C44DA">
              <w:rPr>
                <w:rFonts w:ascii="Arial" w:eastAsia="Garamond" w:hAnsi="Arial" w:cs="Arial"/>
                <w:color w:val="181717"/>
                <w:sz w:val="20"/>
                <w:szCs w:val="20"/>
              </w:rPr>
              <w:t>⅜</w:t>
            </w:r>
            <w:r w:rsidRPr="009C44DA">
              <w:rPr>
                <w:rFonts w:ascii="Arial" w:eastAsia="Times New Roman" w:hAnsi="Arial" w:cs="Arial"/>
                <w:color w:val="181717"/>
                <w:sz w:val="20"/>
                <w:szCs w:val="20"/>
              </w:rPr>
              <w:t>")</w:t>
            </w:r>
          </w:p>
        </w:tc>
        <w:tc>
          <w:tcPr>
            <w:tcW w:w="1998" w:type="dxa"/>
            <w:tcBorders>
              <w:top w:val="nil"/>
              <w:left w:val="single" w:sz="5" w:space="0" w:color="181717"/>
              <w:bottom w:val="nil"/>
              <w:right w:val="sing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100</w:t>
            </w:r>
          </w:p>
        </w:tc>
        <w:tc>
          <w:tcPr>
            <w:tcW w:w="1998" w:type="dxa"/>
            <w:tcBorders>
              <w:top w:val="nil"/>
              <w:left w:val="single" w:sz="5" w:space="0" w:color="181717"/>
              <w:bottom w:val="nil"/>
              <w:right w:val="sing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70-100</w:t>
            </w:r>
          </w:p>
        </w:tc>
        <w:tc>
          <w:tcPr>
            <w:tcW w:w="1998" w:type="dxa"/>
            <w:tcBorders>
              <w:top w:val="nil"/>
              <w:left w:val="single" w:sz="5" w:space="0" w:color="181717"/>
              <w:bottom w:val="nil"/>
              <w:right w:val="doub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60-80</w:t>
            </w:r>
          </w:p>
        </w:tc>
      </w:tr>
      <w:tr w:rsidR="00A16A45" w:rsidRPr="009C44DA" w:rsidTr="009C44DA">
        <w:trPr>
          <w:trHeight w:val="348"/>
          <w:jc w:val="center"/>
        </w:trPr>
        <w:tc>
          <w:tcPr>
            <w:tcW w:w="2065" w:type="dxa"/>
            <w:tcBorders>
              <w:top w:val="nil"/>
              <w:left w:val="double" w:sz="5" w:space="0" w:color="181717"/>
              <w:bottom w:val="nil"/>
              <w:right w:val="single" w:sz="5" w:space="0" w:color="181717"/>
            </w:tcBorders>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4.75 mm (No. 4)</w:t>
            </w:r>
          </w:p>
        </w:tc>
        <w:tc>
          <w:tcPr>
            <w:tcW w:w="1998" w:type="dxa"/>
            <w:tcBorders>
              <w:top w:val="nil"/>
              <w:left w:val="single" w:sz="5" w:space="0" w:color="181717"/>
              <w:bottom w:val="nil"/>
              <w:right w:val="single" w:sz="5" w:space="0" w:color="181717"/>
            </w:tcBorders>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0-15</w:t>
            </w:r>
          </w:p>
        </w:tc>
        <w:tc>
          <w:tcPr>
            <w:tcW w:w="1998" w:type="dxa"/>
            <w:tcBorders>
              <w:top w:val="nil"/>
              <w:left w:val="single" w:sz="5" w:space="0" w:color="181717"/>
              <w:bottom w:val="nil"/>
              <w:right w:val="single" w:sz="5" w:space="0" w:color="181717"/>
            </w:tcBorders>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0-4</w:t>
            </w:r>
          </w:p>
        </w:tc>
        <w:tc>
          <w:tcPr>
            <w:tcW w:w="1998" w:type="dxa"/>
            <w:tcBorders>
              <w:top w:val="nil"/>
              <w:left w:val="single" w:sz="5" w:space="0" w:color="181717"/>
              <w:bottom w:val="nil"/>
              <w:right w:val="double" w:sz="5" w:space="0" w:color="181717"/>
            </w:tcBorders>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0-10</w:t>
            </w:r>
          </w:p>
        </w:tc>
      </w:tr>
      <w:tr w:rsidR="00A16A45" w:rsidRPr="009C44DA" w:rsidTr="009C44DA">
        <w:trPr>
          <w:trHeight w:val="348"/>
          <w:jc w:val="center"/>
        </w:trPr>
        <w:tc>
          <w:tcPr>
            <w:tcW w:w="2065" w:type="dxa"/>
            <w:tcBorders>
              <w:top w:val="nil"/>
              <w:left w:val="double" w:sz="5" w:space="0" w:color="181717"/>
              <w:bottom w:val="single" w:sz="5" w:space="0" w:color="181717"/>
              <w:right w:val="sing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75 µm (# 200)</w:t>
            </w:r>
          </w:p>
        </w:tc>
        <w:tc>
          <w:tcPr>
            <w:tcW w:w="1998" w:type="dxa"/>
            <w:tcBorders>
              <w:top w:val="nil"/>
              <w:left w:val="single" w:sz="5" w:space="0" w:color="181717"/>
              <w:bottom w:val="single" w:sz="5" w:space="0" w:color="181717"/>
              <w:right w:val="single" w:sz="5" w:space="0" w:color="181717"/>
            </w:tcBorders>
            <w:shd w:val="clear" w:color="auto" w:fill="E9E8E7"/>
          </w:tcPr>
          <w:p w:rsidR="00A16A45" w:rsidRPr="009C44DA" w:rsidRDefault="00A16A45" w:rsidP="00C112E7">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0-1.5</w:t>
            </w:r>
          </w:p>
        </w:tc>
        <w:tc>
          <w:tcPr>
            <w:tcW w:w="1998" w:type="dxa"/>
            <w:tcBorders>
              <w:top w:val="nil"/>
              <w:left w:val="single" w:sz="5" w:space="0" w:color="181717"/>
              <w:bottom w:val="single" w:sz="5" w:space="0" w:color="181717"/>
              <w:right w:val="single" w:sz="5" w:space="0" w:color="181717"/>
            </w:tcBorders>
            <w:shd w:val="clear" w:color="auto" w:fill="E9E8E7"/>
          </w:tcPr>
          <w:p w:rsidR="00A16A45" w:rsidRPr="009C44DA" w:rsidRDefault="00A16A45" w:rsidP="00BC071B">
            <w:pPr>
              <w:ind w:left="28"/>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0-1.5</w:t>
            </w:r>
          </w:p>
        </w:tc>
        <w:tc>
          <w:tcPr>
            <w:tcW w:w="1998" w:type="dxa"/>
            <w:tcBorders>
              <w:top w:val="nil"/>
              <w:left w:val="single" w:sz="5" w:space="0" w:color="181717"/>
              <w:bottom w:val="single" w:sz="5" w:space="0" w:color="181717"/>
              <w:right w:val="double" w:sz="5" w:space="0" w:color="181717"/>
            </w:tcBorders>
            <w:shd w:val="clear" w:color="auto" w:fill="E9E8E7"/>
          </w:tcPr>
          <w:p w:rsidR="00A16A45" w:rsidRPr="009C44DA" w:rsidRDefault="00A16A45" w:rsidP="00BC071B">
            <w:pPr>
              <w:ind w:left="27"/>
              <w:jc w:val="center"/>
              <w:rPr>
                <w:rFonts w:ascii="Arial" w:eastAsia="Times New Roman" w:hAnsi="Arial" w:cs="Arial"/>
                <w:color w:val="181717"/>
                <w:sz w:val="20"/>
                <w:szCs w:val="20"/>
              </w:rPr>
            </w:pPr>
            <w:r w:rsidRPr="009C44DA">
              <w:rPr>
                <w:rFonts w:ascii="Arial" w:eastAsia="Times New Roman" w:hAnsi="Arial" w:cs="Arial"/>
                <w:color w:val="181717"/>
                <w:sz w:val="20"/>
                <w:szCs w:val="20"/>
              </w:rPr>
              <w:t>0-1.5</w:t>
            </w:r>
          </w:p>
        </w:tc>
      </w:tr>
      <w:tr w:rsidR="00A16A45" w:rsidRPr="009C44DA" w:rsidTr="009C44DA">
        <w:trPr>
          <w:trHeight w:val="612"/>
          <w:jc w:val="center"/>
        </w:trPr>
        <w:tc>
          <w:tcPr>
            <w:tcW w:w="8059" w:type="dxa"/>
            <w:gridSpan w:val="4"/>
            <w:tcBorders>
              <w:top w:val="single" w:sz="5" w:space="0" w:color="181717"/>
              <w:left w:val="double" w:sz="5" w:space="0" w:color="181717"/>
              <w:bottom w:val="double" w:sz="5" w:space="0" w:color="181717"/>
              <w:right w:val="double" w:sz="5" w:space="0" w:color="181717"/>
            </w:tcBorders>
            <w:vAlign w:val="center"/>
          </w:tcPr>
          <w:p w:rsidR="00A16A45" w:rsidRPr="009C44DA" w:rsidRDefault="00A16A45" w:rsidP="00C112E7">
            <w:pPr>
              <w:rPr>
                <w:rFonts w:ascii="Arial" w:eastAsia="Times New Roman" w:hAnsi="Arial" w:cs="Arial"/>
                <w:color w:val="181717"/>
                <w:sz w:val="20"/>
                <w:szCs w:val="20"/>
              </w:rPr>
            </w:pPr>
            <w:r w:rsidRPr="009C44DA">
              <w:rPr>
                <w:rFonts w:ascii="Arial" w:eastAsia="Times New Roman" w:hAnsi="Arial" w:cs="Arial"/>
                <w:color w:val="181717"/>
                <w:sz w:val="20"/>
                <w:szCs w:val="20"/>
              </w:rPr>
              <w:t>*Type IV shall be used only with lightweight aggregates.</w:t>
            </w:r>
          </w:p>
        </w:tc>
      </w:tr>
    </w:tbl>
    <w:p w:rsidR="00C26D30" w:rsidRPr="009C44DA" w:rsidRDefault="00C26D30" w:rsidP="00A16A45">
      <w:pPr>
        <w:tabs>
          <w:tab w:val="left" w:pos="576"/>
        </w:tabs>
        <w:rPr>
          <w:rFonts w:ascii="Arial" w:hAnsi="Arial" w:cs="Arial"/>
        </w:rPr>
      </w:pPr>
    </w:p>
    <w:sectPr w:rsidR="00C26D30" w:rsidRPr="009C44DA"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C0" w:rsidRDefault="00F607C0" w:rsidP="00F878BD">
      <w:r>
        <w:separator/>
      </w:r>
    </w:p>
  </w:endnote>
  <w:endnote w:type="continuationSeparator" w:id="0">
    <w:p w:rsidR="00F607C0" w:rsidRDefault="00F607C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C0" w:rsidRDefault="00F607C0" w:rsidP="00F878BD">
      <w:r>
        <w:separator/>
      </w:r>
    </w:p>
  </w:footnote>
  <w:footnote w:type="continuationSeparator" w:id="0">
    <w:p w:rsidR="00F607C0" w:rsidRDefault="00F607C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3C180C"/>
    <w:multiLevelType w:val="hybridMultilevel"/>
    <w:tmpl w:val="F80EB35C"/>
    <w:lvl w:ilvl="0" w:tplc="ECCCF192">
      <w:start w:val="1"/>
      <w:numFmt w:val="decimal"/>
      <w:lvlText w:val="(%1)"/>
      <w:lvlJc w:val="left"/>
      <w:pPr>
        <w:ind w:left="638"/>
      </w:pPr>
      <w:rPr>
        <w:rFonts w:ascii="Arial" w:hAnsi="Arial" w:hint="default"/>
        <w:b w:val="0"/>
        <w:bCs/>
        <w:i w:val="0"/>
        <w:strike w:val="0"/>
        <w:dstrike w:val="0"/>
        <w:color w:val="181717"/>
        <w:sz w:val="20"/>
        <w:szCs w:val="24"/>
        <w:u w:val="none" w:color="000000"/>
        <w:bdr w:val="none" w:sz="0" w:space="0" w:color="auto"/>
        <w:shd w:val="clear" w:color="auto" w:fill="auto"/>
        <w:vertAlign w:val="baseline"/>
      </w:rPr>
    </w:lvl>
    <w:lvl w:ilvl="1" w:tplc="85CAFFE8">
      <w:start w:val="1"/>
      <w:numFmt w:val="lowerLetter"/>
      <w:lvlText w:val="%2"/>
      <w:lvlJc w:val="left"/>
      <w:pPr>
        <w:ind w:left="116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2" w:tplc="124C2BE4">
      <w:start w:val="1"/>
      <w:numFmt w:val="lowerRoman"/>
      <w:lvlText w:val="%3"/>
      <w:lvlJc w:val="left"/>
      <w:pPr>
        <w:ind w:left="188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3" w:tplc="3280BD40">
      <w:start w:val="1"/>
      <w:numFmt w:val="decimal"/>
      <w:lvlText w:val="%4"/>
      <w:lvlJc w:val="left"/>
      <w:pPr>
        <w:ind w:left="260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4" w:tplc="C87E00DA">
      <w:start w:val="1"/>
      <w:numFmt w:val="lowerLetter"/>
      <w:lvlText w:val="%5"/>
      <w:lvlJc w:val="left"/>
      <w:pPr>
        <w:ind w:left="332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5" w:tplc="140A02D0">
      <w:start w:val="1"/>
      <w:numFmt w:val="lowerRoman"/>
      <w:lvlText w:val="%6"/>
      <w:lvlJc w:val="left"/>
      <w:pPr>
        <w:ind w:left="404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6" w:tplc="3DBA7AE2">
      <w:start w:val="1"/>
      <w:numFmt w:val="decimal"/>
      <w:lvlText w:val="%7"/>
      <w:lvlJc w:val="left"/>
      <w:pPr>
        <w:ind w:left="476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7" w:tplc="CE3EC0CA">
      <w:start w:val="1"/>
      <w:numFmt w:val="lowerLetter"/>
      <w:lvlText w:val="%8"/>
      <w:lvlJc w:val="left"/>
      <w:pPr>
        <w:ind w:left="548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lvl w:ilvl="8" w:tplc="93521D7A">
      <w:start w:val="1"/>
      <w:numFmt w:val="lowerRoman"/>
      <w:lvlText w:val="%9"/>
      <w:lvlJc w:val="left"/>
      <w:pPr>
        <w:ind w:left="6203"/>
      </w:pPr>
      <w:rPr>
        <w:rFonts w:ascii="Times New Roman" w:eastAsia="Times New Roman" w:hAnsi="Times New Roman" w:cs="Times New Roman"/>
        <w:b/>
        <w:bCs/>
        <w:i w:val="0"/>
        <w:strike w:val="0"/>
        <w:dstrike w:val="0"/>
        <w:color w:val="181717"/>
        <w:sz w:val="24"/>
        <w:szCs w:val="24"/>
        <w:u w:val="none" w:color="000000"/>
        <w:bdr w:val="none" w:sz="0" w:space="0" w:color="auto"/>
        <w:shd w:val="clear" w:color="auto" w:fill="auto"/>
        <w:vertAlign w:val="baseline"/>
      </w:r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6"/>
  </w:num>
  <w:num w:numId="4">
    <w:abstractNumId w:val="2"/>
  </w:num>
  <w:num w:numId="5">
    <w:abstractNumId w:val="12"/>
  </w:num>
  <w:num w:numId="6">
    <w:abstractNumId w:val="14"/>
  </w:num>
  <w:num w:numId="7">
    <w:abstractNumId w:val="6"/>
  </w:num>
  <w:num w:numId="8">
    <w:abstractNumId w:val="13"/>
  </w:num>
  <w:num w:numId="9">
    <w:abstractNumId w:val="0"/>
  </w:num>
  <w:num w:numId="10">
    <w:abstractNumId w:val="5"/>
  </w:num>
  <w:num w:numId="11">
    <w:abstractNumId w:val="8"/>
  </w:num>
  <w:num w:numId="12">
    <w:abstractNumId w:val="4"/>
  </w:num>
  <w:num w:numId="13">
    <w:abstractNumId w:val="9"/>
  </w:num>
  <w:num w:numId="14">
    <w:abstractNumId w:val="7"/>
  </w:num>
  <w:num w:numId="15">
    <w:abstractNumId w:val="11"/>
  </w:num>
  <w:num w:numId="16">
    <w:abstractNumId w:val="17"/>
  </w:num>
  <w:num w:numId="17">
    <w:abstractNumId w:val="19"/>
  </w:num>
  <w:num w:numId="18">
    <w:abstractNumId w:val="3"/>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75DB"/>
    <w:rsid w:val="000225FA"/>
    <w:rsid w:val="00085D20"/>
    <w:rsid w:val="000C3C6B"/>
    <w:rsid w:val="000D1AD2"/>
    <w:rsid w:val="000E3C78"/>
    <w:rsid w:val="0010474A"/>
    <w:rsid w:val="0010525A"/>
    <w:rsid w:val="001512DF"/>
    <w:rsid w:val="001A7BED"/>
    <w:rsid w:val="001C3F85"/>
    <w:rsid w:val="001E2C1C"/>
    <w:rsid w:val="00214CEC"/>
    <w:rsid w:val="00222B35"/>
    <w:rsid w:val="00230276"/>
    <w:rsid w:val="00240F9D"/>
    <w:rsid w:val="002714AF"/>
    <w:rsid w:val="00272482"/>
    <w:rsid w:val="002E76FC"/>
    <w:rsid w:val="003162A2"/>
    <w:rsid w:val="003823FC"/>
    <w:rsid w:val="00394329"/>
    <w:rsid w:val="003C3F1C"/>
    <w:rsid w:val="003E4531"/>
    <w:rsid w:val="004249F3"/>
    <w:rsid w:val="00441D2F"/>
    <w:rsid w:val="004B09DE"/>
    <w:rsid w:val="004F1849"/>
    <w:rsid w:val="0056039E"/>
    <w:rsid w:val="00572D1D"/>
    <w:rsid w:val="00660E5F"/>
    <w:rsid w:val="006B1A52"/>
    <w:rsid w:val="0070029E"/>
    <w:rsid w:val="00706DF8"/>
    <w:rsid w:val="0071231C"/>
    <w:rsid w:val="00726A77"/>
    <w:rsid w:val="007627D5"/>
    <w:rsid w:val="0076379B"/>
    <w:rsid w:val="007735BF"/>
    <w:rsid w:val="007854AB"/>
    <w:rsid w:val="007A1E1C"/>
    <w:rsid w:val="007A7209"/>
    <w:rsid w:val="007D24E5"/>
    <w:rsid w:val="00814549"/>
    <w:rsid w:val="0083607D"/>
    <w:rsid w:val="00870736"/>
    <w:rsid w:val="00891B09"/>
    <w:rsid w:val="00897666"/>
    <w:rsid w:val="008B3BFC"/>
    <w:rsid w:val="008B6006"/>
    <w:rsid w:val="008C59FF"/>
    <w:rsid w:val="008D4DE9"/>
    <w:rsid w:val="008E6E23"/>
    <w:rsid w:val="00923AF8"/>
    <w:rsid w:val="00935ABF"/>
    <w:rsid w:val="00973DFA"/>
    <w:rsid w:val="00987248"/>
    <w:rsid w:val="009A40E9"/>
    <w:rsid w:val="009B3EF3"/>
    <w:rsid w:val="009C44DA"/>
    <w:rsid w:val="009F3FE4"/>
    <w:rsid w:val="00A14275"/>
    <w:rsid w:val="00A16A45"/>
    <w:rsid w:val="00A27DE7"/>
    <w:rsid w:val="00A54F34"/>
    <w:rsid w:val="00A7142E"/>
    <w:rsid w:val="00A73269"/>
    <w:rsid w:val="00A76618"/>
    <w:rsid w:val="00A92397"/>
    <w:rsid w:val="00AA36CC"/>
    <w:rsid w:val="00AB028C"/>
    <w:rsid w:val="00AB2A78"/>
    <w:rsid w:val="00AB5B65"/>
    <w:rsid w:val="00AC7AF4"/>
    <w:rsid w:val="00B03922"/>
    <w:rsid w:val="00B25927"/>
    <w:rsid w:val="00B91FF1"/>
    <w:rsid w:val="00BF7839"/>
    <w:rsid w:val="00C26D30"/>
    <w:rsid w:val="00C40133"/>
    <w:rsid w:val="00C93280"/>
    <w:rsid w:val="00CC309C"/>
    <w:rsid w:val="00D16104"/>
    <w:rsid w:val="00DE7DCD"/>
    <w:rsid w:val="00E208F0"/>
    <w:rsid w:val="00E5788C"/>
    <w:rsid w:val="00E647BB"/>
    <w:rsid w:val="00E85CC9"/>
    <w:rsid w:val="00EA5566"/>
    <w:rsid w:val="00EA7A41"/>
    <w:rsid w:val="00EC2A21"/>
    <w:rsid w:val="00EF1243"/>
    <w:rsid w:val="00F07B65"/>
    <w:rsid w:val="00F605A4"/>
    <w:rsid w:val="00F607C0"/>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table" w:customStyle="1" w:styleId="TableGrid">
    <w:name w:val="TableGrid"/>
    <w:rsid w:val="00A16A4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2015-10-21T19:43:00Z</dcterms:created>
  <dcterms:modified xsi:type="dcterms:W3CDTF">2015-10-21T19:43:00Z</dcterms:modified>
</cp:coreProperties>
</file>