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3D8" w:rsidRDefault="00EA63D8" w:rsidP="00EA63D8">
      <w:pPr>
        <w:rPr>
          <w:rFonts w:ascii="Trebuchet MS" w:eastAsiaTheme="minorEastAsia" w:hAnsi="Trebuchet MS"/>
          <w:color w:val="595959" w:themeColor="text1" w:themeTint="A6"/>
          <w:sz w:val="18"/>
          <w:szCs w:val="24"/>
        </w:rPr>
      </w:pPr>
      <w:bookmarkStart w:id="0" w:name="_GoBack"/>
      <w:bookmarkEnd w:id="0"/>
    </w:p>
    <w:p w:rsidR="00EA63D8" w:rsidRDefault="00EA63D8" w:rsidP="00EA63D8">
      <w:pPr>
        <w:pStyle w:val="body"/>
        <w:rPr>
          <w:noProof w:val="0"/>
        </w:rPr>
      </w:pPr>
      <w:r>
        <w:drawing>
          <wp:anchor distT="0" distB="0" distL="114300" distR="114300" simplePos="0" relativeHeight="251660288" behindDoc="0" locked="0" layoutInCell="1" allowOverlap="1" wp14:anchorId="4C796975" wp14:editId="68CF9281">
            <wp:simplePos x="0" y="0"/>
            <wp:positionH relativeFrom="column">
              <wp:posOffset>0</wp:posOffset>
            </wp:positionH>
            <wp:positionV relativeFrom="paragraph">
              <wp:posOffset>57785</wp:posOffset>
            </wp:positionV>
            <wp:extent cx="2752090" cy="504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4">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rsidR="00EA63D8" w:rsidRDefault="00EA63D8" w:rsidP="00EA63D8">
      <w:pPr>
        <w:pStyle w:val="body"/>
        <w:rPr>
          <w:noProof w:val="0"/>
        </w:rPr>
      </w:pPr>
    </w:p>
    <w:p w:rsidR="00EA63D8" w:rsidRDefault="00EA63D8" w:rsidP="00EA63D8">
      <w:pPr>
        <w:pStyle w:val="body"/>
        <w:rPr>
          <w:noProof w:val="0"/>
        </w:rPr>
      </w:pPr>
    </w:p>
    <w:p w:rsidR="00EA63D8" w:rsidRDefault="00EA63D8" w:rsidP="00EA63D8">
      <w:pPr>
        <w:pStyle w:val="body"/>
        <w:rPr>
          <w:noProof w:val="0"/>
        </w:rPr>
      </w:pPr>
      <w:r>
        <mc:AlternateContent>
          <mc:Choice Requires="wps">
            <w:drawing>
              <wp:anchor distT="0" distB="0" distL="114300" distR="114300" simplePos="0" relativeHeight="251659264" behindDoc="0" locked="0" layoutInCell="1" allowOverlap="1" wp14:anchorId="7E34595E" wp14:editId="39556AAD">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3D8" w:rsidRDefault="00EA63D8" w:rsidP="00EA63D8">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4595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rsidR="00EA63D8" w:rsidRDefault="00EA63D8" w:rsidP="00EA63D8">
                      <w:pPr>
                        <w:pStyle w:val="returnaddress"/>
                      </w:pPr>
                      <w:r>
                        <w:t>Standards and Specifications Unit</w:t>
                      </w:r>
                    </w:p>
                  </w:txbxContent>
                </v:textbox>
              </v:shape>
            </w:pict>
          </mc:Fallback>
        </mc:AlternateContent>
      </w:r>
    </w:p>
    <w:p w:rsidR="00EA63D8" w:rsidRDefault="00EA63D8" w:rsidP="00EA63D8">
      <w:pPr>
        <w:pStyle w:val="body"/>
        <w:rPr>
          <w:noProof w:val="0"/>
        </w:rPr>
      </w:pPr>
    </w:p>
    <w:p w:rsidR="00EA63D8" w:rsidRDefault="00EA63D8" w:rsidP="00EA63D8">
      <w:pPr>
        <w:pStyle w:val="body"/>
        <w:rPr>
          <w:noProof w:val="0"/>
        </w:rPr>
      </w:pPr>
    </w:p>
    <w:p w:rsidR="00EA63D8" w:rsidRPr="00B71CC0" w:rsidRDefault="00EA63D8" w:rsidP="00EA63D8">
      <w:pPr>
        <w:pStyle w:val="body"/>
        <w:spacing w:line="320" w:lineRule="exact"/>
        <w:jc w:val="center"/>
        <w:rPr>
          <w:b/>
          <w:bCs/>
          <w:caps/>
          <w:sz w:val="28"/>
          <w:szCs w:val="28"/>
        </w:rPr>
      </w:pPr>
      <w:r w:rsidRPr="00B71CC0">
        <w:rPr>
          <w:b/>
          <w:bCs/>
          <w:caps/>
          <w:sz w:val="28"/>
          <w:szCs w:val="28"/>
        </w:rPr>
        <w:t>Memorandum</w:t>
      </w:r>
    </w:p>
    <w:p w:rsidR="00EA63D8" w:rsidRDefault="00EA63D8" w:rsidP="00EA63D8">
      <w:pPr>
        <w:pStyle w:val="body"/>
        <w:rPr>
          <w:noProof w:val="0"/>
        </w:rPr>
      </w:pP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r w:rsidRPr="00B101C3">
        <w:rPr>
          <w:rFonts w:ascii="Trebuchet MS" w:hAnsi="Trebuchet MS" w:cs="Arial"/>
          <w:b/>
          <w:bCs/>
          <w:sz w:val="22"/>
          <w:szCs w:val="22"/>
        </w:rPr>
        <w:t>DATE</w:t>
      </w:r>
      <w:r w:rsidRPr="00B101C3">
        <w:rPr>
          <w:rFonts w:ascii="Trebuchet MS" w:hAnsi="Trebuchet MS" w:cs="Arial"/>
          <w:sz w:val="22"/>
          <w:szCs w:val="22"/>
        </w:rPr>
        <w:t>:</w:t>
      </w:r>
      <w:r w:rsidRPr="00B101C3">
        <w:rPr>
          <w:rFonts w:ascii="Trebuchet MS" w:hAnsi="Trebuchet MS" w:cs="Arial"/>
          <w:sz w:val="22"/>
          <w:szCs w:val="22"/>
        </w:rPr>
        <w:tab/>
      </w:r>
      <w:r>
        <w:rPr>
          <w:rFonts w:ascii="Trebuchet MS" w:hAnsi="Trebuchet MS" w:cs="Arial"/>
          <w:sz w:val="22"/>
          <w:szCs w:val="22"/>
        </w:rPr>
        <w:t>October 29, 2015</w:t>
      </w: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r w:rsidRPr="00B101C3">
        <w:rPr>
          <w:rFonts w:ascii="Trebuchet MS" w:hAnsi="Trebuchet MS" w:cs="Arial"/>
          <w:b/>
          <w:bCs/>
          <w:sz w:val="22"/>
          <w:szCs w:val="22"/>
        </w:rPr>
        <w:t>TO</w:t>
      </w:r>
      <w:r w:rsidRPr="00B101C3">
        <w:rPr>
          <w:rFonts w:ascii="Trebuchet MS" w:hAnsi="Trebuchet MS" w:cs="Arial"/>
          <w:sz w:val="22"/>
          <w:szCs w:val="22"/>
        </w:rPr>
        <w:t>:</w:t>
      </w:r>
      <w:r w:rsidRPr="00B101C3">
        <w:rPr>
          <w:rFonts w:ascii="Trebuchet MS" w:hAnsi="Trebuchet MS" w:cs="Arial"/>
          <w:sz w:val="22"/>
          <w:szCs w:val="22"/>
        </w:rPr>
        <w:tab/>
        <w:t>All Holders of Standard Special Provisions</w:t>
      </w: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r w:rsidRPr="00B101C3">
        <w:rPr>
          <w:rFonts w:ascii="Trebuchet MS" w:hAnsi="Trebuchet MS" w:cs="Arial"/>
          <w:sz w:val="22"/>
          <w:szCs w:val="22"/>
        </w:rPr>
        <w:tab/>
      </w:r>
      <w:r w:rsidRPr="00B101C3">
        <w:rPr>
          <w:rFonts w:ascii="Trebuchet MS" w:hAnsi="Trebuchet MS" w:cs="Arial"/>
          <w:sz w:val="22"/>
          <w:szCs w:val="22"/>
        </w:rPr>
        <w:tab/>
      </w:r>
    </w:p>
    <w:p w:rsidR="00EA63D8" w:rsidRPr="00B101C3" w:rsidRDefault="00EA63D8" w:rsidP="00EA63D8">
      <w:pPr>
        <w:keepLines/>
        <w:tabs>
          <w:tab w:val="left" w:pos="3600"/>
          <w:tab w:val="left" w:pos="4680"/>
        </w:tabs>
        <w:overflowPunct w:val="0"/>
        <w:autoSpaceDE w:val="0"/>
        <w:autoSpaceDN w:val="0"/>
        <w:adjustRightInd w:val="0"/>
        <w:textAlignment w:val="baseline"/>
        <w:rPr>
          <w:rFonts w:ascii="Trebuchet MS" w:hAnsi="Trebuchet MS" w:cs="Arial"/>
          <w:sz w:val="22"/>
          <w:szCs w:val="22"/>
        </w:rPr>
      </w:pPr>
    </w:p>
    <w:p w:rsidR="00EA63D8" w:rsidRPr="00B101C3" w:rsidRDefault="00EA63D8" w:rsidP="00EA63D8">
      <w:pPr>
        <w:keepLines/>
        <w:tabs>
          <w:tab w:val="left" w:pos="1440"/>
          <w:tab w:val="left" w:pos="3600"/>
          <w:tab w:val="left" w:pos="4680"/>
        </w:tabs>
        <w:overflowPunct w:val="0"/>
        <w:autoSpaceDE w:val="0"/>
        <w:autoSpaceDN w:val="0"/>
        <w:adjustRightInd w:val="0"/>
        <w:textAlignment w:val="baseline"/>
        <w:outlineLvl w:val="0"/>
        <w:rPr>
          <w:rFonts w:ascii="Trebuchet MS" w:hAnsi="Trebuchet MS" w:cs="Arial"/>
          <w:sz w:val="22"/>
          <w:szCs w:val="22"/>
        </w:rPr>
      </w:pPr>
      <w:r w:rsidRPr="00B101C3">
        <w:rPr>
          <w:rFonts w:ascii="Trebuchet MS" w:hAnsi="Trebuchet MS" w:cs="Arial"/>
          <w:b/>
          <w:bCs/>
          <w:sz w:val="22"/>
          <w:szCs w:val="22"/>
        </w:rPr>
        <w:t>FROM</w:t>
      </w:r>
      <w:r w:rsidRPr="00B101C3">
        <w:rPr>
          <w:rFonts w:ascii="Trebuchet MS" w:hAnsi="Trebuchet MS" w:cs="Arial"/>
          <w:sz w:val="22"/>
          <w:szCs w:val="22"/>
        </w:rPr>
        <w:t>:</w:t>
      </w:r>
      <w:r w:rsidRPr="00B101C3">
        <w:rPr>
          <w:rFonts w:ascii="Trebuchet MS" w:hAnsi="Trebuchet MS" w:cs="Arial"/>
          <w:sz w:val="22"/>
          <w:szCs w:val="22"/>
        </w:rPr>
        <w:tab/>
        <w:t>Larry Brinck, Standards and Specifications Engineer</w:t>
      </w:r>
    </w:p>
    <w:p w:rsidR="00EA63D8" w:rsidRPr="00B101C3" w:rsidRDefault="00EA63D8" w:rsidP="00EA63D8">
      <w:pPr>
        <w:keepLines/>
        <w:tabs>
          <w:tab w:val="left" w:pos="3600"/>
          <w:tab w:val="left" w:pos="4680"/>
        </w:tabs>
        <w:overflowPunct w:val="0"/>
        <w:autoSpaceDE w:val="0"/>
        <w:autoSpaceDN w:val="0"/>
        <w:adjustRightInd w:val="0"/>
        <w:textAlignment w:val="baseline"/>
        <w:rPr>
          <w:rFonts w:ascii="Trebuchet MS" w:hAnsi="Trebuchet MS" w:cs="Arial"/>
          <w:sz w:val="22"/>
          <w:szCs w:val="22"/>
        </w:rPr>
      </w:pPr>
    </w:p>
    <w:p w:rsidR="00EA63D8" w:rsidRDefault="00EA63D8" w:rsidP="00EA63D8">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hAnsi="Trebuchet MS" w:cs="Arial"/>
          <w:sz w:val="22"/>
          <w:szCs w:val="22"/>
        </w:rPr>
      </w:pPr>
      <w:r w:rsidRPr="00B101C3">
        <w:rPr>
          <w:rFonts w:ascii="Trebuchet MS" w:hAnsi="Trebuchet MS" w:cs="Arial"/>
          <w:b/>
          <w:bCs/>
          <w:sz w:val="22"/>
          <w:szCs w:val="22"/>
        </w:rPr>
        <w:t>SUBJECT</w:t>
      </w:r>
      <w:r w:rsidRPr="00B101C3">
        <w:rPr>
          <w:rFonts w:ascii="Trebuchet MS" w:hAnsi="Trebuchet MS" w:cs="Arial"/>
          <w:sz w:val="22"/>
          <w:szCs w:val="22"/>
        </w:rPr>
        <w:t>:</w:t>
      </w:r>
      <w:r w:rsidRPr="00B101C3">
        <w:rPr>
          <w:rFonts w:ascii="Trebuchet MS" w:hAnsi="Trebuchet MS" w:cs="Arial"/>
          <w:sz w:val="22"/>
          <w:szCs w:val="22"/>
        </w:rPr>
        <w:tab/>
      </w:r>
      <w:r>
        <w:rPr>
          <w:rFonts w:ascii="Trebuchet MS" w:hAnsi="Trebuchet MS" w:cs="Arial"/>
          <w:sz w:val="22"/>
          <w:szCs w:val="22"/>
        </w:rPr>
        <w:t>Revision of Section 108, Liquidated Damages</w:t>
      </w:r>
    </w:p>
    <w:p w:rsidR="00EA63D8"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 xml:space="preserve">Effective this date, our unit is issuing a revised version of the standard special provision, Revision of Section 108, Liquidated Damages.  This revised version is 1 page long, and replaces the now obsolete </w:t>
      </w:r>
      <w:r w:rsidR="00104C03">
        <w:rPr>
          <w:rFonts w:ascii="Trebuchet MS" w:hAnsi="Trebuchet MS" w:cs="Arial"/>
          <w:sz w:val="22"/>
          <w:szCs w:val="22"/>
        </w:rPr>
        <w:t xml:space="preserve">standard </w:t>
      </w:r>
      <w:r>
        <w:rPr>
          <w:rFonts w:ascii="Trebuchet MS" w:hAnsi="Trebuchet MS" w:cs="Arial"/>
          <w:sz w:val="22"/>
          <w:szCs w:val="22"/>
        </w:rPr>
        <w:t xml:space="preserve">special provision having the same title, which is dated June 4, 2015.  Use of this revised standard special provision is required on all projects immediately. A revision under ad is required for projects having original contract amounts </w:t>
      </w:r>
      <w:r w:rsidR="00104C03">
        <w:rPr>
          <w:rFonts w:ascii="Trebuchet MS" w:hAnsi="Trebuchet MS" w:cs="Arial"/>
          <w:sz w:val="22"/>
          <w:szCs w:val="22"/>
        </w:rPr>
        <w:t>greater than</w:t>
      </w:r>
      <w:r>
        <w:rPr>
          <w:rFonts w:ascii="Trebuchet MS" w:hAnsi="Trebuchet MS" w:cs="Arial"/>
          <w:sz w:val="22"/>
          <w:szCs w:val="22"/>
        </w:rPr>
        <w:t xml:space="preserve"> $10 million.</w:t>
      </w:r>
    </w:p>
    <w:p w:rsidR="00EA63D8"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 xml:space="preserve">The revisions in this modification defines a flat rate of $7,000 for projects having contract amounts </w:t>
      </w:r>
      <w:r w:rsidR="00297F68">
        <w:rPr>
          <w:rFonts w:ascii="Trebuchet MS" w:hAnsi="Trebuchet MS" w:cs="Arial"/>
          <w:sz w:val="22"/>
          <w:szCs w:val="22"/>
        </w:rPr>
        <w:t>greater than</w:t>
      </w:r>
      <w:r>
        <w:rPr>
          <w:rFonts w:ascii="Trebuchet MS" w:hAnsi="Trebuchet MS" w:cs="Arial"/>
          <w:sz w:val="22"/>
          <w:szCs w:val="22"/>
        </w:rPr>
        <w:t xml:space="preserve"> $10 million.  Designers may adjust this amount in the Contract by writing a project special provision, with consultation and approval of the </w:t>
      </w:r>
      <w:r w:rsidRPr="00FA6BF9">
        <w:rPr>
          <w:rFonts w:ascii="Trebuchet MS" w:hAnsi="Trebuchet MS" w:cs="Arial"/>
          <w:sz w:val="22"/>
          <w:szCs w:val="22"/>
        </w:rPr>
        <w:t>Contracts and Market Analysis Branch</w:t>
      </w:r>
      <w:r>
        <w:rPr>
          <w:rFonts w:ascii="Trebuchet MS" w:hAnsi="Trebuchet MS" w:cs="Arial"/>
          <w:sz w:val="22"/>
          <w:szCs w:val="22"/>
        </w:rPr>
        <w:t xml:space="preserve"> Manager.</w:t>
      </w:r>
    </w:p>
    <w:p w:rsidR="00EA63D8"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Those of you who keep a book of Standard Special Provisions should replace the now obsolete version in your file with this revised version.  For your convenience, you can find this and others special provisions issued this date in one place at our Construction Specifications web page:</w:t>
      </w:r>
    </w:p>
    <w:p w:rsidR="00EA63D8"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 xml:space="preserve"> </w:t>
      </w:r>
      <w:hyperlink r:id="rId5" w:history="1">
        <w:r w:rsidRPr="003C4D03">
          <w:rPr>
            <w:rStyle w:val="Hyperlink"/>
            <w:rFonts w:ascii="Trebuchet MS" w:hAnsi="Trebuchet MS" w:cs="Arial"/>
            <w:sz w:val="22"/>
            <w:szCs w:val="22"/>
          </w:rPr>
          <w:t>https://www.codot.gov/business/designsupport/construction-specifications/2011-Specs</w:t>
        </w:r>
      </w:hyperlink>
    </w:p>
    <w:p w:rsidR="00EA63D8"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Please scroll down and visit the hyperlink, “Recently Issued Special Provisions”.</w:t>
      </w:r>
    </w:p>
    <w:p w:rsidR="00EA63D8" w:rsidRPr="00B101C3" w:rsidRDefault="00EA63D8" w:rsidP="00EA63D8">
      <w:pPr>
        <w:keepLines/>
        <w:tabs>
          <w:tab w:val="left" w:pos="0"/>
          <w:tab w:val="left" w:pos="3600"/>
          <w:tab w:val="left" w:pos="4680"/>
        </w:tabs>
        <w:overflowPunct w:val="0"/>
        <w:autoSpaceDE w:val="0"/>
        <w:autoSpaceDN w:val="0"/>
        <w:adjustRightInd w:val="0"/>
        <w:spacing w:after="160"/>
        <w:textAlignment w:val="baseline"/>
        <w:outlineLvl w:val="0"/>
        <w:rPr>
          <w:rFonts w:ascii="Trebuchet MS" w:hAnsi="Trebuchet MS" w:cs="Arial"/>
          <w:sz w:val="22"/>
          <w:szCs w:val="22"/>
        </w:rPr>
      </w:pPr>
      <w:r>
        <w:rPr>
          <w:rFonts w:ascii="Trebuchet MS" w:hAnsi="Trebuchet MS" w:cs="Arial"/>
          <w:sz w:val="22"/>
          <w:szCs w:val="22"/>
        </w:rPr>
        <w:t>If you have any questions or comments, please contact this office.</w:t>
      </w:r>
    </w:p>
    <w:p w:rsidR="00EA63D8" w:rsidRDefault="00EA63D8" w:rsidP="00EA63D8">
      <w:pPr>
        <w:pStyle w:val="body"/>
        <w:ind w:right="0"/>
        <w:rPr>
          <w:noProof w:val="0"/>
        </w:rPr>
      </w:pPr>
    </w:p>
    <w:p w:rsidR="00EA63D8" w:rsidRPr="00B101C3" w:rsidRDefault="00EA63D8" w:rsidP="00EA63D8">
      <w:pPr>
        <w:pStyle w:val="body"/>
        <w:ind w:right="0"/>
        <w:rPr>
          <w:sz w:val="22"/>
          <w:szCs w:val="22"/>
        </w:rPr>
      </w:pPr>
    </w:p>
    <w:p w:rsidR="00EA63D8" w:rsidRDefault="00EA63D8" w:rsidP="00EA63D8"/>
    <w:p w:rsidR="00003848" w:rsidRDefault="00003848"/>
    <w:sectPr w:rsidR="00003848" w:rsidSect="0022322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D8"/>
    <w:rsid w:val="00003848"/>
    <w:rsid w:val="00012337"/>
    <w:rsid w:val="00017F17"/>
    <w:rsid w:val="0004458C"/>
    <w:rsid w:val="00063481"/>
    <w:rsid w:val="000C364C"/>
    <w:rsid w:val="00104C03"/>
    <w:rsid w:val="001C62EB"/>
    <w:rsid w:val="001D7787"/>
    <w:rsid w:val="00223221"/>
    <w:rsid w:val="00243257"/>
    <w:rsid w:val="0029625A"/>
    <w:rsid w:val="00297F68"/>
    <w:rsid w:val="00315D98"/>
    <w:rsid w:val="00327808"/>
    <w:rsid w:val="00352EAD"/>
    <w:rsid w:val="00365698"/>
    <w:rsid w:val="003A3189"/>
    <w:rsid w:val="003D480B"/>
    <w:rsid w:val="0040042B"/>
    <w:rsid w:val="00432FA4"/>
    <w:rsid w:val="00442820"/>
    <w:rsid w:val="0045726D"/>
    <w:rsid w:val="004642DE"/>
    <w:rsid w:val="0049124E"/>
    <w:rsid w:val="004A2944"/>
    <w:rsid w:val="004D121B"/>
    <w:rsid w:val="004E201D"/>
    <w:rsid w:val="004F7C91"/>
    <w:rsid w:val="00507529"/>
    <w:rsid w:val="0053485A"/>
    <w:rsid w:val="00574901"/>
    <w:rsid w:val="005D6EB4"/>
    <w:rsid w:val="005F69A6"/>
    <w:rsid w:val="00624B7A"/>
    <w:rsid w:val="00633D08"/>
    <w:rsid w:val="00650D24"/>
    <w:rsid w:val="006678B0"/>
    <w:rsid w:val="006724E2"/>
    <w:rsid w:val="00696682"/>
    <w:rsid w:val="006A7109"/>
    <w:rsid w:val="00757E1F"/>
    <w:rsid w:val="0076119D"/>
    <w:rsid w:val="007E0B35"/>
    <w:rsid w:val="00826DE0"/>
    <w:rsid w:val="00865580"/>
    <w:rsid w:val="00883ADF"/>
    <w:rsid w:val="008C1825"/>
    <w:rsid w:val="008D4BD1"/>
    <w:rsid w:val="008E630F"/>
    <w:rsid w:val="008E736C"/>
    <w:rsid w:val="008F0656"/>
    <w:rsid w:val="00915394"/>
    <w:rsid w:val="00943C09"/>
    <w:rsid w:val="00A27224"/>
    <w:rsid w:val="00A63781"/>
    <w:rsid w:val="00B30F89"/>
    <w:rsid w:val="00B77201"/>
    <w:rsid w:val="00B92304"/>
    <w:rsid w:val="00BB112F"/>
    <w:rsid w:val="00BC0DD0"/>
    <w:rsid w:val="00BD24D0"/>
    <w:rsid w:val="00C63873"/>
    <w:rsid w:val="00C96A6E"/>
    <w:rsid w:val="00CA1CA0"/>
    <w:rsid w:val="00D021E7"/>
    <w:rsid w:val="00E04FED"/>
    <w:rsid w:val="00E13A52"/>
    <w:rsid w:val="00E4138E"/>
    <w:rsid w:val="00EA1062"/>
    <w:rsid w:val="00EA63D8"/>
    <w:rsid w:val="00EB134F"/>
    <w:rsid w:val="00F120AE"/>
    <w:rsid w:val="00F21E2C"/>
    <w:rsid w:val="00FB230C"/>
    <w:rsid w:val="00F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8AF9A-E72B-4BF0-B465-DC47FB28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D8"/>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63D8"/>
    <w:rPr>
      <w:rFonts w:cs="Times New Roman"/>
      <w:color w:val="0000FF"/>
      <w:u w:val="single"/>
    </w:rPr>
  </w:style>
  <w:style w:type="paragraph" w:customStyle="1" w:styleId="returnaddress">
    <w:name w:val="return address"/>
    <w:basedOn w:val="Header"/>
    <w:link w:val="returnaddressChar"/>
    <w:qFormat/>
    <w:rsid w:val="00EA63D8"/>
    <w:pPr>
      <w:tabs>
        <w:tab w:val="clear" w:pos="4680"/>
        <w:tab w:val="clear" w:pos="9360"/>
        <w:tab w:val="center" w:pos="4320"/>
        <w:tab w:val="right" w:pos="8640"/>
      </w:tabs>
      <w:spacing w:line="200" w:lineRule="exact"/>
    </w:pPr>
    <w:rPr>
      <w:rFonts w:ascii="Trebuchet MS" w:eastAsiaTheme="minorEastAsia" w:hAnsi="Trebuchet MS" w:cs="Monospac821 BT"/>
      <w:color w:val="595959" w:themeColor="text1" w:themeTint="A6"/>
      <w:sz w:val="16"/>
      <w:szCs w:val="24"/>
    </w:rPr>
  </w:style>
  <w:style w:type="character" w:customStyle="1" w:styleId="returnaddressChar">
    <w:name w:val="return address Char"/>
    <w:basedOn w:val="HeaderChar"/>
    <w:link w:val="returnaddress"/>
    <w:rsid w:val="00EA63D8"/>
    <w:rPr>
      <w:rFonts w:ascii="Trebuchet MS" w:eastAsiaTheme="minorEastAsia" w:hAnsi="Trebuchet MS" w:cs="Monospac821 BT"/>
      <w:color w:val="595959" w:themeColor="text1" w:themeTint="A6"/>
      <w:sz w:val="16"/>
      <w:szCs w:val="24"/>
    </w:rPr>
  </w:style>
  <w:style w:type="paragraph" w:customStyle="1" w:styleId="body">
    <w:name w:val="body"/>
    <w:basedOn w:val="Normal"/>
    <w:qFormat/>
    <w:rsid w:val="00EA63D8"/>
    <w:pPr>
      <w:spacing w:line="260" w:lineRule="exact"/>
      <w:ind w:right="720"/>
    </w:pPr>
    <w:rPr>
      <w:rFonts w:ascii="Trebuchet MS" w:eastAsiaTheme="minorEastAsia" w:hAnsi="Trebuchet MS"/>
      <w:noProof/>
      <w:color w:val="595959" w:themeColor="text1" w:themeTint="A6"/>
      <w:sz w:val="18"/>
      <w:szCs w:val="24"/>
    </w:rPr>
  </w:style>
  <w:style w:type="paragraph" w:styleId="Header">
    <w:name w:val="header"/>
    <w:basedOn w:val="Normal"/>
    <w:link w:val="HeaderChar"/>
    <w:uiPriority w:val="99"/>
    <w:semiHidden/>
    <w:unhideWhenUsed/>
    <w:rsid w:val="00EA63D8"/>
    <w:pPr>
      <w:tabs>
        <w:tab w:val="center" w:pos="4680"/>
        <w:tab w:val="right" w:pos="9360"/>
      </w:tabs>
    </w:pPr>
  </w:style>
  <w:style w:type="character" w:customStyle="1" w:styleId="HeaderChar">
    <w:name w:val="Header Char"/>
    <w:basedOn w:val="DefaultParagraphFont"/>
    <w:link w:val="Header"/>
    <w:uiPriority w:val="99"/>
    <w:semiHidden/>
    <w:rsid w:val="00EA63D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dot.gov/business/designsupport/construction-specifications/2011-Spec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2</cp:revision>
  <dcterms:created xsi:type="dcterms:W3CDTF">2015-10-26T17:44:00Z</dcterms:created>
  <dcterms:modified xsi:type="dcterms:W3CDTF">2015-10-26T17:44:00Z</dcterms:modified>
</cp:coreProperties>
</file>