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F48E2" w14:textId="1BD018F5"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April 30, 2015</w:t>
      </w:r>
    </w:p>
    <w:p w14:paraId="5B4BE1AA"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91D0F40" w14:textId="3BE4E50E"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111B17F9" w14:textId="6386A392"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C76FF3">
        <w:rPr>
          <w:rFonts w:ascii="Arial" w:hAnsi="Arial" w:cs="Arial"/>
          <w:sz w:val="28"/>
          <w:szCs w:val="28"/>
        </w:rPr>
        <w:t>DELAY AND EXTENSION OF CONTRACT TIME</w:t>
      </w:r>
    </w:p>
    <w:p w14:paraId="577372F0"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30D45F8"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F41FA56"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12D746A"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D7AF59" w14:textId="3F3DFB18"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86E9C95"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679E342"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D1040BB"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90130A"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9371697" w14:textId="77777777" w:rsidR="00C76FF3" w:rsidRDefault="00C76F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16A5BEB" w14:textId="757845EF" w:rsidR="00C76FF3" w:rsidRDefault="00C76F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52F34D79" w14:textId="5A0EF3D6" w:rsidR="00C76FF3" w:rsidRDefault="00C76FF3">
      <w:r>
        <w:br w:type="page"/>
      </w:r>
    </w:p>
    <w:p w14:paraId="59923B27" w14:textId="54885C29" w:rsidR="000A013D" w:rsidRPr="00C76FF3" w:rsidRDefault="000A013D" w:rsidP="00C76FF3">
      <w:pPr>
        <w:tabs>
          <w:tab w:val="right" w:pos="8640"/>
          <w:tab w:val="right" w:pos="9720"/>
        </w:tabs>
        <w:rPr>
          <w:sz w:val="22"/>
        </w:rPr>
      </w:pPr>
    </w:p>
    <w:p w14:paraId="59F43A7B" w14:textId="77777777" w:rsidR="000A013D" w:rsidRPr="006C76F9" w:rsidRDefault="000A013D" w:rsidP="00C405A0">
      <w:pPr>
        <w:autoSpaceDE w:val="0"/>
        <w:autoSpaceDN w:val="0"/>
        <w:adjustRightInd w:val="0"/>
        <w:rPr>
          <w:rFonts w:ascii="Arial" w:hAnsi="Arial" w:cs="Arial"/>
        </w:rPr>
      </w:pPr>
      <w:r w:rsidRPr="006C76F9">
        <w:rPr>
          <w:rFonts w:ascii="Arial" w:hAnsi="Arial" w:cs="Arial"/>
        </w:rPr>
        <w:t>Section 108 of the Standard Specifications is hereby revised for this project as follows:</w:t>
      </w:r>
    </w:p>
    <w:p w14:paraId="09746F6E" w14:textId="77777777" w:rsidR="000A013D" w:rsidRPr="006C76F9" w:rsidRDefault="000A013D" w:rsidP="00C405A0">
      <w:pPr>
        <w:pStyle w:val="NoSpacing"/>
        <w:rPr>
          <w:rFonts w:ascii="Arial" w:hAnsi="Arial" w:cs="Arial"/>
          <w:sz w:val="20"/>
          <w:szCs w:val="20"/>
        </w:rPr>
      </w:pPr>
    </w:p>
    <w:p w14:paraId="52E39445" w14:textId="77777777" w:rsidR="000A013D" w:rsidRPr="00872E51" w:rsidRDefault="003B4D84" w:rsidP="00872E51">
      <w:pPr>
        <w:autoSpaceDE w:val="0"/>
        <w:autoSpaceDN w:val="0"/>
        <w:adjustRightInd w:val="0"/>
        <w:rPr>
          <w:rFonts w:ascii="Arial" w:hAnsi="Arial" w:cs="Arial"/>
        </w:rPr>
      </w:pPr>
      <w:r w:rsidRPr="00872E51">
        <w:rPr>
          <w:rFonts w:ascii="Arial" w:hAnsi="Arial" w:cs="Arial"/>
        </w:rPr>
        <w:t xml:space="preserve">In </w:t>
      </w:r>
      <w:r w:rsidRPr="00872E51">
        <w:rPr>
          <w:rFonts w:ascii="Arial" w:eastAsia="TimesNewRomanPS" w:hAnsi="Arial" w:cs="Arial"/>
          <w:iCs/>
        </w:rPr>
        <w:t>subsection</w:t>
      </w:r>
      <w:r w:rsidRPr="00872E51">
        <w:rPr>
          <w:rFonts w:ascii="Arial" w:hAnsi="Arial" w:cs="Arial"/>
        </w:rPr>
        <w:t xml:space="preserve"> 108.08, delete (c) and (d) and replace with the following:</w:t>
      </w:r>
    </w:p>
    <w:p w14:paraId="7FBBF594" w14:textId="77777777" w:rsidR="000C318D" w:rsidRPr="00872E51" w:rsidRDefault="000C318D" w:rsidP="00872E51">
      <w:pPr>
        <w:autoSpaceDE w:val="0"/>
        <w:autoSpaceDN w:val="0"/>
        <w:adjustRightInd w:val="0"/>
        <w:rPr>
          <w:rFonts w:ascii="Arial" w:eastAsia="TimesNewRomanPS" w:hAnsi="Arial" w:cs="Arial"/>
        </w:rPr>
      </w:pPr>
    </w:p>
    <w:p w14:paraId="68C918C9" w14:textId="5D0D0BC4" w:rsidR="000C318D" w:rsidRPr="00872E51" w:rsidRDefault="000C318D" w:rsidP="00872E51">
      <w:pPr>
        <w:numPr>
          <w:ilvl w:val="0"/>
          <w:numId w:val="31"/>
        </w:numPr>
        <w:autoSpaceDE w:val="0"/>
        <w:autoSpaceDN w:val="0"/>
        <w:adjustRightInd w:val="0"/>
        <w:ind w:left="360" w:hanging="360"/>
        <w:rPr>
          <w:rFonts w:ascii="Arial" w:eastAsia="TimesNewRomanPS" w:hAnsi="Arial" w:cs="Arial"/>
        </w:rPr>
      </w:pPr>
      <w:r w:rsidRPr="00872E51">
        <w:rPr>
          <w:rFonts w:ascii="Arial" w:eastAsia="TimesNewRomanPS" w:hAnsi="Arial" w:cs="Arial"/>
          <w:i/>
          <w:iCs/>
        </w:rPr>
        <w:t xml:space="preserve">Delay. </w:t>
      </w:r>
      <w:r w:rsidRPr="00872E51">
        <w:rPr>
          <w:rFonts w:ascii="Arial" w:eastAsia="TimesNewRomanPS" w:hAnsi="Arial" w:cs="Arial"/>
        </w:rPr>
        <w:t>Any event, action or factor that extends the performance period of the Contract.</w:t>
      </w:r>
      <w:r w:rsidR="006C76F9" w:rsidRPr="00872E51">
        <w:rPr>
          <w:rFonts w:ascii="Arial" w:eastAsia="TimesNewRomanPS" w:hAnsi="Arial" w:cs="Arial"/>
        </w:rPr>
        <w:br/>
      </w:r>
    </w:p>
    <w:p w14:paraId="05C8D820" w14:textId="77777777" w:rsidR="000C318D" w:rsidRPr="00872E51" w:rsidRDefault="000C318D" w:rsidP="00872E51">
      <w:pPr>
        <w:pStyle w:val="ListParagraph"/>
        <w:numPr>
          <w:ilvl w:val="0"/>
          <w:numId w:val="33"/>
        </w:numPr>
        <w:autoSpaceDE w:val="0"/>
        <w:autoSpaceDN w:val="0"/>
        <w:adjustRightInd w:val="0"/>
        <w:spacing w:line="240" w:lineRule="auto"/>
        <w:ind w:left="540" w:hanging="90"/>
        <w:rPr>
          <w:rFonts w:ascii="Arial" w:eastAsia="TimesNewRomanPS" w:hAnsi="Arial" w:cs="Arial"/>
          <w:sz w:val="20"/>
          <w:szCs w:val="20"/>
        </w:rPr>
      </w:pPr>
      <w:r w:rsidRPr="00872E51">
        <w:rPr>
          <w:rFonts w:ascii="Arial" w:eastAsia="TimesNewRomanPS" w:hAnsi="Arial" w:cs="Arial"/>
          <w:i/>
          <w:iCs/>
          <w:sz w:val="20"/>
          <w:szCs w:val="20"/>
        </w:rPr>
        <w:t xml:space="preserve">Excusable </w:t>
      </w:r>
      <w:r w:rsidRPr="00872E51">
        <w:rPr>
          <w:rFonts w:ascii="Arial" w:hAnsi="Arial" w:cs="Arial"/>
          <w:bCs/>
          <w:i/>
          <w:color w:val="000000"/>
          <w:sz w:val="20"/>
          <w:szCs w:val="20"/>
        </w:rPr>
        <w:t>Delay</w:t>
      </w:r>
      <w:r w:rsidRPr="00872E51">
        <w:rPr>
          <w:rFonts w:ascii="Arial" w:eastAsia="TimesNewRomanPS" w:hAnsi="Arial" w:cs="Arial"/>
          <w:i/>
          <w:sz w:val="20"/>
          <w:szCs w:val="20"/>
        </w:rPr>
        <w:t>:</w:t>
      </w:r>
      <w:r w:rsidRPr="00872E51">
        <w:rPr>
          <w:rFonts w:ascii="Arial" w:eastAsia="TimesNewRomanPS" w:hAnsi="Arial" w:cs="Arial"/>
          <w:sz w:val="20"/>
          <w:szCs w:val="20"/>
        </w:rPr>
        <w:t xml:space="preserve"> A delay that was beyond the Contractor’s control and was not due to the Contractor’s fault or negligence. The Department may grant a contract time extension for an excusable delay.</w:t>
      </w:r>
      <w:r w:rsidR="007D364A" w:rsidRPr="00872E51">
        <w:rPr>
          <w:rFonts w:ascii="Arial" w:eastAsia="TimesNewRomanPS" w:hAnsi="Arial" w:cs="Arial"/>
          <w:sz w:val="20"/>
          <w:szCs w:val="20"/>
        </w:rPr>
        <w:br/>
      </w:r>
    </w:p>
    <w:p w14:paraId="0517F5D5" w14:textId="77777777" w:rsidR="000C318D" w:rsidRPr="00872E51" w:rsidRDefault="000C318D" w:rsidP="00872E51">
      <w:pPr>
        <w:pStyle w:val="ListParagraph"/>
        <w:numPr>
          <w:ilvl w:val="0"/>
          <w:numId w:val="24"/>
        </w:numPr>
        <w:autoSpaceDE w:val="0"/>
        <w:autoSpaceDN w:val="0"/>
        <w:adjustRightInd w:val="0"/>
        <w:spacing w:after="0" w:line="240" w:lineRule="auto"/>
        <w:ind w:left="810" w:hanging="270"/>
        <w:rPr>
          <w:rFonts w:ascii="Arial" w:eastAsia="TimesNewRomanPS" w:hAnsi="Arial" w:cs="Arial"/>
          <w:sz w:val="20"/>
          <w:szCs w:val="20"/>
        </w:rPr>
      </w:pPr>
      <w:r w:rsidRPr="00872E51">
        <w:rPr>
          <w:rFonts w:ascii="Arial" w:eastAsia="TimesNewRomanPS" w:hAnsi="Arial" w:cs="Arial"/>
          <w:i/>
          <w:iCs/>
          <w:sz w:val="20"/>
          <w:szCs w:val="20"/>
        </w:rPr>
        <w:t>Compensable Delay</w:t>
      </w:r>
      <w:r w:rsidRPr="00872E51">
        <w:rPr>
          <w:rFonts w:ascii="Arial" w:eastAsia="TimesNewRomanPS" w:hAnsi="Arial" w:cs="Arial"/>
          <w:sz w:val="20"/>
          <w:szCs w:val="20"/>
        </w:rPr>
        <w:t xml:space="preserve">: A delay that the Department, not the Contractor, is responsible for entitling the </w:t>
      </w:r>
      <w:r w:rsidRPr="00872E51">
        <w:rPr>
          <w:rFonts w:ascii="Arial" w:eastAsia="TimesNewRomanPS" w:hAnsi="Arial" w:cs="Arial"/>
          <w:i/>
          <w:iCs/>
          <w:sz w:val="20"/>
          <w:szCs w:val="20"/>
        </w:rPr>
        <w:t>Contractor</w:t>
      </w:r>
      <w:r w:rsidRPr="00872E51">
        <w:rPr>
          <w:rFonts w:ascii="Arial" w:eastAsia="TimesNewRomanPS" w:hAnsi="Arial" w:cs="Arial"/>
          <w:sz w:val="20"/>
          <w:szCs w:val="20"/>
        </w:rPr>
        <w:t xml:space="preserve"> to a time extension and monetary compensation.  Monetary compensation for compensable delays will be made in accordance with Subsection 109.10.</w:t>
      </w:r>
    </w:p>
    <w:p w14:paraId="033E9452" w14:textId="77777777" w:rsidR="000C318D" w:rsidRPr="00872E51" w:rsidRDefault="000C318D" w:rsidP="00872E51">
      <w:pPr>
        <w:pStyle w:val="ListParagraph"/>
        <w:autoSpaceDE w:val="0"/>
        <w:autoSpaceDN w:val="0"/>
        <w:adjustRightInd w:val="0"/>
        <w:spacing w:after="0" w:line="240" w:lineRule="auto"/>
        <w:ind w:left="1260"/>
        <w:rPr>
          <w:rFonts w:ascii="Arial" w:eastAsia="TimesNewRomanPS" w:hAnsi="Arial" w:cs="Arial"/>
          <w:sz w:val="20"/>
          <w:szCs w:val="20"/>
        </w:rPr>
      </w:pPr>
    </w:p>
    <w:p w14:paraId="12CCBA26" w14:textId="77777777" w:rsidR="000C318D" w:rsidRPr="00872E51" w:rsidRDefault="000C318D" w:rsidP="00872E51">
      <w:pPr>
        <w:pStyle w:val="ListParagraph"/>
        <w:numPr>
          <w:ilvl w:val="0"/>
          <w:numId w:val="24"/>
        </w:numPr>
        <w:autoSpaceDE w:val="0"/>
        <w:autoSpaceDN w:val="0"/>
        <w:adjustRightInd w:val="0"/>
        <w:spacing w:after="0" w:line="240" w:lineRule="auto"/>
        <w:ind w:left="810" w:hanging="270"/>
        <w:rPr>
          <w:rFonts w:ascii="Arial" w:eastAsia="TimesNewRomanPS" w:hAnsi="Arial" w:cs="Arial"/>
          <w:sz w:val="20"/>
          <w:szCs w:val="20"/>
        </w:rPr>
      </w:pPr>
      <w:proofErr w:type="spellStart"/>
      <w:r w:rsidRPr="00872E51">
        <w:rPr>
          <w:rFonts w:ascii="Arial" w:eastAsia="TimesNewRomanPS" w:hAnsi="Arial" w:cs="Arial"/>
          <w:i/>
          <w:iCs/>
          <w:sz w:val="20"/>
          <w:szCs w:val="20"/>
        </w:rPr>
        <w:t>Noncompensable</w:t>
      </w:r>
      <w:proofErr w:type="spellEnd"/>
      <w:r w:rsidRPr="00872E51">
        <w:rPr>
          <w:rFonts w:ascii="Arial" w:eastAsia="TimesNewRomanPS" w:hAnsi="Arial" w:cs="Arial"/>
          <w:i/>
          <w:iCs/>
          <w:sz w:val="20"/>
          <w:szCs w:val="20"/>
        </w:rPr>
        <w:t xml:space="preserve"> Delay: </w:t>
      </w:r>
      <w:r w:rsidRPr="00872E51">
        <w:rPr>
          <w:rFonts w:ascii="Arial" w:eastAsia="TimesNewRomanPS" w:hAnsi="Arial" w:cs="Arial"/>
          <w:iCs/>
          <w:sz w:val="20"/>
          <w:szCs w:val="20"/>
        </w:rPr>
        <w:t>An excusable delay that neither the Contractor nor the Department is</w:t>
      </w:r>
      <w:r w:rsidRPr="00872E51">
        <w:rPr>
          <w:rFonts w:ascii="Arial" w:eastAsia="TimesNewRomanPS" w:hAnsi="Arial" w:cs="Arial"/>
          <w:sz w:val="20"/>
          <w:szCs w:val="20"/>
        </w:rPr>
        <w:t xml:space="preserve"> responsible for that may entitle the Contractor to a contract time extension but no additional monetary </w:t>
      </w:r>
      <w:r w:rsidRPr="00872E51">
        <w:rPr>
          <w:rFonts w:ascii="Arial" w:eastAsia="TimesNewRomanPS" w:hAnsi="Arial" w:cs="Arial"/>
          <w:iCs/>
          <w:sz w:val="20"/>
          <w:szCs w:val="20"/>
        </w:rPr>
        <w:t>compensation</w:t>
      </w:r>
      <w:r w:rsidRPr="00872E51">
        <w:rPr>
          <w:rFonts w:ascii="Arial" w:eastAsia="TimesNewRomanPS" w:hAnsi="Arial" w:cs="Arial"/>
          <w:sz w:val="20"/>
          <w:szCs w:val="20"/>
        </w:rPr>
        <w:t xml:space="preserve">. Contract time allowed for the performance of the work may be extended for </w:t>
      </w:r>
      <w:r w:rsidR="007D364A" w:rsidRPr="00872E51">
        <w:rPr>
          <w:rFonts w:ascii="Arial" w:eastAsia="TimesNewRomanPS" w:hAnsi="Arial" w:cs="Arial"/>
          <w:sz w:val="20"/>
          <w:szCs w:val="20"/>
        </w:rPr>
        <w:t>delays due</w:t>
      </w:r>
      <w:r w:rsidRPr="00872E51">
        <w:rPr>
          <w:rFonts w:ascii="Arial" w:eastAsia="TimesNewRomanPS" w:hAnsi="Arial" w:cs="Arial"/>
          <w:sz w:val="20"/>
          <w:szCs w:val="20"/>
        </w:rPr>
        <w:t xml:space="preserve"> to force majeure (i.e. acts of God, acts of the public enemy, terrorist acts, fires, floods, area wide strikes, embargoes, or unusually severe weather).</w:t>
      </w:r>
    </w:p>
    <w:p w14:paraId="530E0BAA" w14:textId="77777777" w:rsidR="000C318D" w:rsidRPr="00872E51" w:rsidRDefault="000C318D" w:rsidP="00872E51">
      <w:pPr>
        <w:autoSpaceDE w:val="0"/>
        <w:autoSpaceDN w:val="0"/>
        <w:adjustRightInd w:val="0"/>
        <w:ind w:left="1260"/>
        <w:rPr>
          <w:rFonts w:ascii="Arial" w:eastAsia="TimesNewRomanPS" w:hAnsi="Arial" w:cs="Arial"/>
        </w:rPr>
      </w:pPr>
    </w:p>
    <w:p w14:paraId="2A8D6382" w14:textId="77777777" w:rsidR="006C76F9" w:rsidRPr="00872E51" w:rsidRDefault="000C318D" w:rsidP="00872E51">
      <w:pPr>
        <w:pStyle w:val="ListParagraph"/>
        <w:numPr>
          <w:ilvl w:val="0"/>
          <w:numId w:val="33"/>
        </w:numPr>
        <w:autoSpaceDE w:val="0"/>
        <w:autoSpaceDN w:val="0"/>
        <w:adjustRightInd w:val="0"/>
        <w:spacing w:line="240" w:lineRule="auto"/>
        <w:ind w:left="540" w:hanging="90"/>
        <w:rPr>
          <w:rFonts w:ascii="Arial" w:eastAsia="TimesNewRomanPS" w:hAnsi="Arial" w:cs="Arial"/>
          <w:sz w:val="20"/>
          <w:szCs w:val="20"/>
        </w:rPr>
      </w:pPr>
      <w:proofErr w:type="spellStart"/>
      <w:r w:rsidRPr="00872E51">
        <w:rPr>
          <w:rFonts w:ascii="Arial" w:eastAsia="TimesNewRomanPS" w:hAnsi="Arial" w:cs="Arial"/>
          <w:i/>
          <w:iCs/>
          <w:sz w:val="20"/>
          <w:szCs w:val="20"/>
        </w:rPr>
        <w:t>Nonexcusable</w:t>
      </w:r>
      <w:proofErr w:type="spellEnd"/>
      <w:r w:rsidRPr="00872E51">
        <w:rPr>
          <w:rFonts w:ascii="Arial" w:eastAsia="TimesNewRomanPS" w:hAnsi="Arial" w:cs="Arial"/>
          <w:i/>
          <w:iCs/>
          <w:sz w:val="20"/>
          <w:szCs w:val="20"/>
        </w:rPr>
        <w:t xml:space="preserve"> Delay</w:t>
      </w:r>
      <w:r w:rsidRPr="00872E51">
        <w:rPr>
          <w:rFonts w:ascii="Arial" w:eastAsia="TimesNewRomanPS" w:hAnsi="Arial" w:cs="Arial"/>
          <w:sz w:val="20"/>
          <w:szCs w:val="20"/>
        </w:rPr>
        <w:t xml:space="preserve">: A delay that was reasonably foreseeable or within the control of the Contractor for </w:t>
      </w:r>
      <w:r w:rsidRPr="00872E51">
        <w:rPr>
          <w:rFonts w:ascii="Arial" w:eastAsia="TimesNewRomanPS" w:hAnsi="Arial" w:cs="Arial"/>
          <w:iCs/>
          <w:sz w:val="20"/>
          <w:szCs w:val="20"/>
        </w:rPr>
        <w:t xml:space="preserve">which the Department will </w:t>
      </w:r>
      <w:r w:rsidR="007D364A" w:rsidRPr="00872E51">
        <w:rPr>
          <w:rFonts w:ascii="Arial" w:eastAsia="TimesNewRomanPS" w:hAnsi="Arial" w:cs="Arial"/>
          <w:iCs/>
          <w:sz w:val="20"/>
          <w:szCs w:val="20"/>
        </w:rPr>
        <w:t>not grant</w:t>
      </w:r>
      <w:r w:rsidRPr="00872E51">
        <w:rPr>
          <w:rFonts w:ascii="Arial" w:eastAsia="TimesNewRomanPS" w:hAnsi="Arial" w:cs="Arial"/>
          <w:iCs/>
          <w:sz w:val="20"/>
          <w:szCs w:val="20"/>
        </w:rPr>
        <w:t xml:space="preserve"> monetary compensation or a contract time extension. </w:t>
      </w:r>
      <w:r w:rsidR="006C76F9" w:rsidRPr="00872E51">
        <w:rPr>
          <w:rFonts w:ascii="Arial" w:eastAsia="TimesNewRomanPS" w:hAnsi="Arial" w:cs="Arial"/>
          <w:iCs/>
          <w:sz w:val="20"/>
          <w:szCs w:val="20"/>
        </w:rPr>
        <w:br/>
      </w:r>
    </w:p>
    <w:p w14:paraId="2A7C424B" w14:textId="084E4B29" w:rsidR="006C76F9" w:rsidRPr="00872E51" w:rsidRDefault="000C318D" w:rsidP="00D16446">
      <w:pPr>
        <w:pStyle w:val="ListParagraph"/>
        <w:numPr>
          <w:ilvl w:val="0"/>
          <w:numId w:val="33"/>
        </w:numPr>
        <w:autoSpaceDE w:val="0"/>
        <w:autoSpaceDN w:val="0"/>
        <w:adjustRightInd w:val="0"/>
        <w:spacing w:line="240" w:lineRule="auto"/>
        <w:ind w:left="540" w:hanging="90"/>
        <w:rPr>
          <w:rFonts w:ascii="Arial" w:eastAsia="TimesNewRomanPS" w:hAnsi="Arial" w:cs="Arial"/>
          <w:sz w:val="20"/>
          <w:szCs w:val="20"/>
        </w:rPr>
      </w:pPr>
      <w:r w:rsidRPr="00872E51">
        <w:rPr>
          <w:rFonts w:ascii="Arial" w:eastAsia="TimesNewRomanPS" w:hAnsi="Arial" w:cs="Arial"/>
          <w:i/>
          <w:iCs/>
          <w:sz w:val="20"/>
          <w:szCs w:val="20"/>
        </w:rPr>
        <w:t>Concurrent</w:t>
      </w:r>
      <w:r w:rsidRPr="00872E51">
        <w:rPr>
          <w:rFonts w:ascii="Arial" w:eastAsia="TimesNewRomanPS" w:hAnsi="Arial" w:cs="Arial"/>
          <w:i/>
          <w:sz w:val="20"/>
          <w:szCs w:val="20"/>
        </w:rPr>
        <w:t xml:space="preserve"> </w:t>
      </w:r>
      <w:r w:rsidRPr="00872E51">
        <w:rPr>
          <w:rFonts w:ascii="Arial" w:eastAsia="TimesNewRomanPS" w:hAnsi="Arial" w:cs="Arial"/>
          <w:i/>
          <w:iCs/>
          <w:sz w:val="20"/>
          <w:szCs w:val="20"/>
        </w:rPr>
        <w:t>Delay</w:t>
      </w:r>
      <w:r w:rsidRPr="00872E51">
        <w:rPr>
          <w:rFonts w:ascii="Arial" w:eastAsia="TimesNewRomanPS" w:hAnsi="Arial" w:cs="Arial"/>
          <w:i/>
          <w:sz w:val="20"/>
          <w:szCs w:val="20"/>
        </w:rPr>
        <w:t>.</w:t>
      </w:r>
      <w:r w:rsidRPr="00872E51">
        <w:rPr>
          <w:rFonts w:ascii="Arial" w:eastAsia="TimesNewRomanPS" w:hAnsi="Arial" w:cs="Arial"/>
          <w:sz w:val="20"/>
          <w:szCs w:val="20"/>
        </w:rPr>
        <w:t xml:space="preserve">  Independent delays to critical activities occurring at the same time. </w:t>
      </w:r>
      <w:r w:rsidR="006C76F9" w:rsidRPr="00872E51">
        <w:rPr>
          <w:rFonts w:ascii="Arial" w:eastAsia="TimesNewRomanPS" w:hAnsi="Arial" w:cs="Arial"/>
          <w:sz w:val="20"/>
          <w:szCs w:val="20"/>
        </w:rPr>
        <w:br/>
      </w:r>
    </w:p>
    <w:p w14:paraId="59A22B2B" w14:textId="6536F47D" w:rsidR="000C318D" w:rsidRPr="00872E51" w:rsidRDefault="006C76F9" w:rsidP="00D16446">
      <w:pPr>
        <w:pStyle w:val="ListParagraph"/>
        <w:numPr>
          <w:ilvl w:val="0"/>
          <w:numId w:val="34"/>
        </w:numPr>
        <w:autoSpaceDE w:val="0"/>
        <w:autoSpaceDN w:val="0"/>
        <w:adjustRightInd w:val="0"/>
        <w:spacing w:after="0" w:line="240" w:lineRule="auto"/>
        <w:ind w:hanging="240"/>
        <w:rPr>
          <w:rFonts w:ascii="Arial" w:eastAsia="TimesNewRomanPS" w:hAnsi="Arial" w:cs="Arial"/>
          <w:sz w:val="20"/>
          <w:szCs w:val="20"/>
        </w:rPr>
      </w:pPr>
      <w:r w:rsidRPr="00872E51">
        <w:rPr>
          <w:rFonts w:ascii="Arial" w:eastAsia="TimesNewRomanPS" w:hAnsi="Arial" w:cs="Arial"/>
          <w:sz w:val="20"/>
          <w:szCs w:val="20"/>
        </w:rPr>
        <w:t xml:space="preserve">The </w:t>
      </w:r>
      <w:r w:rsidRPr="00D16446">
        <w:rPr>
          <w:rFonts w:ascii="Arial" w:eastAsia="TimesNewRomanPS" w:hAnsi="Arial" w:cs="Arial"/>
          <w:i/>
          <w:iCs/>
          <w:sz w:val="20"/>
          <w:szCs w:val="20"/>
        </w:rPr>
        <w:t>Department</w:t>
      </w:r>
      <w:r w:rsidRPr="00872E51">
        <w:rPr>
          <w:rFonts w:ascii="Arial" w:eastAsia="TimesNewRomanPS" w:hAnsi="Arial" w:cs="Arial"/>
          <w:sz w:val="20"/>
          <w:szCs w:val="20"/>
        </w:rPr>
        <w:t xml:space="preserve"> will not grant a time extension or additional compensation for the period of time that a non-excusable delay is concurrent with an excusable delay.</w:t>
      </w:r>
      <w:r w:rsidR="00B337C5" w:rsidRPr="00872E51">
        <w:rPr>
          <w:rFonts w:ascii="Arial" w:eastAsia="TimesNewRomanPS" w:hAnsi="Arial" w:cs="Arial"/>
          <w:sz w:val="20"/>
          <w:szCs w:val="20"/>
        </w:rPr>
        <w:br/>
      </w:r>
      <w:r w:rsidR="000C318D" w:rsidRPr="00872E51">
        <w:rPr>
          <w:rFonts w:ascii="Arial" w:eastAsia="TimesNewRomanPS" w:hAnsi="Arial" w:cs="Arial"/>
          <w:sz w:val="20"/>
          <w:szCs w:val="20"/>
        </w:rPr>
        <w:t xml:space="preserve"> </w:t>
      </w:r>
    </w:p>
    <w:p w14:paraId="3D5EFF5E" w14:textId="619332AE" w:rsidR="000C318D" w:rsidRPr="00872E51" w:rsidRDefault="000C318D" w:rsidP="00D16446">
      <w:pPr>
        <w:pStyle w:val="ListParagraph"/>
        <w:numPr>
          <w:ilvl w:val="0"/>
          <w:numId w:val="34"/>
        </w:numPr>
        <w:autoSpaceDE w:val="0"/>
        <w:autoSpaceDN w:val="0"/>
        <w:adjustRightInd w:val="0"/>
        <w:spacing w:after="0" w:line="240" w:lineRule="auto"/>
        <w:ind w:hanging="240"/>
        <w:rPr>
          <w:rFonts w:ascii="Arial" w:eastAsia="TimesNewRomanPS" w:hAnsi="Arial" w:cs="Arial"/>
          <w:sz w:val="20"/>
          <w:szCs w:val="20"/>
        </w:rPr>
      </w:pPr>
      <w:r w:rsidRPr="00872E51">
        <w:rPr>
          <w:rFonts w:ascii="Arial" w:eastAsia="TimesNewRomanPS" w:hAnsi="Arial" w:cs="Arial"/>
          <w:sz w:val="20"/>
          <w:szCs w:val="20"/>
        </w:rPr>
        <w:t>The Department may grant time but no compensation for the period of time that a non-compensable delay is concu</w:t>
      </w:r>
      <w:r w:rsidR="00872E51">
        <w:rPr>
          <w:rFonts w:ascii="Arial" w:eastAsia="TimesNewRomanPS" w:hAnsi="Arial" w:cs="Arial"/>
          <w:sz w:val="20"/>
          <w:szCs w:val="20"/>
        </w:rPr>
        <w:t>rrent with a compensable delay.</w:t>
      </w:r>
    </w:p>
    <w:p w14:paraId="00777E76" w14:textId="77777777" w:rsidR="000C318D" w:rsidRPr="006C76F9" w:rsidRDefault="000C318D" w:rsidP="00C405A0">
      <w:pPr>
        <w:autoSpaceDE w:val="0"/>
        <w:autoSpaceDN w:val="0"/>
        <w:adjustRightInd w:val="0"/>
        <w:rPr>
          <w:rFonts w:ascii="Arial" w:eastAsia="TimesNewRomanPS" w:hAnsi="Arial" w:cs="Arial"/>
        </w:rPr>
      </w:pPr>
    </w:p>
    <w:p w14:paraId="17F8F364" w14:textId="34E9AEA2" w:rsidR="000C318D" w:rsidRDefault="000C318D" w:rsidP="00C405A0">
      <w:pPr>
        <w:autoSpaceDE w:val="0"/>
        <w:autoSpaceDN w:val="0"/>
        <w:adjustRightInd w:val="0"/>
        <w:ind w:left="360"/>
        <w:rPr>
          <w:rFonts w:ascii="Arial" w:eastAsia="TimesNewRomanPS" w:hAnsi="Arial" w:cs="Arial"/>
        </w:rPr>
      </w:pPr>
      <w:r w:rsidRPr="006C76F9">
        <w:rPr>
          <w:rFonts w:ascii="Arial" w:eastAsia="TimesNewRomanPS" w:hAnsi="Arial" w:cs="Arial"/>
        </w:rPr>
        <w:t xml:space="preserve">Delays in delivery of materials or fabrication scheduling resulting from late ordering, financial considerations, or other causes that could have been foreseen or prevented will be considered </w:t>
      </w:r>
      <w:proofErr w:type="spellStart"/>
      <w:r w:rsidRPr="006C76F9">
        <w:rPr>
          <w:rFonts w:ascii="Arial" w:eastAsia="TimesNewRomanPS" w:hAnsi="Arial" w:cs="Arial"/>
        </w:rPr>
        <w:t>nonexcusable</w:t>
      </w:r>
      <w:proofErr w:type="spellEnd"/>
      <w:r w:rsidRPr="006C76F9">
        <w:rPr>
          <w:rFonts w:ascii="Arial" w:eastAsia="TimesNewRomanPS" w:hAnsi="Arial" w:cs="Arial"/>
        </w:rPr>
        <w:t xml:space="preserve"> delays. However, delays caused by fuel shortage or delay in delivery of materials to the Contractor due to some unusual market condition caused by industry</w:t>
      </w:r>
      <w:r w:rsidRPr="006C76F9">
        <w:rPr>
          <w:rFonts w:ascii="MS Gothic" w:eastAsia="MS Gothic" w:hAnsi="MS Gothic" w:cs="MS Gothic" w:hint="eastAsia"/>
        </w:rPr>
        <w:t>‑</w:t>
      </w:r>
      <w:r w:rsidRPr="006C76F9">
        <w:rPr>
          <w:rFonts w:ascii="Arial" w:eastAsia="TimesNewRomanPS" w:hAnsi="Arial" w:cs="Arial"/>
        </w:rPr>
        <w:t>wide strike, national disaster, area</w:t>
      </w:r>
      <w:r w:rsidRPr="006C76F9">
        <w:rPr>
          <w:rFonts w:ascii="MS Gothic" w:eastAsia="MS Gothic" w:hAnsi="MS Gothic" w:cs="MS Gothic" w:hint="eastAsia"/>
        </w:rPr>
        <w:t>‑</w:t>
      </w:r>
      <w:r w:rsidRPr="006C76F9">
        <w:rPr>
          <w:rFonts w:ascii="Arial" w:eastAsia="TimesNewRomanPS" w:hAnsi="Arial" w:cs="Arial"/>
        </w:rPr>
        <w:t xml:space="preserve">wide shortage, or other reasons beyond the control of the Contractor which prevent procurement of materials or fuel within the allowable contract time limits will be considered excusable delays. </w:t>
      </w:r>
    </w:p>
    <w:p w14:paraId="17631158" w14:textId="77777777" w:rsidR="00747F59" w:rsidRPr="006C76F9" w:rsidRDefault="00747F59" w:rsidP="00C405A0">
      <w:pPr>
        <w:autoSpaceDE w:val="0"/>
        <w:autoSpaceDN w:val="0"/>
        <w:adjustRightInd w:val="0"/>
        <w:ind w:left="360"/>
        <w:rPr>
          <w:rFonts w:ascii="Arial" w:eastAsia="TimesNewRomanPS" w:hAnsi="Arial" w:cs="Arial"/>
        </w:rPr>
      </w:pPr>
    </w:p>
    <w:p w14:paraId="449DFA2D" w14:textId="77777777" w:rsidR="000C318D" w:rsidRDefault="000C318D" w:rsidP="00872E51">
      <w:pPr>
        <w:numPr>
          <w:ilvl w:val="0"/>
          <w:numId w:val="31"/>
        </w:numPr>
        <w:autoSpaceDE w:val="0"/>
        <w:autoSpaceDN w:val="0"/>
        <w:adjustRightInd w:val="0"/>
        <w:ind w:left="720" w:hanging="360"/>
        <w:rPr>
          <w:rFonts w:ascii="Arial" w:eastAsia="TimesNewRomanPS" w:hAnsi="Arial" w:cs="Arial"/>
        </w:rPr>
      </w:pPr>
      <w:r w:rsidRPr="006C76F9">
        <w:rPr>
          <w:rFonts w:ascii="Arial" w:eastAsia="TimesNewRomanPS" w:hAnsi="Arial" w:cs="Arial"/>
        </w:rPr>
        <w:t xml:space="preserve"> </w:t>
      </w:r>
      <w:r w:rsidRPr="006C76F9">
        <w:rPr>
          <w:rFonts w:ascii="Arial" w:eastAsia="TimesNewRomanPS" w:hAnsi="Arial" w:cs="Arial"/>
          <w:i/>
          <w:iCs/>
        </w:rPr>
        <w:t xml:space="preserve">Extension of Contract Time. </w:t>
      </w:r>
      <w:r w:rsidRPr="006C76F9">
        <w:rPr>
          <w:rFonts w:ascii="Arial" w:eastAsia="TimesNewRomanPS" w:hAnsi="Arial" w:cs="Arial"/>
        </w:rPr>
        <w:t>The Contractor’s assertion that insufficient contract time was specified is not a valid reason for an extension of contract time. For time extension requests, the Contractor shall provide a two-part submittal: part one shall consist of a written notice of the delay and part two shall consist of the Contractor’s delay documentation and supporting analysis.</w:t>
      </w:r>
    </w:p>
    <w:p w14:paraId="57244A62" w14:textId="77777777" w:rsidR="00D16446" w:rsidRPr="006C76F9" w:rsidRDefault="00D16446" w:rsidP="00D16446">
      <w:pPr>
        <w:autoSpaceDE w:val="0"/>
        <w:autoSpaceDN w:val="0"/>
        <w:adjustRightInd w:val="0"/>
        <w:rPr>
          <w:rFonts w:ascii="Arial" w:eastAsia="TimesNewRomanPS" w:hAnsi="Arial" w:cs="Arial"/>
        </w:rPr>
      </w:pPr>
    </w:p>
    <w:p w14:paraId="7B9368AF" w14:textId="77777777" w:rsidR="000C318D" w:rsidRPr="006C76F9" w:rsidRDefault="000C318D" w:rsidP="00D16446">
      <w:pPr>
        <w:autoSpaceDE w:val="0"/>
        <w:autoSpaceDN w:val="0"/>
        <w:adjustRightInd w:val="0"/>
        <w:ind w:left="720"/>
        <w:rPr>
          <w:rFonts w:ascii="Arial" w:eastAsia="TimesNewRomanPS" w:hAnsi="Arial" w:cs="Arial"/>
        </w:rPr>
      </w:pPr>
      <w:r w:rsidRPr="006C76F9">
        <w:rPr>
          <w:rFonts w:ascii="Arial" w:eastAsia="TimesNewRomanPS" w:hAnsi="Arial" w:cs="Arial"/>
        </w:rPr>
        <w:t xml:space="preserve">Part 1: The Contractor shall provide the written notice of delay within </w:t>
      </w:r>
      <w:r w:rsidR="00F6258A" w:rsidRPr="006C76F9">
        <w:rPr>
          <w:rFonts w:ascii="Arial" w:eastAsia="TimesNewRomanPS" w:hAnsi="Arial" w:cs="Arial"/>
        </w:rPr>
        <w:t>seven</w:t>
      </w:r>
      <w:r w:rsidRPr="006C76F9">
        <w:rPr>
          <w:rFonts w:ascii="Arial" w:eastAsia="TimesNewRomanPS" w:hAnsi="Arial" w:cs="Arial"/>
        </w:rPr>
        <w:t xml:space="preserve"> days of the delay occurrence.  The notice shall describe the delay and include documentation substantiating the nature and cause of the delay.  Failure to submit the written notice constitutes a waiver of entitlement to additional time or compensation.</w:t>
      </w:r>
    </w:p>
    <w:p w14:paraId="3E4816E6" w14:textId="57342559" w:rsidR="000C318D" w:rsidRDefault="000C318D" w:rsidP="00D16446">
      <w:pPr>
        <w:autoSpaceDE w:val="0"/>
        <w:autoSpaceDN w:val="0"/>
        <w:adjustRightInd w:val="0"/>
        <w:ind w:left="720"/>
        <w:rPr>
          <w:rFonts w:ascii="Arial" w:eastAsia="TimesNewRomanPS" w:hAnsi="Arial" w:cs="Arial"/>
        </w:rPr>
      </w:pPr>
      <w:r w:rsidRPr="006C76F9">
        <w:rPr>
          <w:rFonts w:ascii="Arial" w:eastAsia="TimesNewRomanPS" w:hAnsi="Arial" w:cs="Arial"/>
        </w:rPr>
        <w:t>Part 2: This shall be submitted within 30 days of the written notice.  The Contractor shall include all documentation needed to support the time extension request. In order to request additional contract time for an unexpected delay, the Contractor shall provide a contemporaneous schedule analysis</w:t>
      </w:r>
      <w:r w:rsidRPr="006C76F9" w:rsidDel="00D3167B">
        <w:rPr>
          <w:rFonts w:ascii="Arial" w:eastAsia="TimesNewRomanPS" w:hAnsi="Arial" w:cs="Arial"/>
        </w:rPr>
        <w:t xml:space="preserve"> </w:t>
      </w:r>
      <w:r w:rsidR="00F16416" w:rsidRPr="006C76F9">
        <w:rPr>
          <w:rFonts w:ascii="Arial" w:eastAsia="TimesNewRomanPS" w:hAnsi="Arial" w:cs="Arial"/>
        </w:rPr>
        <w:t>in accordance with</w:t>
      </w:r>
      <w:r w:rsidRPr="006C76F9">
        <w:rPr>
          <w:rFonts w:ascii="Arial" w:eastAsia="TimesNewRomanPS" w:hAnsi="Arial" w:cs="Arial"/>
        </w:rPr>
        <w:t xml:space="preserve"> subsection 108.03. The schedule analysis shall show that the delayed activity or activities were on the critical path or became critical due to the delay.</w:t>
      </w:r>
    </w:p>
    <w:p w14:paraId="3C25F635" w14:textId="37913D75" w:rsidR="00C405A0" w:rsidRDefault="00C405A0">
      <w:pPr>
        <w:rPr>
          <w:rFonts w:ascii="Arial" w:eastAsia="TimesNewRomanPS" w:hAnsi="Arial" w:cs="Arial"/>
        </w:rPr>
      </w:pPr>
      <w:r>
        <w:rPr>
          <w:rFonts w:ascii="Arial" w:eastAsia="TimesNewRomanPS" w:hAnsi="Arial" w:cs="Arial"/>
        </w:rPr>
        <w:br w:type="page"/>
      </w:r>
    </w:p>
    <w:p w14:paraId="59EF825A" w14:textId="77777777" w:rsidR="00747F59" w:rsidRPr="006C76F9" w:rsidRDefault="00747F59" w:rsidP="00C405A0">
      <w:pPr>
        <w:autoSpaceDE w:val="0"/>
        <w:autoSpaceDN w:val="0"/>
        <w:adjustRightInd w:val="0"/>
        <w:ind w:left="360"/>
        <w:rPr>
          <w:rFonts w:ascii="Arial" w:eastAsia="TimesNewRomanPS" w:hAnsi="Arial" w:cs="Arial"/>
        </w:rPr>
      </w:pPr>
    </w:p>
    <w:p w14:paraId="0963504A" w14:textId="77777777" w:rsidR="000C318D" w:rsidRDefault="000C318D" w:rsidP="00D16446">
      <w:pPr>
        <w:autoSpaceDE w:val="0"/>
        <w:autoSpaceDN w:val="0"/>
        <w:adjustRightInd w:val="0"/>
        <w:ind w:left="590"/>
        <w:rPr>
          <w:rFonts w:ascii="Arial" w:eastAsia="TimesNewRomanPS" w:hAnsi="Arial" w:cs="Arial"/>
        </w:rPr>
      </w:pPr>
      <w:r w:rsidRPr="006C76F9">
        <w:rPr>
          <w:rFonts w:ascii="Arial" w:eastAsia="TimesNewRomanPS" w:hAnsi="Arial" w:cs="Arial"/>
        </w:rPr>
        <w:t xml:space="preserve">The </w:t>
      </w:r>
      <w:r w:rsidR="00D461FA" w:rsidRPr="006C76F9">
        <w:rPr>
          <w:rFonts w:ascii="Arial" w:eastAsia="TimesNewRomanPS" w:hAnsi="Arial" w:cs="Arial"/>
        </w:rPr>
        <w:t>Engineer</w:t>
      </w:r>
      <w:r w:rsidRPr="006C76F9">
        <w:rPr>
          <w:rFonts w:ascii="Arial" w:eastAsia="TimesNewRomanPS" w:hAnsi="Arial" w:cs="Arial"/>
        </w:rPr>
        <w:t xml:space="preserve"> will base a determination of an allowable contract time extension on:</w:t>
      </w:r>
    </w:p>
    <w:p w14:paraId="54689029" w14:textId="77777777" w:rsidR="00C405A0" w:rsidRPr="006C76F9" w:rsidRDefault="00C405A0" w:rsidP="00D16446">
      <w:pPr>
        <w:autoSpaceDE w:val="0"/>
        <w:autoSpaceDN w:val="0"/>
        <w:adjustRightInd w:val="0"/>
        <w:ind w:left="544"/>
        <w:rPr>
          <w:rFonts w:ascii="Arial" w:eastAsia="TimesNewRomanPS" w:hAnsi="Arial" w:cs="Arial"/>
        </w:rPr>
      </w:pPr>
    </w:p>
    <w:p w14:paraId="420BE9CB" w14:textId="77777777" w:rsidR="000C318D" w:rsidRPr="006C76F9" w:rsidRDefault="000C318D" w:rsidP="00D16446">
      <w:pPr>
        <w:pStyle w:val="ListParagraph"/>
        <w:numPr>
          <w:ilvl w:val="0"/>
          <w:numId w:val="27"/>
        </w:numPr>
        <w:autoSpaceDE w:val="0"/>
        <w:autoSpaceDN w:val="0"/>
        <w:adjustRightInd w:val="0"/>
        <w:spacing w:after="0" w:line="240" w:lineRule="auto"/>
        <w:ind w:left="950"/>
        <w:rPr>
          <w:rFonts w:ascii="Arial" w:eastAsia="TimesNewRomanPS" w:hAnsi="Arial" w:cs="Arial"/>
          <w:sz w:val="20"/>
          <w:szCs w:val="20"/>
        </w:rPr>
      </w:pPr>
      <w:r w:rsidRPr="006C76F9">
        <w:rPr>
          <w:rFonts w:ascii="Arial" w:eastAsia="TimesNewRomanPS" w:hAnsi="Arial" w:cs="Arial"/>
          <w:sz w:val="20"/>
          <w:szCs w:val="20"/>
        </w:rPr>
        <w:t>The current Schedule in effect at the time of the alleged delay;</w:t>
      </w:r>
    </w:p>
    <w:p w14:paraId="5E14F273" w14:textId="37688809" w:rsidR="000C318D" w:rsidRPr="006C76F9" w:rsidRDefault="00747F59" w:rsidP="00D16446">
      <w:pPr>
        <w:pStyle w:val="ListParagraph"/>
        <w:numPr>
          <w:ilvl w:val="0"/>
          <w:numId w:val="27"/>
        </w:numPr>
        <w:autoSpaceDE w:val="0"/>
        <w:autoSpaceDN w:val="0"/>
        <w:adjustRightInd w:val="0"/>
        <w:spacing w:after="0" w:line="240" w:lineRule="auto"/>
        <w:ind w:left="950"/>
        <w:rPr>
          <w:rFonts w:ascii="Arial" w:eastAsia="TimesNewRomanPS" w:hAnsi="Arial" w:cs="Arial"/>
          <w:sz w:val="20"/>
          <w:szCs w:val="20"/>
        </w:rPr>
      </w:pPr>
      <w:r>
        <w:rPr>
          <w:rFonts w:ascii="Arial" w:eastAsia="TimesNewRomanPS" w:hAnsi="Arial" w:cs="Arial"/>
          <w:sz w:val="20"/>
          <w:szCs w:val="20"/>
        </w:rPr>
        <w:t xml:space="preserve"> T</w:t>
      </w:r>
      <w:r w:rsidR="000C318D" w:rsidRPr="006C76F9">
        <w:rPr>
          <w:rFonts w:ascii="Arial" w:eastAsia="TimesNewRomanPS" w:hAnsi="Arial" w:cs="Arial"/>
          <w:sz w:val="20"/>
          <w:szCs w:val="20"/>
        </w:rPr>
        <w:t>he supporting documentation submitted by the Contractor;</w:t>
      </w:r>
    </w:p>
    <w:p w14:paraId="64A62095" w14:textId="310F89CB" w:rsidR="000C318D" w:rsidRPr="006C76F9" w:rsidRDefault="00747F59" w:rsidP="00D16446">
      <w:pPr>
        <w:pStyle w:val="ListParagraph"/>
        <w:numPr>
          <w:ilvl w:val="0"/>
          <w:numId w:val="27"/>
        </w:numPr>
        <w:autoSpaceDE w:val="0"/>
        <w:autoSpaceDN w:val="0"/>
        <w:adjustRightInd w:val="0"/>
        <w:spacing w:after="0" w:line="240" w:lineRule="auto"/>
        <w:ind w:left="950"/>
        <w:rPr>
          <w:rFonts w:ascii="Arial" w:eastAsia="TimesNewRomanPS" w:hAnsi="Arial" w:cs="Arial"/>
          <w:sz w:val="20"/>
          <w:szCs w:val="20"/>
        </w:rPr>
      </w:pPr>
      <w:r>
        <w:rPr>
          <w:rFonts w:ascii="Arial" w:eastAsia="TimesNewRomanPS" w:hAnsi="Arial" w:cs="Arial"/>
          <w:sz w:val="20"/>
          <w:szCs w:val="20"/>
        </w:rPr>
        <w:t xml:space="preserve"> T</w:t>
      </w:r>
      <w:r w:rsidR="000C318D" w:rsidRPr="006C76F9">
        <w:rPr>
          <w:rFonts w:ascii="Arial" w:eastAsia="TimesNewRomanPS" w:hAnsi="Arial" w:cs="Arial"/>
          <w:sz w:val="20"/>
          <w:szCs w:val="20"/>
        </w:rPr>
        <w:t>he contemporaneous schedule analysis; and</w:t>
      </w:r>
    </w:p>
    <w:p w14:paraId="16620E63" w14:textId="77777777" w:rsidR="00747F59" w:rsidRDefault="000C318D" w:rsidP="00D16446">
      <w:pPr>
        <w:pStyle w:val="ListParagraph"/>
        <w:numPr>
          <w:ilvl w:val="0"/>
          <w:numId w:val="27"/>
        </w:numPr>
        <w:autoSpaceDE w:val="0"/>
        <w:autoSpaceDN w:val="0"/>
        <w:adjustRightInd w:val="0"/>
        <w:spacing w:after="0" w:line="240" w:lineRule="auto"/>
        <w:ind w:left="950"/>
        <w:rPr>
          <w:rFonts w:ascii="Arial" w:eastAsia="TimesNewRomanPS" w:hAnsi="Arial" w:cs="Arial"/>
          <w:sz w:val="20"/>
          <w:szCs w:val="20"/>
        </w:rPr>
      </w:pPr>
      <w:r w:rsidRPr="006C76F9">
        <w:rPr>
          <w:rFonts w:ascii="Arial" w:eastAsia="TimesNewRomanPS" w:hAnsi="Arial" w:cs="Arial"/>
          <w:sz w:val="20"/>
          <w:szCs w:val="20"/>
        </w:rPr>
        <w:t xml:space="preserve">Any other relevant information available to the Engineer. </w:t>
      </w:r>
    </w:p>
    <w:p w14:paraId="4A6F4A16" w14:textId="77777777" w:rsidR="00C405A0" w:rsidRDefault="006C76F9" w:rsidP="00D16446">
      <w:pPr>
        <w:autoSpaceDE w:val="0"/>
        <w:autoSpaceDN w:val="0"/>
        <w:adjustRightInd w:val="0"/>
        <w:ind w:left="544"/>
        <w:rPr>
          <w:rFonts w:ascii="Arial" w:eastAsia="TimesNewRomanPS" w:hAnsi="Arial" w:cs="Arial"/>
        </w:rPr>
      </w:pPr>
      <w:r w:rsidRPr="00747F59">
        <w:rPr>
          <w:rFonts w:ascii="Arial" w:eastAsia="TimesNewRomanPS" w:hAnsi="Arial" w:cs="Arial"/>
        </w:rPr>
        <w:br/>
      </w:r>
      <w:r w:rsidR="000C318D" w:rsidRPr="00747F59">
        <w:rPr>
          <w:rFonts w:ascii="Arial" w:eastAsia="TimesNewRomanPS" w:hAnsi="Arial" w:cs="Arial"/>
        </w:rPr>
        <w:t xml:space="preserve">For a time extension request resulting from a change order, the Contractor shall demonstrate the delay to the project completion date by: </w:t>
      </w:r>
    </w:p>
    <w:p w14:paraId="035CE661" w14:textId="77777777" w:rsidR="00C405A0" w:rsidRDefault="00C405A0" w:rsidP="00D16446">
      <w:pPr>
        <w:autoSpaceDE w:val="0"/>
        <w:autoSpaceDN w:val="0"/>
        <w:adjustRightInd w:val="0"/>
        <w:ind w:left="544"/>
        <w:rPr>
          <w:rFonts w:ascii="Arial" w:eastAsia="TimesNewRomanPS" w:hAnsi="Arial" w:cs="Arial"/>
        </w:rPr>
      </w:pPr>
    </w:p>
    <w:p w14:paraId="76F97BE4" w14:textId="77777777" w:rsidR="00C405A0" w:rsidRPr="00C405A0" w:rsidRDefault="00C405A0" w:rsidP="00D16446">
      <w:pPr>
        <w:pStyle w:val="ListParagraph"/>
        <w:numPr>
          <w:ilvl w:val="0"/>
          <w:numId w:val="29"/>
        </w:numPr>
        <w:spacing w:line="240" w:lineRule="auto"/>
        <w:ind w:left="950"/>
        <w:rPr>
          <w:rFonts w:ascii="Arial" w:eastAsia="TimesNewRomanPS" w:hAnsi="Arial" w:cs="Arial"/>
          <w:sz w:val="20"/>
          <w:szCs w:val="20"/>
        </w:rPr>
      </w:pPr>
      <w:r w:rsidRPr="00C405A0">
        <w:rPr>
          <w:rFonts w:ascii="Arial" w:eastAsia="TimesNewRomanPS" w:hAnsi="Arial" w:cs="Arial"/>
          <w:sz w:val="20"/>
          <w:szCs w:val="20"/>
        </w:rPr>
        <w:t xml:space="preserve">Inserting a </w:t>
      </w:r>
      <w:proofErr w:type="spellStart"/>
      <w:r w:rsidRPr="00C405A0">
        <w:rPr>
          <w:rFonts w:ascii="Arial" w:eastAsia="TimesNewRomanPS" w:hAnsi="Arial" w:cs="Arial"/>
          <w:sz w:val="20"/>
          <w:szCs w:val="20"/>
        </w:rPr>
        <w:t>fragnet</w:t>
      </w:r>
      <w:proofErr w:type="spellEnd"/>
      <w:r w:rsidRPr="00C405A0">
        <w:rPr>
          <w:rFonts w:ascii="Arial" w:eastAsia="TimesNewRomanPS" w:hAnsi="Arial" w:cs="Arial"/>
          <w:sz w:val="20"/>
          <w:szCs w:val="20"/>
        </w:rPr>
        <w:t xml:space="preserve"> containing the change order activities into an </w:t>
      </w:r>
      <w:proofErr w:type="spellStart"/>
      <w:r w:rsidRPr="00C405A0">
        <w:rPr>
          <w:rFonts w:ascii="Arial" w:eastAsia="TimesNewRomanPS" w:hAnsi="Arial" w:cs="Arial"/>
          <w:sz w:val="20"/>
          <w:szCs w:val="20"/>
        </w:rPr>
        <w:t>unprogressed</w:t>
      </w:r>
      <w:proofErr w:type="spellEnd"/>
      <w:r w:rsidRPr="00C405A0">
        <w:rPr>
          <w:rFonts w:ascii="Arial" w:eastAsia="TimesNewRomanPS" w:hAnsi="Arial" w:cs="Arial"/>
          <w:sz w:val="20"/>
          <w:szCs w:val="20"/>
        </w:rPr>
        <w:t xml:space="preserve"> copy of the schedule that is current at the time of the change order;</w:t>
      </w:r>
    </w:p>
    <w:p w14:paraId="3DE8A11D" w14:textId="77777777" w:rsidR="000C318D" w:rsidRPr="006C76F9" w:rsidRDefault="000C318D" w:rsidP="00D16446">
      <w:pPr>
        <w:pStyle w:val="ListParagraph"/>
        <w:numPr>
          <w:ilvl w:val="0"/>
          <w:numId w:val="29"/>
        </w:numPr>
        <w:spacing w:line="240" w:lineRule="auto"/>
        <w:ind w:left="950"/>
        <w:rPr>
          <w:rFonts w:ascii="Arial" w:eastAsia="TimesNewRomanPS" w:hAnsi="Arial" w:cs="Arial"/>
          <w:sz w:val="20"/>
          <w:szCs w:val="20"/>
        </w:rPr>
      </w:pPr>
      <w:r w:rsidRPr="006C76F9">
        <w:rPr>
          <w:rFonts w:ascii="Arial" w:eastAsia="TimesNewRomanPS" w:hAnsi="Arial" w:cs="Arial"/>
          <w:sz w:val="20"/>
          <w:szCs w:val="20"/>
        </w:rPr>
        <w:t xml:space="preserve">tying the </w:t>
      </w:r>
      <w:proofErr w:type="spellStart"/>
      <w:r w:rsidRPr="006C76F9">
        <w:rPr>
          <w:rFonts w:ascii="Arial" w:eastAsia="TimesNewRomanPS" w:hAnsi="Arial" w:cs="Arial"/>
          <w:sz w:val="20"/>
          <w:szCs w:val="20"/>
        </w:rPr>
        <w:t>fragnet</w:t>
      </w:r>
      <w:proofErr w:type="spellEnd"/>
      <w:r w:rsidRPr="006C76F9">
        <w:rPr>
          <w:rFonts w:ascii="Arial" w:eastAsia="TimesNewRomanPS" w:hAnsi="Arial" w:cs="Arial"/>
          <w:sz w:val="20"/>
          <w:szCs w:val="20"/>
        </w:rPr>
        <w:t xml:space="preserve"> into the schedule logic; and </w:t>
      </w:r>
    </w:p>
    <w:p w14:paraId="6B85EA64" w14:textId="2E13CED5" w:rsidR="006C76F9" w:rsidRPr="006C76F9" w:rsidRDefault="000C318D" w:rsidP="00D16446">
      <w:pPr>
        <w:pStyle w:val="ListParagraph"/>
        <w:numPr>
          <w:ilvl w:val="0"/>
          <w:numId w:val="29"/>
        </w:numPr>
        <w:spacing w:line="240" w:lineRule="auto"/>
        <w:ind w:left="950"/>
        <w:rPr>
          <w:rFonts w:ascii="Arial" w:eastAsia="TimesNewRomanPS" w:hAnsi="Arial" w:cs="Arial"/>
        </w:rPr>
      </w:pPr>
      <w:r w:rsidRPr="006C76F9">
        <w:rPr>
          <w:rFonts w:ascii="Arial" w:eastAsia="TimesNewRomanPS" w:hAnsi="Arial" w:cs="Arial"/>
          <w:sz w:val="20"/>
          <w:szCs w:val="20"/>
        </w:rPr>
        <w:t xml:space="preserve">Recalculating the schedule. </w:t>
      </w:r>
    </w:p>
    <w:p w14:paraId="48F2809E" w14:textId="77777777" w:rsidR="006C76F9" w:rsidRPr="006C76F9" w:rsidRDefault="006C76F9" w:rsidP="00C405A0">
      <w:pPr>
        <w:autoSpaceDE w:val="0"/>
        <w:autoSpaceDN w:val="0"/>
        <w:adjustRightInd w:val="0"/>
        <w:rPr>
          <w:rFonts w:ascii="Arial" w:eastAsia="TimesNewRomanPS" w:hAnsi="Arial" w:cs="Arial"/>
        </w:rPr>
      </w:pPr>
    </w:p>
    <w:p w14:paraId="773AF87C" w14:textId="77777777" w:rsidR="006C76F9" w:rsidRDefault="000C318D" w:rsidP="00C405A0">
      <w:pPr>
        <w:autoSpaceDE w:val="0"/>
        <w:autoSpaceDN w:val="0"/>
        <w:adjustRightInd w:val="0"/>
        <w:ind w:left="360"/>
        <w:rPr>
          <w:rFonts w:ascii="Arial" w:eastAsia="TimesNewRomanPS" w:hAnsi="Arial" w:cs="Arial"/>
        </w:rPr>
      </w:pPr>
      <w:r w:rsidRPr="006C76F9">
        <w:rPr>
          <w:rFonts w:ascii="Arial" w:eastAsia="TimesNewRomanPS" w:hAnsi="Arial" w:cs="Arial"/>
        </w:rPr>
        <w:t>The Department will not consider delays to activities which do not affect the performance period of the Contract as a basis for a Contract time extension.  If the Engineer grants a contract time extension, the revised Contract Completion date will be in effect as though it were the original contract date.</w:t>
      </w:r>
    </w:p>
    <w:p w14:paraId="7DA33C15" w14:textId="77777777" w:rsidR="00F03150" w:rsidRDefault="00F03150" w:rsidP="00C405A0">
      <w:pPr>
        <w:autoSpaceDE w:val="0"/>
        <w:autoSpaceDN w:val="0"/>
        <w:adjustRightInd w:val="0"/>
        <w:ind w:left="360"/>
        <w:rPr>
          <w:rFonts w:ascii="Arial" w:eastAsia="TimesNewRomanPS" w:hAnsi="Arial" w:cs="Arial"/>
        </w:rPr>
      </w:pPr>
      <w:bookmarkStart w:id="0" w:name="_GoBack"/>
      <w:bookmarkEnd w:id="0"/>
    </w:p>
    <w:p w14:paraId="386BCCAD" w14:textId="2C5BB21F" w:rsidR="00C93280" w:rsidRDefault="000C318D" w:rsidP="00C405A0">
      <w:pPr>
        <w:autoSpaceDE w:val="0"/>
        <w:autoSpaceDN w:val="0"/>
        <w:adjustRightInd w:val="0"/>
        <w:ind w:left="360"/>
      </w:pPr>
      <w:r w:rsidRPr="006C76F9">
        <w:rPr>
          <w:rFonts w:ascii="Arial" w:hAnsi="Arial" w:cs="Arial"/>
          <w:color w:val="000000"/>
        </w:rPr>
        <w:t xml:space="preserve">A Contractor’s failure to have an </w:t>
      </w:r>
      <w:r w:rsidR="00F16416" w:rsidRPr="006C76F9">
        <w:rPr>
          <w:rFonts w:ascii="Arial" w:hAnsi="Arial" w:cs="Arial"/>
          <w:color w:val="000000"/>
        </w:rPr>
        <w:t>approved, or approved with comments</w:t>
      </w:r>
      <w:r w:rsidRPr="006C76F9">
        <w:rPr>
          <w:rFonts w:ascii="Arial" w:hAnsi="Arial" w:cs="Arial"/>
          <w:color w:val="000000"/>
        </w:rPr>
        <w:t>, current project schedule in place will preclude the Department from considering a Contractor’s a time extension request.</w:t>
      </w:r>
      <w:r w:rsidR="008E6E23" w:rsidRPr="006C76F9">
        <w:rPr>
          <w:rFonts w:ascii="Arial" w:hAnsi="Arial" w:cs="Arial"/>
          <w:sz w:val="22"/>
        </w:rPr>
        <w:tab/>
      </w:r>
    </w:p>
    <w:sectPr w:rsidR="00C93280" w:rsidSect="00C76FF3">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7C85F" w14:textId="77777777" w:rsidR="00EE51EF" w:rsidRDefault="00EE51EF" w:rsidP="00F878BD">
      <w:r>
        <w:separator/>
      </w:r>
    </w:p>
  </w:endnote>
  <w:endnote w:type="continuationSeparator" w:id="0">
    <w:p w14:paraId="644AF5F6" w14:textId="77777777" w:rsidR="00EE51EF" w:rsidRDefault="00EE51E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357B" w14:textId="77777777" w:rsidR="00EE51EF" w:rsidRDefault="00EE51EF" w:rsidP="00F878BD">
      <w:r>
        <w:separator/>
      </w:r>
    </w:p>
  </w:footnote>
  <w:footnote w:type="continuationSeparator" w:id="0">
    <w:p w14:paraId="185530E1" w14:textId="77777777" w:rsidR="00EE51EF" w:rsidRDefault="00EE51E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85D9" w14:textId="52C8DFA0" w:rsidR="006C76F9" w:rsidRDefault="006C76F9" w:rsidP="006C76F9">
    <w:pPr>
      <w:pStyle w:val="NoSpacing"/>
      <w:jc w:val="right"/>
      <w:rPr>
        <w:rFonts w:ascii="Arial" w:hAnsi="Arial" w:cs="Arial"/>
        <w:sz w:val="20"/>
        <w:szCs w:val="20"/>
      </w:rPr>
    </w:pPr>
    <w:r>
      <w:rPr>
        <w:rFonts w:ascii="Arial" w:hAnsi="Arial" w:cs="Arial"/>
        <w:sz w:val="20"/>
        <w:szCs w:val="20"/>
      </w:rPr>
      <w:t>April 30, 2015</w:t>
    </w:r>
  </w:p>
  <w:p w14:paraId="41A8BFA1" w14:textId="17171599" w:rsidR="00C76FF3" w:rsidRDefault="00C76FF3" w:rsidP="00C76FF3">
    <w:pPr>
      <w:pStyle w:val="NoSpacing"/>
      <w:jc w:val="center"/>
      <w:rPr>
        <w:rFonts w:ascii="Arial" w:hAnsi="Arial" w:cs="Arial"/>
        <w:sz w:val="20"/>
        <w:szCs w:val="20"/>
      </w:rPr>
    </w:pPr>
    <w:r w:rsidRPr="00C76FF3">
      <w:rPr>
        <w:rFonts w:ascii="Arial" w:hAnsi="Arial" w:cs="Arial"/>
        <w:sz w:val="20"/>
        <w:szCs w:val="20"/>
      </w:rPr>
      <w:fldChar w:fldCharType="begin"/>
    </w:r>
    <w:r w:rsidRPr="00C76FF3">
      <w:rPr>
        <w:rFonts w:ascii="Arial" w:hAnsi="Arial" w:cs="Arial"/>
        <w:sz w:val="20"/>
        <w:szCs w:val="20"/>
      </w:rPr>
      <w:instrText xml:space="preserve"> PAGE   \* MERGEFORMAT </w:instrText>
    </w:r>
    <w:r w:rsidRPr="00C76FF3">
      <w:rPr>
        <w:rFonts w:ascii="Arial" w:hAnsi="Arial" w:cs="Arial"/>
        <w:sz w:val="20"/>
        <w:szCs w:val="20"/>
      </w:rPr>
      <w:fldChar w:fldCharType="separate"/>
    </w:r>
    <w:r w:rsidR="00F03150">
      <w:rPr>
        <w:rFonts w:ascii="Arial" w:hAnsi="Arial" w:cs="Arial"/>
        <w:noProof/>
        <w:sz w:val="20"/>
        <w:szCs w:val="20"/>
      </w:rPr>
      <w:t>1</w:t>
    </w:r>
    <w:r w:rsidRPr="00C76FF3">
      <w:rPr>
        <w:rFonts w:ascii="Arial" w:hAnsi="Arial" w:cs="Arial"/>
        <w:noProof/>
        <w:sz w:val="20"/>
        <w:szCs w:val="20"/>
      </w:rPr>
      <w:fldChar w:fldCharType="end"/>
    </w:r>
  </w:p>
  <w:p w14:paraId="52C2AD8A" w14:textId="77777777" w:rsidR="00C76FF3" w:rsidRDefault="00C76FF3" w:rsidP="00C76FF3">
    <w:pPr>
      <w:pStyle w:val="NoSpacing"/>
      <w:jc w:val="center"/>
      <w:rPr>
        <w:rFonts w:ascii="Arial" w:hAnsi="Arial" w:cs="Arial"/>
        <w:sz w:val="20"/>
        <w:szCs w:val="20"/>
      </w:rPr>
    </w:pPr>
    <w:r w:rsidRPr="000C318D">
      <w:rPr>
        <w:rFonts w:ascii="Arial" w:hAnsi="Arial" w:cs="Arial"/>
        <w:sz w:val="20"/>
        <w:szCs w:val="20"/>
      </w:rPr>
      <w:t>REVISION OF SECTION 108</w:t>
    </w:r>
  </w:p>
  <w:p w14:paraId="118855F6" w14:textId="77777777" w:rsidR="00C76FF3" w:rsidRDefault="00C76FF3" w:rsidP="00C76FF3">
    <w:pPr>
      <w:pStyle w:val="NoSpacing"/>
      <w:jc w:val="center"/>
      <w:rPr>
        <w:rFonts w:ascii="Arial" w:hAnsi="Arial" w:cs="Arial"/>
        <w:sz w:val="20"/>
        <w:szCs w:val="20"/>
      </w:rPr>
    </w:pPr>
    <w:r>
      <w:rPr>
        <w:rFonts w:ascii="Arial" w:hAnsi="Arial" w:cs="Arial"/>
        <w:sz w:val="20"/>
        <w:szCs w:val="20"/>
      </w:rPr>
      <w:t>DELAY AND EXTENSION OF CONTRACT TIME</w:t>
    </w:r>
  </w:p>
  <w:p w14:paraId="1FCE1808" w14:textId="39CF201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7741B76"/>
    <w:multiLevelType w:val="hybridMultilevel"/>
    <w:tmpl w:val="0C8EF246"/>
    <w:lvl w:ilvl="0" w:tplc="87008AAA">
      <w:start w:val="3"/>
      <w:numFmt w:val="lowerLetter"/>
      <w:lvlText w:val="(%1)"/>
      <w:lvlJc w:val="left"/>
      <w:pPr>
        <w:ind w:left="330" w:hanging="1050"/>
      </w:pPr>
      <w:rPr>
        <w:rFonts w:ascii="Arial" w:hAnsi="Arial" w:hint="default"/>
        <w:b w:val="0"/>
        <w:i/>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5C1A84"/>
    <w:multiLevelType w:val="hybridMultilevel"/>
    <w:tmpl w:val="BD863FE2"/>
    <w:lvl w:ilvl="0" w:tplc="524A41EC">
      <w:start w:val="1"/>
      <w:numFmt w:val="upperLetter"/>
      <w:lvlText w:val="%1."/>
      <w:lvlJc w:val="left"/>
      <w:pPr>
        <w:ind w:left="177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A05DA"/>
    <w:multiLevelType w:val="hybridMultilevel"/>
    <w:tmpl w:val="4A80667E"/>
    <w:lvl w:ilvl="0" w:tplc="1278C504">
      <w:start w:val="1"/>
      <w:numFmt w:val="decimal"/>
      <w:lvlText w:val="(%1)"/>
      <w:lvlJc w:val="left"/>
      <w:pPr>
        <w:ind w:left="766" w:hanging="360"/>
      </w:pPr>
      <w:rPr>
        <w:rFont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nsid w:val="30E85EB2"/>
    <w:multiLevelType w:val="hybridMultilevel"/>
    <w:tmpl w:val="4A54E0C0"/>
    <w:lvl w:ilvl="0" w:tplc="596C15DE">
      <w:start w:val="1"/>
      <w:numFmt w:val="upperLetter"/>
      <w:lvlText w:val="%1."/>
      <w:lvlJc w:val="left"/>
      <w:pPr>
        <w:ind w:left="78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4E96272C"/>
    <w:multiLevelType w:val="hybridMultilevel"/>
    <w:tmpl w:val="3CFAC832"/>
    <w:lvl w:ilvl="0" w:tplc="1278C504">
      <w:start w:val="1"/>
      <w:numFmt w:val="decimal"/>
      <w:lvlText w:val="(%1)"/>
      <w:lvlJc w:val="left"/>
      <w:pPr>
        <w:ind w:left="766" w:hanging="360"/>
      </w:pPr>
      <w:rPr>
        <w:rFonts w:hint="default"/>
        <w:b w:val="0"/>
        <w:i w:val="0"/>
        <w:color w:val="000000"/>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4FB64FD0"/>
    <w:multiLevelType w:val="hybridMultilevel"/>
    <w:tmpl w:val="41E210C8"/>
    <w:lvl w:ilvl="0" w:tplc="5296A5D0">
      <w:start w:val="1"/>
      <w:numFmt w:val="upperLetter"/>
      <w:lvlText w:val="%1."/>
      <w:lvlJc w:val="left"/>
      <w:pPr>
        <w:ind w:left="177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04734"/>
    <w:multiLevelType w:val="hybridMultilevel"/>
    <w:tmpl w:val="DE400120"/>
    <w:lvl w:ilvl="0" w:tplc="E834AA4C">
      <w:start w:val="5"/>
      <w:numFmt w:val="lowerLetter"/>
      <w:lvlText w:val="(%1)"/>
      <w:lvlJc w:val="left"/>
      <w:pPr>
        <w:ind w:left="2490" w:hanging="1050"/>
      </w:pPr>
      <w:rPr>
        <w:rFonts w:ascii="Times New Roman" w:hAnsi="Times New Roman" w:cs="Arial" w:hint="default"/>
        <w:b w:val="0"/>
        <w:i w:val="0"/>
        <w:sz w:val="22"/>
        <w:szCs w:val="22"/>
      </w:rPr>
    </w:lvl>
    <w:lvl w:ilvl="1" w:tplc="9E1AEA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32D2EE9"/>
    <w:multiLevelType w:val="hybridMultilevel"/>
    <w:tmpl w:val="CBD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861EA"/>
    <w:multiLevelType w:val="hybridMultilevel"/>
    <w:tmpl w:val="B19AE8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58B67935"/>
    <w:multiLevelType w:val="hybridMultilevel"/>
    <w:tmpl w:val="763AF6E8"/>
    <w:lvl w:ilvl="0" w:tplc="1A74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F242CC"/>
    <w:multiLevelType w:val="hybridMultilevel"/>
    <w:tmpl w:val="AE601870"/>
    <w:lvl w:ilvl="0" w:tplc="AD54F5E2">
      <w:start w:val="1"/>
      <w:numFmt w:val="decimal"/>
      <w:lvlText w:val="%1."/>
      <w:lvlJc w:val="left"/>
      <w:pPr>
        <w:ind w:left="720" w:hanging="360"/>
      </w:pPr>
      <w:rPr>
        <w:rFonts w:ascii="Arial" w:hAnsi="Arial" w:cs="Arial" w:hint="default"/>
        <w:b w:val="0"/>
        <w:i w:val="0"/>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317AA"/>
    <w:multiLevelType w:val="hybridMultilevel"/>
    <w:tmpl w:val="31DABDD4"/>
    <w:lvl w:ilvl="0" w:tplc="913C45FC">
      <w:start w:val="3"/>
      <w:numFmt w:val="lowerLetter"/>
      <w:lvlText w:val="(%1)"/>
      <w:lvlJc w:val="left"/>
      <w:pPr>
        <w:ind w:left="1050" w:hanging="1050"/>
      </w:pPr>
      <w:rPr>
        <w:rFonts w:ascii="Arial" w:hAnsi="Arial" w:cs="Arial" w:hint="default"/>
        <w:b w:val="0"/>
        <w:i/>
        <w:sz w:val="20"/>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6FB40CDD"/>
    <w:multiLevelType w:val="hybridMultilevel"/>
    <w:tmpl w:val="3EDC0A3E"/>
    <w:lvl w:ilvl="0" w:tplc="C7E2E0AC">
      <w:start w:val="1"/>
      <w:numFmt w:val="upperLetter"/>
      <w:lvlText w:val="%1."/>
      <w:lvlJc w:val="left"/>
      <w:pPr>
        <w:ind w:left="780" w:hanging="105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9">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DB6036"/>
    <w:multiLevelType w:val="hybridMultilevel"/>
    <w:tmpl w:val="97F8877E"/>
    <w:lvl w:ilvl="0" w:tplc="AD54F5E2">
      <w:start w:val="1"/>
      <w:numFmt w:val="decimal"/>
      <w:lvlText w:val="%1."/>
      <w:lvlJc w:val="left"/>
      <w:pPr>
        <w:ind w:left="766" w:hanging="360"/>
      </w:pPr>
      <w:rPr>
        <w:rFonts w:ascii="Arial" w:hAnsi="Arial" w:cs="Arial" w:hint="default"/>
        <w:b w:val="0"/>
        <w:i w:val="0"/>
        <w:color w:val="000000"/>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015FA"/>
    <w:multiLevelType w:val="hybridMultilevel"/>
    <w:tmpl w:val="3F644322"/>
    <w:lvl w:ilvl="0" w:tplc="AD54F5E2">
      <w:start w:val="1"/>
      <w:numFmt w:val="decimal"/>
      <w:lvlText w:val="%1."/>
      <w:lvlJc w:val="left"/>
      <w:pPr>
        <w:ind w:left="900" w:hanging="360"/>
      </w:pPr>
      <w:rPr>
        <w:rFonts w:ascii="Arial" w:hAnsi="Arial" w:cs="Arial" w:hint="default"/>
        <w:b w:val="0"/>
        <w:i w:val="0"/>
        <w:color w:val="000000"/>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C00553A"/>
    <w:multiLevelType w:val="hybridMultilevel"/>
    <w:tmpl w:val="BACCB64C"/>
    <w:lvl w:ilvl="0" w:tplc="D0A0212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25"/>
  </w:num>
  <w:num w:numId="4">
    <w:abstractNumId w:val="2"/>
  </w:num>
  <w:num w:numId="5">
    <w:abstractNumId w:val="19"/>
  </w:num>
  <w:num w:numId="6">
    <w:abstractNumId w:val="24"/>
  </w:num>
  <w:num w:numId="7">
    <w:abstractNumId w:val="7"/>
  </w:num>
  <w:num w:numId="8">
    <w:abstractNumId w:val="21"/>
  </w:num>
  <w:num w:numId="9">
    <w:abstractNumId w:val="0"/>
  </w:num>
  <w:num w:numId="10">
    <w:abstractNumId w:val="6"/>
  </w:num>
  <w:num w:numId="11">
    <w:abstractNumId w:val="12"/>
  </w:num>
  <w:num w:numId="12">
    <w:abstractNumId w:val="5"/>
  </w:num>
  <w:num w:numId="13">
    <w:abstractNumId w:val="13"/>
  </w:num>
  <w:num w:numId="14">
    <w:abstractNumId w:val="10"/>
  </w:num>
  <w:num w:numId="15">
    <w:abstractNumId w:val="15"/>
  </w:num>
  <w:num w:numId="16">
    <w:abstractNumId w:val="29"/>
  </w:num>
  <w:num w:numId="17">
    <w:abstractNumId w:val="31"/>
  </w:num>
  <w:num w:numId="18">
    <w:abstractNumId w:val="4"/>
  </w:num>
  <w:num w:numId="19">
    <w:abstractNumId w:val="18"/>
  </w:num>
  <w:num w:numId="20">
    <w:abstractNumId w:val="22"/>
  </w:num>
  <w:num w:numId="21">
    <w:abstractNumId w:val="20"/>
  </w:num>
  <w:num w:numId="22">
    <w:abstractNumId w:val="23"/>
  </w:num>
  <w:num w:numId="23">
    <w:abstractNumId w:val="26"/>
  </w:num>
  <w:num w:numId="24">
    <w:abstractNumId w:val="28"/>
  </w:num>
  <w:num w:numId="25">
    <w:abstractNumId w:val="8"/>
  </w:num>
  <w:num w:numId="26">
    <w:abstractNumId w:val="17"/>
  </w:num>
  <w:num w:numId="27">
    <w:abstractNumId w:val="9"/>
  </w:num>
  <w:num w:numId="28">
    <w:abstractNumId w:val="30"/>
  </w:num>
  <w:num w:numId="29">
    <w:abstractNumId w:val="16"/>
  </w:num>
  <w:num w:numId="30">
    <w:abstractNumId w:val="27"/>
  </w:num>
  <w:num w:numId="31">
    <w:abstractNumId w:val="3"/>
  </w:num>
  <w:num w:numId="32">
    <w:abstractNumId w:val="33"/>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804F1"/>
    <w:rsid w:val="00085717"/>
    <w:rsid w:val="00085D20"/>
    <w:rsid w:val="000A013D"/>
    <w:rsid w:val="000C318D"/>
    <w:rsid w:val="000C3C6B"/>
    <w:rsid w:val="000E3C78"/>
    <w:rsid w:val="0010474A"/>
    <w:rsid w:val="0010525A"/>
    <w:rsid w:val="001A7BED"/>
    <w:rsid w:val="001B0A22"/>
    <w:rsid w:val="001C3F85"/>
    <w:rsid w:val="00214CEC"/>
    <w:rsid w:val="00222B35"/>
    <w:rsid w:val="00230276"/>
    <w:rsid w:val="00240F9D"/>
    <w:rsid w:val="002444BD"/>
    <w:rsid w:val="002714AF"/>
    <w:rsid w:val="00272482"/>
    <w:rsid w:val="002A6B8A"/>
    <w:rsid w:val="003162A2"/>
    <w:rsid w:val="003823FC"/>
    <w:rsid w:val="00394329"/>
    <w:rsid w:val="003B4D84"/>
    <w:rsid w:val="003C3F1C"/>
    <w:rsid w:val="004249F3"/>
    <w:rsid w:val="00441D2F"/>
    <w:rsid w:val="00443D74"/>
    <w:rsid w:val="004609F8"/>
    <w:rsid w:val="004623FC"/>
    <w:rsid w:val="004B09DE"/>
    <w:rsid w:val="004C3FC5"/>
    <w:rsid w:val="004F1849"/>
    <w:rsid w:val="0056039E"/>
    <w:rsid w:val="00572D1D"/>
    <w:rsid w:val="00591A33"/>
    <w:rsid w:val="00687101"/>
    <w:rsid w:val="006B1A52"/>
    <w:rsid w:val="006C76F9"/>
    <w:rsid w:val="0070029E"/>
    <w:rsid w:val="00706DF8"/>
    <w:rsid w:val="0071231C"/>
    <w:rsid w:val="00726A77"/>
    <w:rsid w:val="00747F59"/>
    <w:rsid w:val="007735BF"/>
    <w:rsid w:val="007854AB"/>
    <w:rsid w:val="007D24E5"/>
    <w:rsid w:val="007D364A"/>
    <w:rsid w:val="00814549"/>
    <w:rsid w:val="00870736"/>
    <w:rsid w:val="00872E51"/>
    <w:rsid w:val="00891B09"/>
    <w:rsid w:val="008B3BFC"/>
    <w:rsid w:val="008C59FF"/>
    <w:rsid w:val="008D4DE9"/>
    <w:rsid w:val="008E6E23"/>
    <w:rsid w:val="00923AF8"/>
    <w:rsid w:val="00935ABF"/>
    <w:rsid w:val="00953D49"/>
    <w:rsid w:val="00973DFA"/>
    <w:rsid w:val="00987248"/>
    <w:rsid w:val="009A40E9"/>
    <w:rsid w:val="009B27C0"/>
    <w:rsid w:val="009B3EF3"/>
    <w:rsid w:val="009F3FE4"/>
    <w:rsid w:val="00A14275"/>
    <w:rsid w:val="00A27DE7"/>
    <w:rsid w:val="00A54F34"/>
    <w:rsid w:val="00A7142E"/>
    <w:rsid w:val="00A73269"/>
    <w:rsid w:val="00A76618"/>
    <w:rsid w:val="00A92397"/>
    <w:rsid w:val="00AA36CC"/>
    <w:rsid w:val="00AB028C"/>
    <w:rsid w:val="00AC7AF4"/>
    <w:rsid w:val="00B03922"/>
    <w:rsid w:val="00B03F28"/>
    <w:rsid w:val="00B25927"/>
    <w:rsid w:val="00B337C5"/>
    <w:rsid w:val="00B91FF1"/>
    <w:rsid w:val="00BC57A4"/>
    <w:rsid w:val="00C2469C"/>
    <w:rsid w:val="00C40133"/>
    <w:rsid w:val="00C405A0"/>
    <w:rsid w:val="00C70057"/>
    <w:rsid w:val="00C73783"/>
    <w:rsid w:val="00C76FF3"/>
    <w:rsid w:val="00C93280"/>
    <w:rsid w:val="00CC309C"/>
    <w:rsid w:val="00CE0E18"/>
    <w:rsid w:val="00D16104"/>
    <w:rsid w:val="00D16446"/>
    <w:rsid w:val="00D461FA"/>
    <w:rsid w:val="00D95BE3"/>
    <w:rsid w:val="00DE7DCD"/>
    <w:rsid w:val="00E208F0"/>
    <w:rsid w:val="00E538B3"/>
    <w:rsid w:val="00E5788C"/>
    <w:rsid w:val="00E647BB"/>
    <w:rsid w:val="00E85CC9"/>
    <w:rsid w:val="00EA5566"/>
    <w:rsid w:val="00EA7A41"/>
    <w:rsid w:val="00EC2A21"/>
    <w:rsid w:val="00EE51EF"/>
    <w:rsid w:val="00EF1243"/>
    <w:rsid w:val="00EF7E65"/>
    <w:rsid w:val="00F03150"/>
    <w:rsid w:val="00F07B65"/>
    <w:rsid w:val="00F16416"/>
    <w:rsid w:val="00F35DF8"/>
    <w:rsid w:val="00F605A4"/>
    <w:rsid w:val="00F6258A"/>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B082"/>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paragraph" w:styleId="Footer">
    <w:name w:val="footer"/>
    <w:basedOn w:val="Normal"/>
    <w:link w:val="FooterChar"/>
    <w:rsid w:val="00D95BE3"/>
    <w:pPr>
      <w:tabs>
        <w:tab w:val="center" w:pos="4680"/>
        <w:tab w:val="right" w:pos="9360"/>
      </w:tabs>
    </w:pPr>
  </w:style>
  <w:style w:type="character" w:customStyle="1" w:styleId="FooterChar">
    <w:name w:val="Footer Char"/>
    <w:basedOn w:val="DefaultParagraphFont"/>
    <w:link w:val="Footer"/>
    <w:rsid w:val="00D95BE3"/>
  </w:style>
  <w:style w:type="character" w:customStyle="1" w:styleId="HeaderChar">
    <w:name w:val="Header Char"/>
    <w:basedOn w:val="DefaultParagraphFont"/>
    <w:link w:val="Header"/>
    <w:uiPriority w:val="99"/>
    <w:rsid w:val="00C76FF3"/>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0B7D-A8F6-4CFE-88AE-518D5CCD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7</cp:revision>
  <cp:lastPrinted>2000-06-16T18:28:00Z</cp:lastPrinted>
  <dcterms:created xsi:type="dcterms:W3CDTF">2015-04-30T19:24:00Z</dcterms:created>
  <dcterms:modified xsi:type="dcterms:W3CDTF">2015-04-30T21:31:00Z</dcterms:modified>
</cp:coreProperties>
</file>