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441D9">
        <w:rPr>
          <w:rFonts w:ascii="Arial" w:hAnsi="Arial"/>
          <w:color w:val="FF0000"/>
        </w:rPr>
        <w:t>1</w:t>
      </w:r>
      <w:r w:rsidR="00786181">
        <w:rPr>
          <w:rFonts w:ascii="Arial" w:hAnsi="Arial"/>
          <w:color w:val="FF0000"/>
        </w:rPr>
        <w:t>1</w:t>
      </w:r>
      <w:r w:rsidR="009C62D4">
        <w:rPr>
          <w:rFonts w:ascii="Arial" w:hAnsi="Arial"/>
          <w:color w:val="FF0000"/>
        </w:rPr>
        <w:t>-</w:t>
      </w:r>
      <w:r w:rsidR="00786181">
        <w:rPr>
          <w:rFonts w:ascii="Arial" w:hAnsi="Arial"/>
          <w:color w:val="FF0000"/>
        </w:rPr>
        <w:t>15</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P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C76FB6" w:rsidRDefault="00C76FB6">
      <w:pPr>
        <w:rPr>
          <w:i/>
          <w:color w:val="0000FF"/>
          <w:sz w:val="22"/>
        </w:rPr>
      </w:pPr>
      <w:r>
        <w:rPr>
          <w:i/>
          <w:color w:val="0000FF"/>
          <w:sz w:val="22"/>
        </w:rPr>
        <w:br w:type="page"/>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bookmarkStart w:id="0" w:name="_GoBack"/>
      <w:bookmarkEnd w:id="0"/>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Default="008E160D" w:rsidP="008E160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C76FB6" w:rsidRDefault="00C76FB6">
      <w:pPr>
        <w:rPr>
          <w:i/>
          <w:color w:val="0000FF"/>
          <w:sz w:val="22"/>
        </w:rPr>
      </w:pPr>
      <w:r>
        <w:rPr>
          <w:i/>
          <w:color w:val="0000FF"/>
          <w:sz w:val="22"/>
        </w:rPr>
        <w:br w:type="page"/>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C76FB6" w:rsidRDefault="00C76FB6">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C76FB6" w:rsidRDefault="00C76FB6">
      <w:pPr>
        <w:rPr>
          <w:i/>
          <w:color w:val="0000FF"/>
          <w:sz w:val="22"/>
          <w:szCs w:val="22"/>
        </w:rPr>
      </w:pPr>
      <w:r>
        <w:rPr>
          <w:i/>
          <w:color w:val="0000FF"/>
          <w:sz w:val="22"/>
          <w:szCs w:val="22"/>
        </w:rPr>
        <w:br w:type="page"/>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D85072" w:rsidRDefault="00D8507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5770E6" w:rsidRDefault="003503F9" w:rsidP="00D85072">
      <w:pPr>
        <w:keepNext/>
        <w:keepLines/>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B32303">
        <w:rPr>
          <w:sz w:val="22"/>
        </w:rPr>
        <w:t>Nov. 15</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E719BF" w:rsidP="005E56A4">
      <w:pPr>
        <w:shd w:val="clear" w:color="auto" w:fill="EEECE1" w:themeFill="background2"/>
        <w:tabs>
          <w:tab w:val="left" w:pos="360"/>
          <w:tab w:val="left" w:pos="7920"/>
          <w:tab w:val="right" w:pos="9900"/>
        </w:tabs>
        <w:rPr>
          <w:sz w:val="22"/>
        </w:rPr>
      </w:pPr>
      <w:r>
        <w:rPr>
          <w:sz w:val="22"/>
        </w:rPr>
        <w:t xml:space="preserve">MOD </w:t>
      </w:r>
      <w:r w:rsidR="00B32303">
        <w:rPr>
          <w:sz w:val="22"/>
        </w:rPr>
        <w:t>3</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AD" w:rsidRDefault="009442AD">
      <w:r>
        <w:separator/>
      </w:r>
    </w:p>
  </w:endnote>
  <w:endnote w:type="continuationSeparator" w:id="0">
    <w:p w:rsidR="009442AD" w:rsidRDefault="0094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F4125">
      <w:rPr>
        <w:rStyle w:val="PageNumber"/>
        <w:noProof/>
      </w:rPr>
      <w:t>3</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AD" w:rsidRDefault="009442AD">
      <w:r>
        <w:separator/>
      </w:r>
    </w:p>
  </w:footnote>
  <w:footnote w:type="continuationSeparator" w:id="0">
    <w:p w:rsidR="009442AD" w:rsidRDefault="00944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60A"/>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56416"/>
    <w:rsid w:val="00762B6B"/>
    <w:rsid w:val="00764BBB"/>
    <w:rsid w:val="00766EA7"/>
    <w:rsid w:val="00770785"/>
    <w:rsid w:val="007711E2"/>
    <w:rsid w:val="00771776"/>
    <w:rsid w:val="007757AE"/>
    <w:rsid w:val="007770DB"/>
    <w:rsid w:val="00777FE1"/>
    <w:rsid w:val="00780A42"/>
    <w:rsid w:val="007813CF"/>
    <w:rsid w:val="00782E71"/>
    <w:rsid w:val="00783C93"/>
    <w:rsid w:val="00786181"/>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1801"/>
    <w:rsid w:val="009435AC"/>
    <w:rsid w:val="009442AD"/>
    <w:rsid w:val="00944B74"/>
    <w:rsid w:val="00946A53"/>
    <w:rsid w:val="0095347B"/>
    <w:rsid w:val="00957794"/>
    <w:rsid w:val="00961476"/>
    <w:rsid w:val="00961F73"/>
    <w:rsid w:val="009628A4"/>
    <w:rsid w:val="00962B8F"/>
    <w:rsid w:val="009645EF"/>
    <w:rsid w:val="009658BB"/>
    <w:rsid w:val="0097180D"/>
    <w:rsid w:val="0097207C"/>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2767"/>
    <w:rsid w:val="009A297A"/>
    <w:rsid w:val="009A2F15"/>
    <w:rsid w:val="009A393B"/>
    <w:rsid w:val="009A42D2"/>
    <w:rsid w:val="009A52DC"/>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303"/>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6FB6"/>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29FB-AB04-495A-94A1-09BC1AF5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43</cp:revision>
  <cp:lastPrinted>2013-10-29T22:37:00Z</cp:lastPrinted>
  <dcterms:created xsi:type="dcterms:W3CDTF">2013-07-26T14:56:00Z</dcterms:created>
  <dcterms:modified xsi:type="dcterms:W3CDTF">2013-11-15T18:39:00Z</dcterms:modified>
</cp:coreProperties>
</file>