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bookmarkStart w:id="0" w:name="_GoBack"/>
      <w:bookmarkEnd w:id="0"/>
      <w:r w:rsidRPr="005E56A4">
        <w:rPr>
          <w:rFonts w:ascii="Arial" w:hAnsi="Arial"/>
        </w:rPr>
        <w:t xml:space="preserve">SSP Index </w:t>
      </w:r>
      <w:r w:rsidR="009C62D4">
        <w:rPr>
          <w:rFonts w:ascii="Arial" w:hAnsi="Arial"/>
          <w:color w:val="FF0000"/>
        </w:rPr>
        <w:t>1</w:t>
      </w:r>
      <w:r w:rsidR="00481AD2">
        <w:rPr>
          <w:rFonts w:ascii="Arial" w:hAnsi="Arial"/>
          <w:color w:val="FF0000"/>
        </w:rPr>
        <w:t>2</w:t>
      </w:r>
      <w:r w:rsidR="009C62D4">
        <w:rPr>
          <w:rFonts w:ascii="Arial" w:hAnsi="Arial"/>
          <w:color w:val="FF0000"/>
        </w:rPr>
        <w:t>-</w:t>
      </w:r>
      <w:r w:rsidR="00F05A80">
        <w:rPr>
          <w:rFonts w:ascii="Arial" w:hAnsi="Arial"/>
          <w:color w:val="FF0000"/>
        </w:rPr>
        <w:t>0</w:t>
      </w:r>
      <w:r w:rsidR="00481AD2">
        <w:rPr>
          <w:rFonts w:ascii="Arial" w:hAnsi="Arial"/>
          <w:color w:val="FF0000"/>
        </w:rPr>
        <w:t>7</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1481D" w:rsidRDefault="0071481D">
      <w:pPr>
        <w:rPr>
          <w:color w:val="0000FF"/>
          <w:sz w:val="22"/>
        </w:rPr>
      </w:pPr>
      <w:r>
        <w:rPr>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1" w:name="OLE_LINK7"/>
      <w:bookmarkStart w:id="2"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proofErr w:type="gramStart"/>
      <w:r>
        <w:rPr>
          <w:i/>
          <w:color w:val="0000FF"/>
          <w:sz w:val="22"/>
        </w:rPr>
        <w:t>portland</w:t>
      </w:r>
      <w:proofErr w:type="spellEnd"/>
      <w:proofErr w:type="gram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p w:rsidR="0071481D" w:rsidRPr="0071481D" w:rsidRDefault="0071481D" w:rsidP="0071481D">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bookmarkEnd w:id="1"/>
    <w:bookmarkEnd w:id="2"/>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 xml:space="preserve">Optimized Portland </w:t>
      </w:r>
      <w:proofErr w:type="gramStart"/>
      <w:r w:rsidRPr="00A91E2D">
        <w:rPr>
          <w:sz w:val="22"/>
          <w:szCs w:val="22"/>
        </w:rPr>
        <w:t>Cement</w:t>
      </w:r>
      <w:proofErr w:type="gramEnd"/>
      <w:r w:rsidRPr="00A91E2D">
        <w:rPr>
          <w:sz w:val="22"/>
          <w:szCs w:val="22"/>
        </w:rPr>
        <w:t xml:space="preserve">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proofErr w:type="gramStart"/>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roofErr w:type="gramEnd"/>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A05FB3">
        <w:rPr>
          <w:sz w:val="22"/>
          <w:szCs w:val="22"/>
        </w:rPr>
        <w:t>April 26, 2012</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C1146C" w:rsidRDefault="00C1146C">
      <w:pPr>
        <w:rPr>
          <w:noProof/>
          <w:color w:val="FF0000"/>
          <w:sz w:val="22"/>
          <w:szCs w:val="22"/>
        </w:rPr>
      </w:pPr>
      <w:r>
        <w:rPr>
          <w:noProof/>
          <w:color w:val="FF0000"/>
          <w:sz w:val="22"/>
          <w:szCs w:val="22"/>
        </w:rPr>
        <w:br w:type="page"/>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lastRenderedPageBreak/>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proofErr w:type="gramEnd"/>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proofErr w:type="gramEnd"/>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Default="00777FE1" w:rsidP="004C50EA">
      <w:pPr>
        <w:tabs>
          <w:tab w:val="left" w:pos="360"/>
          <w:tab w:val="left" w:pos="7920"/>
          <w:tab w:val="right" w:pos="9900"/>
        </w:tabs>
        <w:spacing w:after="120"/>
        <w:ind w:left="360"/>
        <w:rPr>
          <w:i/>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C1146C" w:rsidRDefault="00C1146C">
      <w:pPr>
        <w:rPr>
          <w:color w:val="0000FF"/>
          <w:sz w:val="22"/>
        </w:rPr>
      </w:pPr>
      <w:r>
        <w:rPr>
          <w:color w:val="0000FF"/>
          <w:sz w:val="22"/>
        </w:rPr>
        <w:br w:type="page"/>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lastRenderedPageBreak/>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312962" w:rsidRDefault="00312962" w:rsidP="00312962">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culvert pipe.</w:t>
      </w:r>
      <w:proofErr w:type="gramEnd"/>
    </w:p>
    <w:p w:rsidR="00C1146C" w:rsidRDefault="00C1146C">
      <w:pPr>
        <w:rPr>
          <w:color w:val="0000FF"/>
          <w:sz w:val="22"/>
        </w:rPr>
      </w:pPr>
      <w:r>
        <w:rPr>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proofErr w:type="gramStart"/>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006623C1">
        <w:rPr>
          <w:i/>
          <w:color w:val="0000FF"/>
          <w:sz w:val="22"/>
        </w:rPr>
        <w:t xml:space="preserve">which reference the 2006 M&amp;S Standard Plans, which </w:t>
      </w:r>
      <w:r w:rsidRPr="005E56A4">
        <w:rPr>
          <w:i/>
          <w:color w:val="0000FF"/>
          <w:sz w:val="22"/>
        </w:rPr>
        <w:t>hav</w:t>
      </w:r>
      <w:r w:rsidR="006623C1">
        <w:rPr>
          <w:i/>
          <w:color w:val="0000FF"/>
          <w:sz w:val="22"/>
        </w:rPr>
        <w:t>e</w:t>
      </w:r>
      <w:r w:rsidRPr="005E56A4">
        <w:rPr>
          <w:i/>
          <w:color w:val="0000FF"/>
          <w:sz w:val="22"/>
        </w:rPr>
        <w:t xml:space="preserve"> 5000 or more tons of </w:t>
      </w:r>
      <w:r w:rsidR="00CA5F99" w:rsidRPr="005E56A4">
        <w:rPr>
          <w:i/>
          <w:color w:val="0000FF"/>
          <w:sz w:val="22"/>
        </w:rPr>
        <w:t>HMA</w:t>
      </w:r>
      <w:r w:rsidRPr="005E56A4">
        <w:rPr>
          <w:i/>
          <w:color w:val="0000FF"/>
          <w:sz w:val="22"/>
        </w:rPr>
        <w:t xml:space="preserve"> and requir</w:t>
      </w:r>
      <w:r w:rsidR="006623C1">
        <w:rPr>
          <w:i/>
          <w:color w:val="0000FF"/>
          <w:sz w:val="22"/>
        </w:rPr>
        <w:t>e</w:t>
      </w:r>
      <w:r w:rsidRPr="005E56A4">
        <w:rPr>
          <w:i/>
          <w:color w:val="0000FF"/>
          <w:sz w:val="22"/>
        </w:rPr>
        <w:t xml:space="preserve"> a field lab with a forced air convection oven</w:t>
      </w:r>
      <w:r w:rsidR="006623C1">
        <w:rPr>
          <w:i/>
          <w:color w:val="0000FF"/>
          <w:sz w:val="22"/>
        </w:rPr>
        <w:t xml:space="preserve"> to be furnished by the Contractor</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proofErr w:type="gramStart"/>
      <w:r w:rsidRPr="005E56A4">
        <w:rPr>
          <w:sz w:val="22"/>
        </w:rPr>
        <w:t>Of</w:t>
      </w:r>
      <w:proofErr w:type="gramEnd"/>
      <w:r w:rsidRPr="005E56A4">
        <w:rPr>
          <w:sz w:val="22"/>
        </w:rPr>
        <w:t xml:space="preserve">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proofErr w:type="gramStart"/>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roofErr w:type="gramEnd"/>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C1146C" w:rsidRDefault="00C1146C">
      <w:pPr>
        <w:rPr>
          <w:color w:val="0000FF"/>
          <w:sz w:val="22"/>
          <w:szCs w:val="22"/>
        </w:rPr>
      </w:pPr>
      <w:r>
        <w:rPr>
          <w:color w:val="0000FF"/>
          <w:sz w:val="22"/>
          <w:szCs w:val="22"/>
        </w:rPr>
        <w:br w:type="page"/>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lastRenderedPageBreak/>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proofErr w:type="gramStart"/>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roofErr w:type="gramEnd"/>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proofErr w:type="gramStart"/>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roofErr w:type="gramEnd"/>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proofErr w:type="gramStart"/>
      <w:r>
        <w:rPr>
          <w:i/>
          <w:color w:val="0000FF"/>
          <w:sz w:val="22"/>
        </w:rPr>
        <w:t>P</w:t>
      </w:r>
      <w:r w:rsidR="009E53FE" w:rsidRPr="009E53FE">
        <w:rPr>
          <w:i/>
          <w:color w:val="0000FF"/>
          <w:sz w:val="22"/>
        </w:rPr>
        <w:t>rojects that are in part or wholly funded by the Funding Advancements for Surface Transportation and Economic Recovery (FASTER) legislation.</w:t>
      </w:r>
      <w:proofErr w:type="gramEnd"/>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481AD2">
        <w:rPr>
          <w:sz w:val="22"/>
        </w:rPr>
        <w:t>Dec. 07</w:t>
      </w:r>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481AD2">
        <w:rPr>
          <w:sz w:val="22"/>
        </w:rPr>
        <w:t>5</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5F725D" w:rsidRPr="005F725D" w:rsidRDefault="005F725D" w:rsidP="004011D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481AD2" w:rsidRDefault="00481AD2">
      <w:pPr>
        <w:rPr>
          <w:color w:val="943634" w:themeColor="accent2" w:themeShade="BF"/>
        </w:rPr>
      </w:pPr>
      <w:r>
        <w:rPr>
          <w:color w:val="943634" w:themeColor="accent2" w:themeShade="BF"/>
        </w:rPr>
        <w:br w:type="page"/>
      </w: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lastRenderedPageBreak/>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proofErr w:type="gramStart"/>
      <w:r w:rsidRPr="005E56A4">
        <w:rPr>
          <w:color w:val="800000"/>
        </w:rPr>
        <w:t>example</w:t>
      </w:r>
      <w:proofErr w:type="gramEnd"/>
      <w:r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4D" w:rsidRDefault="00AB7E4D">
      <w:r>
        <w:separator/>
      </w:r>
    </w:p>
  </w:endnote>
  <w:endnote w:type="continuationSeparator" w:id="0">
    <w:p w:rsidR="00AB7E4D" w:rsidRDefault="00AB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9311D">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4D" w:rsidRDefault="00AB7E4D">
      <w:r>
        <w:separator/>
      </w:r>
    </w:p>
  </w:footnote>
  <w:footnote w:type="continuationSeparator" w:id="0">
    <w:p w:rsidR="00AB7E4D" w:rsidRDefault="00AB7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9311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6C"/>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289"/>
    <w:rsid w:val="00361CB9"/>
    <w:rsid w:val="00362411"/>
    <w:rsid w:val="00364516"/>
    <w:rsid w:val="003812C1"/>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5061"/>
    <w:rsid w:val="00705722"/>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69F1"/>
    <w:rsid w:val="00977F2C"/>
    <w:rsid w:val="00980881"/>
    <w:rsid w:val="00984BF8"/>
    <w:rsid w:val="00985C8E"/>
    <w:rsid w:val="009861B9"/>
    <w:rsid w:val="00986B6E"/>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0C38"/>
    <w:rsid w:val="009F304F"/>
    <w:rsid w:val="009F55E0"/>
    <w:rsid w:val="009F5832"/>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E4D"/>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87A7B"/>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Galvez, Tara</cp:lastModifiedBy>
  <cp:revision>2</cp:revision>
  <cp:lastPrinted>2012-04-27T18:59:00Z</cp:lastPrinted>
  <dcterms:created xsi:type="dcterms:W3CDTF">2012-12-20T21:12:00Z</dcterms:created>
  <dcterms:modified xsi:type="dcterms:W3CDTF">2012-12-20T21:12:00Z</dcterms:modified>
</cp:coreProperties>
</file>