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April </w:t>
      </w:r>
      <w:r w:rsidR="00696FD7">
        <w:rPr>
          <w:rFonts w:ascii="Arial" w:hAnsi="Arial" w:cs="Arial"/>
          <w:sz w:val="28"/>
          <w:szCs w:val="28"/>
        </w:rPr>
        <w:t>26</w:t>
      </w:r>
      <w:r>
        <w:rPr>
          <w:rFonts w:ascii="Arial" w:hAnsi="Arial" w:cs="Arial"/>
          <w:sz w:val="28"/>
          <w:szCs w:val="28"/>
        </w:rPr>
        <w:t>, 2012</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(FLOW-FILL)</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22E72" w:rsidRDefault="00922E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22E72" w:rsidRPr="00361A75" w:rsidRDefault="00922E7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in projects </w:t>
      </w:r>
      <w:r w:rsidR="00361A75">
        <w:rPr>
          <w:sz w:val="28"/>
          <w:szCs w:val="28"/>
        </w:rPr>
        <w:t xml:space="preserve">having Structure </w:t>
      </w:r>
      <w:bookmarkStart w:id="0" w:name="_GoBack"/>
      <w:bookmarkEnd w:id="0"/>
      <w:r w:rsidR="00E81775">
        <w:rPr>
          <w:sz w:val="28"/>
          <w:szCs w:val="28"/>
        </w:rPr>
        <w:t>Backfill.</w:t>
      </w:r>
      <w:r w:rsidR="00361A75">
        <w:rPr>
          <w:sz w:val="28"/>
          <w:szCs w:val="28"/>
        </w:rPr>
        <w:t xml:space="preserve">  The Designer shall determine the locations of Structure Backfill (Flow-Fill) which will require future excavation for utility work or other related work.  These locations shall be shown on the plans.</w:t>
      </w:r>
    </w:p>
    <w:p w:rsidR="00C93280" w:rsidRDefault="0069754B" w:rsidP="00074AF9">
      <w:pPr>
        <w:autoSpaceDE w:val="0"/>
        <w:autoSpaceDN w:val="0"/>
        <w:adjustRightInd w:val="0"/>
        <w:rPr>
          <w:rFonts w:ascii="Arial" w:hAnsi="Arial" w:cs="Arial"/>
        </w:rPr>
      </w:pPr>
      <w:r>
        <w:rPr>
          <w:rFonts w:ascii="Arial" w:hAnsi="Arial" w:cs="Arial"/>
        </w:rPr>
        <w:br w:type="page"/>
      </w:r>
      <w:r w:rsidR="00C93280">
        <w:rPr>
          <w:rFonts w:ascii="Arial" w:hAnsi="Arial" w:cs="Arial"/>
        </w:rPr>
        <w:lastRenderedPageBreak/>
        <w:t>Section 206 of the Standard Specifications is hereby revised for this project as follows:</w:t>
      </w:r>
    </w:p>
    <w:p w:rsidR="00C93280" w:rsidRDefault="00C93280" w:rsidP="0091016B">
      <w:pPr>
        <w:autoSpaceDE w:val="0"/>
        <w:autoSpaceDN w:val="0"/>
        <w:adjustRightInd w:val="0"/>
      </w:pPr>
    </w:p>
    <w:p w:rsidR="00C93280" w:rsidRPr="0032617E" w:rsidRDefault="00C93280" w:rsidP="0091016B">
      <w:pPr>
        <w:autoSpaceDE w:val="0"/>
        <w:autoSpaceDN w:val="0"/>
        <w:adjustRightInd w:val="0"/>
        <w:rPr>
          <w:rFonts w:ascii="Arial" w:eastAsia="TimesNewRomanPS" w:hAnsi="Arial" w:cs="Arial"/>
        </w:rPr>
      </w:pPr>
      <w:r w:rsidRPr="0032617E">
        <w:rPr>
          <w:rFonts w:ascii="Arial" w:hAnsi="Arial" w:cs="Arial"/>
          <w:bCs/>
        </w:rPr>
        <w:t>Delete subsection 206.02 (a) and replace with the following</w:t>
      </w:r>
      <w:r>
        <w:rPr>
          <w:rFonts w:ascii="Arial" w:hAnsi="Arial" w:cs="Arial"/>
          <w:bCs/>
        </w:rPr>
        <w:t>:</w:t>
      </w:r>
    </w:p>
    <w:p w:rsidR="00C93280" w:rsidRPr="002D49A3" w:rsidRDefault="00C93280" w:rsidP="0091016B">
      <w:pPr>
        <w:autoSpaceDE w:val="0"/>
        <w:autoSpaceDN w:val="0"/>
        <w:adjustRightInd w:val="0"/>
        <w:rPr>
          <w:rFonts w:ascii="Arial" w:eastAsia="TimesNewRomanPS" w:hAnsi="Arial" w:cs="Arial"/>
        </w:rPr>
      </w:pPr>
    </w:p>
    <w:p w:rsidR="00C93280" w:rsidRPr="002D49A3" w:rsidRDefault="00C93280" w:rsidP="0032617E">
      <w:pPr>
        <w:pStyle w:val="ListParagraph"/>
        <w:numPr>
          <w:ilvl w:val="0"/>
          <w:numId w:val="6"/>
        </w:numPr>
        <w:autoSpaceDE w:val="0"/>
        <w:autoSpaceDN w:val="0"/>
        <w:adjustRightInd w:val="0"/>
        <w:spacing w:after="0" w:line="240" w:lineRule="auto"/>
        <w:ind w:left="360"/>
        <w:rPr>
          <w:rFonts w:ascii="Arial" w:eastAsia="TimesNewRomanPS" w:hAnsi="Arial" w:cs="Arial"/>
          <w:sz w:val="20"/>
          <w:szCs w:val="20"/>
        </w:rPr>
      </w:pPr>
      <w:r w:rsidRPr="002D49A3">
        <w:rPr>
          <w:rFonts w:ascii="Arial" w:hAnsi="Arial" w:cs="Arial"/>
          <w:i/>
          <w:iCs/>
          <w:sz w:val="20"/>
          <w:szCs w:val="20"/>
        </w:rPr>
        <w:t xml:space="preserve">Structure Backfill. </w:t>
      </w:r>
      <w:r w:rsidRPr="002D49A3">
        <w:rPr>
          <w:rFonts w:ascii="Arial" w:eastAsia="TimesNewRomanPS" w:hAnsi="Arial" w:cs="Arial"/>
          <w:sz w:val="20"/>
          <w:szCs w:val="20"/>
        </w:rPr>
        <w:t xml:space="preserve">Class 1 and Class 2 structure backfill shall be composed of non-organic mineral aggregates and soil from excavations, borrow pits, or other sources. Material shall conform to the requirements of subsection 703.08. Class of material shall be as specified in the Contract or as designated. </w:t>
      </w:r>
    </w:p>
    <w:p w:rsidR="00C93280" w:rsidRPr="002D49A3" w:rsidRDefault="00C93280" w:rsidP="0032617E">
      <w:pPr>
        <w:pStyle w:val="ListParagraph"/>
        <w:autoSpaceDE w:val="0"/>
        <w:autoSpaceDN w:val="0"/>
        <w:adjustRightInd w:val="0"/>
        <w:spacing w:after="0" w:line="240" w:lineRule="auto"/>
        <w:ind w:left="360"/>
        <w:rPr>
          <w:rFonts w:ascii="Arial" w:eastAsia="TimesNewRomanPS" w:hAnsi="Arial" w:cs="Arial"/>
          <w:sz w:val="20"/>
          <w:szCs w:val="20"/>
        </w:rPr>
      </w:pPr>
    </w:p>
    <w:p w:rsidR="00C93280" w:rsidRPr="00A53CB0" w:rsidRDefault="00C93280" w:rsidP="0032617E">
      <w:pPr>
        <w:autoSpaceDE w:val="0"/>
        <w:autoSpaceDN w:val="0"/>
        <w:adjustRightInd w:val="0"/>
        <w:ind w:left="360"/>
        <w:rPr>
          <w:rFonts w:ascii="Arial" w:eastAsia="TimesNewRomanPS" w:hAnsi="Arial" w:cs="Arial"/>
        </w:rPr>
      </w:pPr>
      <w:r w:rsidRPr="00A53CB0">
        <w:rPr>
          <w:rFonts w:ascii="Arial" w:eastAsia="TimesNewRomanPS" w:hAnsi="Arial" w:cs="Arial"/>
        </w:rPr>
        <w:t>Structure backfill (</w:t>
      </w:r>
      <w:r>
        <w:rPr>
          <w:rFonts w:ascii="Arial" w:eastAsia="TimesNewRomanPS" w:hAnsi="Arial" w:cs="Arial"/>
        </w:rPr>
        <w:t>Flow-Fill</w:t>
      </w:r>
      <w:r w:rsidRPr="00A53CB0">
        <w:rPr>
          <w:rFonts w:ascii="Arial" w:eastAsia="TimesNewRomanPS" w:hAnsi="Arial" w:cs="Arial"/>
        </w:rPr>
        <w:t>) meeting the following requirements shall be used to backfill bridge abutments. The Contractor may substitute structure backfill (</w:t>
      </w:r>
      <w:bookmarkStart w:id="1" w:name="OLE_LINK1"/>
      <w:bookmarkStart w:id="2" w:name="OLE_LINK2"/>
      <w:r>
        <w:rPr>
          <w:rFonts w:ascii="Arial" w:eastAsia="TimesNewRomanPS" w:hAnsi="Arial" w:cs="Arial"/>
        </w:rPr>
        <w:t>Flow-Fill</w:t>
      </w:r>
      <w:bookmarkEnd w:id="1"/>
      <w:bookmarkEnd w:id="2"/>
      <w:r w:rsidRPr="00A53CB0">
        <w:rPr>
          <w:rFonts w:ascii="Arial" w:eastAsia="TimesNewRomanPS" w:hAnsi="Arial" w:cs="Arial"/>
        </w:rPr>
        <w:t>) for structure backfill (Class 1) or structure backfill (Class 2) to backfill culverts and sewer pipes.</w:t>
      </w:r>
    </w:p>
    <w:p w:rsidR="00C93280" w:rsidRPr="00A53CB0" w:rsidRDefault="00C93280" w:rsidP="0032617E">
      <w:pPr>
        <w:autoSpaceDE w:val="0"/>
        <w:autoSpaceDN w:val="0"/>
        <w:adjustRightInd w:val="0"/>
        <w:ind w:left="1080"/>
        <w:rPr>
          <w:rFonts w:ascii="Arial" w:eastAsia="TimesNewRomanPS" w:hAnsi="Arial" w:cs="Arial"/>
        </w:rPr>
      </w:pPr>
    </w:p>
    <w:p w:rsidR="00C93280" w:rsidRPr="00415666" w:rsidRDefault="00C93280" w:rsidP="00FF0136">
      <w:pPr>
        <w:pStyle w:val="ListParagraph"/>
        <w:ind w:left="360"/>
        <w:jc w:val="both"/>
        <w:rPr>
          <w:rFonts w:ascii="Arial" w:hAnsi="Arial" w:cs="Arial"/>
        </w:rPr>
      </w:pPr>
      <w:r w:rsidRPr="00A53CB0">
        <w:rPr>
          <w:rFonts w:ascii="Arial" w:hAnsi="Arial" w:cs="Arial"/>
          <w:sz w:val="20"/>
          <w:szCs w:val="20"/>
        </w:rPr>
        <w:t>Flow-Fill</w:t>
      </w:r>
      <w:r w:rsidRPr="00415666">
        <w:rPr>
          <w:rFonts w:ascii="Arial" w:hAnsi="Arial" w:cs="Arial"/>
          <w:sz w:val="20"/>
          <w:szCs w:val="20"/>
        </w:rPr>
        <w:t xml:space="preserve"> is a self-leveling </w:t>
      </w:r>
      <w:r>
        <w:rPr>
          <w:rFonts w:ascii="Arial" w:hAnsi="Arial" w:cs="Arial"/>
          <w:sz w:val="20"/>
          <w:szCs w:val="20"/>
        </w:rPr>
        <w:t xml:space="preserve">low strength </w:t>
      </w:r>
      <w:r w:rsidRPr="00415666">
        <w:rPr>
          <w:rFonts w:ascii="Arial" w:hAnsi="Arial" w:cs="Arial"/>
          <w:sz w:val="20"/>
          <w:szCs w:val="20"/>
        </w:rPr>
        <w:t xml:space="preserve">concrete material composed of cement, fly ash, aggregates, water, chemical admixtures and/or cellular foam for air-entrainment.  Flow-fill shall have a slump of 7 to 10 inches, when tested in accordance </w:t>
      </w:r>
      <w:r w:rsidRPr="00FF0136">
        <w:rPr>
          <w:rFonts w:ascii="Arial" w:hAnsi="Arial" w:cs="Arial"/>
          <w:sz w:val="20"/>
          <w:szCs w:val="20"/>
        </w:rPr>
        <w:t xml:space="preserve">with </w:t>
      </w:r>
      <w:smartTag w:uri="urn:schemas-microsoft-com:office:smarttags" w:element="stockticker">
        <w:r w:rsidRPr="00FF0136">
          <w:rPr>
            <w:rFonts w:ascii="Arial" w:hAnsi="Arial" w:cs="Arial"/>
            <w:sz w:val="20"/>
            <w:szCs w:val="20"/>
          </w:rPr>
          <w:t>ASTM</w:t>
        </w:r>
      </w:smartTag>
      <w:r w:rsidRPr="00FF0136">
        <w:rPr>
          <w:rFonts w:ascii="Arial" w:hAnsi="Arial" w:cs="Arial"/>
          <w:sz w:val="20"/>
          <w:szCs w:val="20"/>
        </w:rPr>
        <w:t xml:space="preserve"> C143 or a minimum </w:t>
      </w:r>
      <w:r w:rsidRPr="00FF0136">
        <w:rPr>
          <w:rFonts w:ascii="Arial" w:eastAsia="TimesNewRomanPS" w:hAnsi="Arial" w:cs="Arial"/>
          <w:sz w:val="20"/>
          <w:szCs w:val="20"/>
        </w:rPr>
        <w:t>flow consistency</w:t>
      </w:r>
      <w:r w:rsidRPr="00FF0136">
        <w:rPr>
          <w:rFonts w:ascii="Arial" w:hAnsi="Arial" w:cs="Arial"/>
          <w:sz w:val="20"/>
          <w:szCs w:val="20"/>
        </w:rPr>
        <w:t xml:space="preserve"> of 6 inches when tested in accordance with ASTM D6103.  Flow-Fill shall have a minimum compressive strength of 50 psi at</w:t>
      </w:r>
      <w:r w:rsidRPr="00415666">
        <w:rPr>
          <w:rFonts w:ascii="Arial" w:hAnsi="Arial" w:cs="Arial"/>
          <w:sz w:val="20"/>
          <w:szCs w:val="20"/>
        </w:rPr>
        <w:t xml:space="preserve"> 28 days, when tested in accordance with </w:t>
      </w:r>
      <w:smartTag w:uri="urn:schemas-microsoft-com:office:smarttags" w:element="stockticker">
        <w:r w:rsidRPr="00415666">
          <w:rPr>
            <w:rFonts w:ascii="Arial" w:hAnsi="Arial" w:cs="Arial"/>
            <w:sz w:val="20"/>
            <w:szCs w:val="20"/>
          </w:rPr>
          <w:t>ASTM</w:t>
        </w:r>
      </w:smartTag>
      <w:r w:rsidRPr="00415666">
        <w:rPr>
          <w:rFonts w:ascii="Arial" w:hAnsi="Arial" w:cs="Arial"/>
          <w:sz w:val="20"/>
          <w:szCs w:val="20"/>
        </w:rPr>
        <w:t xml:space="preserve"> D4832.</w:t>
      </w:r>
      <w:r>
        <w:rPr>
          <w:rFonts w:ascii="Arial" w:hAnsi="Arial" w:cs="Arial"/>
          <w:sz w:val="20"/>
          <w:szCs w:val="20"/>
        </w:rPr>
        <w:t xml:space="preserve">  Flash Fill shall not be used in lieu of Flow Fill.</w:t>
      </w:r>
    </w:p>
    <w:p w:rsidR="00C93280" w:rsidRPr="00A53CB0" w:rsidRDefault="00C93280" w:rsidP="00FF0136">
      <w:pPr>
        <w:ind w:left="360"/>
        <w:jc w:val="both"/>
        <w:rPr>
          <w:rFonts w:ascii="Arial" w:hAnsi="Arial" w:cs="Arial"/>
        </w:rPr>
      </w:pPr>
      <w:r w:rsidRPr="00A53CB0">
        <w:rPr>
          <w:rFonts w:ascii="Arial" w:hAnsi="Arial" w:cs="Arial"/>
        </w:rPr>
        <w:t xml:space="preserve">Flow-Fill placed in areas that require future excavation, such as utility backfill shall have a Removability Modulus (RM) of 1.5 or less.  </w:t>
      </w:r>
    </w:p>
    <w:p w:rsidR="00C93280" w:rsidRDefault="00C93280" w:rsidP="004E7AF4">
      <w:pPr>
        <w:ind w:left="2520" w:hanging="2160"/>
        <w:rPr>
          <w:rFonts w:ascii="Arial" w:hAnsi="Arial" w:cs="Arial"/>
        </w:rPr>
      </w:pPr>
    </w:p>
    <w:p w:rsidR="00C93280" w:rsidRDefault="00C93280" w:rsidP="004E7AF4">
      <w:pPr>
        <w:ind w:left="2520" w:hanging="2160"/>
        <w:rPr>
          <w:rFonts w:ascii="Arial" w:hAnsi="Arial" w:cs="Arial"/>
        </w:rPr>
      </w:pPr>
      <w:r w:rsidRPr="00F95987">
        <w:rPr>
          <w:rFonts w:ascii="Arial" w:hAnsi="Arial" w:cs="Arial"/>
        </w:rPr>
        <w:t>Removability Modulus</w:t>
      </w:r>
      <w:r>
        <w:rPr>
          <w:rFonts w:ascii="Arial" w:hAnsi="Arial" w:cs="Arial"/>
        </w:rPr>
        <w:t xml:space="preserve">, </w:t>
      </w:r>
      <w:r w:rsidRPr="00F95987">
        <w:rPr>
          <w:rFonts w:ascii="Arial" w:hAnsi="Arial" w:cs="Arial"/>
        </w:rPr>
        <w:t>R</w:t>
      </w:r>
      <w:r>
        <w:rPr>
          <w:rFonts w:ascii="Arial" w:hAnsi="Arial" w:cs="Arial"/>
        </w:rPr>
        <w:t>M</w:t>
      </w:r>
      <w:r w:rsidRPr="00F95987">
        <w:rPr>
          <w:rFonts w:ascii="Arial" w:hAnsi="Arial" w:cs="Arial"/>
        </w:rPr>
        <w:t xml:space="preserve">, is calculated </w:t>
      </w:r>
      <w:r>
        <w:rPr>
          <w:rFonts w:ascii="Arial" w:hAnsi="Arial" w:cs="Arial"/>
        </w:rPr>
        <w:t>as follows:</w:t>
      </w:r>
    </w:p>
    <w:p w:rsidR="00C93280" w:rsidRPr="00F95987" w:rsidRDefault="00C93280" w:rsidP="004E7AF4">
      <w:pPr>
        <w:ind w:left="2520" w:hanging="2160"/>
        <w:rPr>
          <w:rFonts w:ascii="Arial" w:hAnsi="Arial" w:cs="Arial"/>
        </w:rPr>
      </w:pPr>
    </w:p>
    <w:p w:rsidR="00C93280" w:rsidRPr="00F95987" w:rsidRDefault="00C93280" w:rsidP="004E7AF4">
      <w:pPr>
        <w:ind w:left="1800" w:firstLine="720"/>
        <w:rPr>
          <w:rFonts w:ascii="Arial" w:hAnsi="Arial" w:cs="Arial"/>
          <w:u w:val="single"/>
        </w:rPr>
      </w:pPr>
      <w:r w:rsidRPr="00F95987">
        <w:rPr>
          <w:rFonts w:ascii="Arial" w:hAnsi="Arial" w:cs="Arial"/>
        </w:rPr>
        <w:t>R</w:t>
      </w:r>
      <w:r>
        <w:rPr>
          <w:rFonts w:ascii="Arial" w:hAnsi="Arial" w:cs="Arial"/>
        </w:rPr>
        <w:t>M</w:t>
      </w:r>
      <w:r w:rsidRPr="00F95987">
        <w:rPr>
          <w:rFonts w:ascii="Arial" w:hAnsi="Arial" w:cs="Arial"/>
        </w:rPr>
        <w:t xml:space="preserve"> =  </w:t>
      </w:r>
      <w:r w:rsidRPr="00F95987">
        <w:rPr>
          <w:rFonts w:ascii="Arial" w:hAnsi="Arial" w:cs="Arial"/>
          <w:u w:val="single"/>
        </w:rPr>
        <w:t>W</w:t>
      </w:r>
      <w:r w:rsidRPr="00F95987">
        <w:rPr>
          <w:rFonts w:ascii="Arial" w:hAnsi="Arial" w:cs="Arial"/>
          <w:u w:val="single"/>
          <w:vertAlign w:val="superscript"/>
        </w:rPr>
        <w:t xml:space="preserve">1.5 </w:t>
      </w:r>
      <w:r w:rsidRPr="00F95987">
        <w:rPr>
          <w:rFonts w:ascii="Arial" w:hAnsi="Arial" w:cs="Arial"/>
          <w:u w:val="single"/>
        </w:rPr>
        <w:t>x 104 x C</w:t>
      </w:r>
      <w:r w:rsidRPr="00F95987">
        <w:rPr>
          <w:rFonts w:ascii="Arial" w:hAnsi="Arial" w:cs="Arial"/>
          <w:u w:val="single"/>
          <w:vertAlign w:val="superscript"/>
        </w:rPr>
        <w:t>0.5</w:t>
      </w:r>
    </w:p>
    <w:p w:rsidR="00C93280" w:rsidRPr="003B6EE7" w:rsidRDefault="00C93280" w:rsidP="004E7AF4">
      <w:pPr>
        <w:ind w:left="360"/>
        <w:rPr>
          <w:rFonts w:ascii="Arial" w:hAnsi="Arial" w:cs="Arial"/>
          <w:vertAlign w:val="superscript"/>
        </w:rPr>
      </w:pP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6EE7">
        <w:rPr>
          <w:rFonts w:ascii="Arial" w:hAnsi="Arial" w:cs="Arial"/>
        </w:rPr>
        <w:t>10</w:t>
      </w:r>
      <w:r w:rsidRPr="003B6EE7">
        <w:rPr>
          <w:rFonts w:ascii="Arial" w:hAnsi="Arial" w:cs="Arial"/>
          <w:vertAlign w:val="superscript"/>
        </w:rPr>
        <w:t>6</w:t>
      </w:r>
    </w:p>
    <w:p w:rsidR="00C93280" w:rsidRPr="00F95987" w:rsidRDefault="00C93280" w:rsidP="004E7AF4">
      <w:pPr>
        <w:ind w:left="1800" w:firstLine="720"/>
        <w:rPr>
          <w:rFonts w:ascii="Arial" w:hAnsi="Arial" w:cs="Arial"/>
        </w:rPr>
      </w:pPr>
    </w:p>
    <w:p w:rsidR="00C93280" w:rsidRDefault="00C93280" w:rsidP="004E7AF4">
      <w:pPr>
        <w:ind w:left="360"/>
        <w:rPr>
          <w:rFonts w:ascii="Arial" w:hAnsi="Arial" w:cs="Arial"/>
        </w:rPr>
      </w:pPr>
      <w:r w:rsidRPr="00F95987">
        <w:rPr>
          <w:rFonts w:ascii="Arial" w:hAnsi="Arial" w:cs="Arial"/>
        </w:rPr>
        <w:t xml:space="preserve">where : </w:t>
      </w:r>
      <w:r>
        <w:rPr>
          <w:rFonts w:ascii="Arial" w:hAnsi="Arial" w:cs="Arial"/>
        </w:rPr>
        <w:tab/>
      </w:r>
      <w:r w:rsidRPr="00F95987">
        <w:rPr>
          <w:rFonts w:ascii="Arial" w:hAnsi="Arial" w:cs="Arial"/>
        </w:rPr>
        <w:t>W = unit weight (</w:t>
      </w:r>
      <w:proofErr w:type="spellStart"/>
      <w:r w:rsidRPr="00F95987">
        <w:rPr>
          <w:rFonts w:ascii="Arial" w:hAnsi="Arial" w:cs="Arial"/>
        </w:rPr>
        <w:t>pcf</w:t>
      </w:r>
      <w:proofErr w:type="spellEnd"/>
      <w:r w:rsidRPr="00F95987">
        <w:rPr>
          <w:rFonts w:ascii="Arial" w:hAnsi="Arial" w:cs="Arial"/>
        </w:rPr>
        <w:t xml:space="preserve">) </w:t>
      </w:r>
    </w:p>
    <w:p w:rsidR="00C93280" w:rsidRPr="00F95987" w:rsidRDefault="00C93280" w:rsidP="004E7AF4">
      <w:pPr>
        <w:ind w:left="360"/>
        <w:rPr>
          <w:rFonts w:ascii="Arial" w:hAnsi="Arial" w:cs="Arial"/>
        </w:rPr>
      </w:pPr>
      <w:r w:rsidRPr="00F95987">
        <w:rPr>
          <w:rFonts w:ascii="Arial" w:hAnsi="Arial" w:cs="Arial"/>
        </w:rPr>
        <w:t xml:space="preserve"> </w:t>
      </w:r>
      <w:r>
        <w:rPr>
          <w:rFonts w:ascii="Arial" w:hAnsi="Arial" w:cs="Arial"/>
        </w:rPr>
        <w:tab/>
      </w:r>
      <w:r>
        <w:rPr>
          <w:rFonts w:ascii="Arial" w:hAnsi="Arial" w:cs="Arial"/>
        </w:rPr>
        <w:tab/>
      </w:r>
      <w:r w:rsidRPr="00F95987">
        <w:rPr>
          <w:rFonts w:ascii="Arial" w:hAnsi="Arial" w:cs="Arial"/>
        </w:rPr>
        <w:t>C = 28-day compressive strength</w:t>
      </w:r>
      <w:r>
        <w:rPr>
          <w:rFonts w:ascii="Arial" w:hAnsi="Arial" w:cs="Arial"/>
        </w:rPr>
        <w:t xml:space="preserve"> (psi)</w:t>
      </w:r>
    </w:p>
    <w:p w:rsidR="00C93280" w:rsidRDefault="00C93280" w:rsidP="004E7AF4">
      <w:pPr>
        <w:autoSpaceDE w:val="0"/>
        <w:autoSpaceDN w:val="0"/>
        <w:adjustRightInd w:val="0"/>
        <w:ind w:left="360"/>
        <w:rPr>
          <w:rFonts w:ascii="Arial" w:eastAsia="TimesNewRomanPS" w:hAnsi="Arial" w:cs="Arial"/>
        </w:rPr>
      </w:pPr>
    </w:p>
    <w:p w:rsidR="00C93280" w:rsidRPr="009F72DE" w:rsidRDefault="00C93280"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Materials </w:t>
      </w:r>
      <w:r>
        <w:rPr>
          <w:rFonts w:ascii="Arial" w:eastAsia="TimesNewRomanPS" w:hAnsi="Arial" w:cs="Arial"/>
        </w:rPr>
        <w:t xml:space="preserve">for structure backfill (Flow-Fill) </w:t>
      </w:r>
      <w:r w:rsidRPr="009F72DE">
        <w:rPr>
          <w:rFonts w:ascii="Arial" w:eastAsia="TimesNewRomanPS" w:hAnsi="Arial" w:cs="Arial"/>
        </w:rPr>
        <w:t>shall meet the requirements specified in the following subsections:</w:t>
      </w:r>
    </w:p>
    <w:p w:rsidR="00C93280" w:rsidRPr="009F72DE" w:rsidRDefault="00C93280" w:rsidP="004E7AF4">
      <w:pPr>
        <w:autoSpaceDE w:val="0"/>
        <w:autoSpaceDN w:val="0"/>
        <w:adjustRightInd w:val="0"/>
        <w:ind w:left="360"/>
        <w:rPr>
          <w:rFonts w:ascii="Arial" w:eastAsia="TimesNewRomanPS" w:hAnsi="Arial" w:cs="Arial"/>
        </w:rPr>
      </w:pPr>
      <w:r w:rsidRPr="009F72DE">
        <w:rPr>
          <w:rFonts w:ascii="Arial" w:eastAsia="TimesNewRomanPS" w:hAnsi="Arial" w:cs="Arial"/>
        </w:rPr>
        <w:t>Fine Aggregate</w:t>
      </w:r>
      <w:r>
        <w:rPr>
          <w:rFonts w:ascii="Arial" w:eastAsia="TimesNewRomanPS" w:hAnsi="Arial" w:cs="Arial"/>
          <w:vertAlign w:val="superscript"/>
        </w:rPr>
        <w:t>1, 4</w:t>
      </w:r>
      <w:r w:rsidRPr="009F72DE">
        <w:rPr>
          <w:rFonts w:ascii="Arial" w:eastAsia="TimesNewRomanPS" w:hAnsi="Arial" w:cs="Arial"/>
        </w:rPr>
        <w:t xml:space="preserve">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703.01</w:t>
      </w:r>
    </w:p>
    <w:p w:rsidR="00C93280" w:rsidRPr="007A5B4F" w:rsidRDefault="00C93280"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Coarse Aggregate</w:t>
      </w:r>
      <w:r w:rsidRPr="007A5B4F">
        <w:rPr>
          <w:rFonts w:ascii="Arial" w:eastAsia="TimesNewRomanPS" w:hAnsi="Arial" w:cs="Arial"/>
          <w:highlight w:val="lightGray"/>
          <w:vertAlign w:val="superscript"/>
        </w:rPr>
        <w:t>2, 4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703.02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rsidR="00C93280" w:rsidRPr="009F72DE" w:rsidRDefault="00C93280"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Portland Cement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701.01</w:t>
      </w:r>
    </w:p>
    <w:p w:rsidR="00C93280" w:rsidRPr="007A5B4F" w:rsidRDefault="00C93280"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Fly Ash</w:t>
      </w:r>
      <w:r w:rsidRPr="007A5B4F">
        <w:rPr>
          <w:rFonts w:ascii="Arial" w:eastAsia="TimesNewRomanPS" w:hAnsi="Arial" w:cs="Arial"/>
          <w:highlight w:val="lightGray"/>
          <w:vertAlign w:val="superscript"/>
        </w:rPr>
        <w:t>3, 4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rsidR="00C93280" w:rsidRPr="009F72DE" w:rsidRDefault="00C93280"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Water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712.01</w:t>
      </w:r>
    </w:p>
    <w:p w:rsidR="00C93280" w:rsidRPr="007A5B4F" w:rsidRDefault="00C93280"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 xml:space="preserve">Air Entraining Admixture </w:t>
      </w:r>
      <w:r w:rsidRPr="007A5B4F">
        <w:rPr>
          <w:rFonts w:ascii="Arial" w:eastAsia="TimesNewRomanPS" w:hAnsi="Arial" w:cs="Arial"/>
          <w:highlight w:val="lightGray"/>
        </w:rPr>
        <w:tab/>
      </w:r>
      <w:r w:rsidRPr="007A5B4F">
        <w:rPr>
          <w:rFonts w:ascii="Arial" w:eastAsia="TimesNewRomanPS" w:hAnsi="Arial" w:cs="Arial"/>
          <w:highlight w:val="lightGray"/>
        </w:rPr>
        <w:tab/>
        <w:t>711.02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rsidR="00C93280" w:rsidRDefault="00C93280"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Chemical Admixtures </w:t>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711.03</w:t>
      </w:r>
    </w:p>
    <w:p w:rsidR="00C93280" w:rsidRDefault="00C93280" w:rsidP="001842A4">
      <w:pPr>
        <w:autoSpaceDE w:val="0"/>
        <w:autoSpaceDN w:val="0"/>
        <w:adjustRightInd w:val="0"/>
        <w:ind w:left="1440"/>
        <w:rPr>
          <w:rFonts w:ascii="Arial" w:eastAsia="TimesNewRomanPS" w:hAnsi="Arial" w:cs="Arial"/>
        </w:rPr>
      </w:pPr>
    </w:p>
    <w:p w:rsidR="00C93280" w:rsidRDefault="00C93280"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1 </w:t>
      </w:r>
      <w:r w:rsidRPr="00953AF0">
        <w:rPr>
          <w:rFonts w:ascii="Arial" w:eastAsia="TimesNewRomanPS" w:hAnsi="Arial" w:cs="Arial"/>
        </w:rPr>
        <w:t xml:space="preserve">Fine </w:t>
      </w:r>
      <w:r>
        <w:rPr>
          <w:rFonts w:ascii="Arial" w:eastAsia="TimesNewRomanPS" w:hAnsi="Arial" w:cs="Arial"/>
        </w:rPr>
        <w:t>aggregate not meeting the requirements of subsection 703.01 may be used if testing indicates acceptable results for strength and air content.</w:t>
      </w:r>
      <w:r w:rsidRPr="00953AF0">
        <w:rPr>
          <w:rFonts w:ascii="Arial" w:eastAsia="TimesNewRomanPS" w:hAnsi="Arial" w:cs="Arial"/>
        </w:rPr>
        <w:t xml:space="preserve"> </w:t>
      </w:r>
    </w:p>
    <w:p w:rsidR="00C93280" w:rsidRPr="00953AF0" w:rsidRDefault="00C93280"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2 </w:t>
      </w:r>
      <w:r>
        <w:rPr>
          <w:rFonts w:ascii="Arial" w:eastAsia="TimesNewRomanPS" w:hAnsi="Arial" w:cs="Arial"/>
        </w:rPr>
        <w:t>Coarse aggregate not meeting the requirements of subsection 703.02 may be used if testing indicates acceptable results for strength and air content.</w:t>
      </w:r>
    </w:p>
    <w:p w:rsidR="00C93280" w:rsidRDefault="00C93280" w:rsidP="004E7AF4">
      <w:pPr>
        <w:autoSpaceDE w:val="0"/>
        <w:autoSpaceDN w:val="0"/>
        <w:adjustRightInd w:val="0"/>
        <w:ind w:left="360"/>
        <w:rPr>
          <w:rFonts w:ascii="Arial" w:hAnsi="Arial" w:cs="Arial"/>
        </w:rPr>
      </w:pPr>
      <w:r w:rsidRPr="00953AF0">
        <w:rPr>
          <w:rFonts w:ascii="Arial" w:eastAsia="TimesNewRomanPS" w:hAnsi="Arial" w:cs="Arial"/>
          <w:vertAlign w:val="superscript"/>
        </w:rPr>
        <w:t>3</w:t>
      </w:r>
      <w:r>
        <w:rPr>
          <w:rFonts w:ascii="Arial" w:eastAsia="TimesNewRomanPS" w:hAnsi="Arial" w:cs="Arial"/>
        </w:rPr>
        <w:t xml:space="preserve"> Fly ash not meeting the requirements of subsection 701.02 may </w:t>
      </w:r>
      <w:r w:rsidRPr="009F72DE">
        <w:rPr>
          <w:rFonts w:ascii="Arial" w:eastAsia="TimesNewRomanPS" w:hAnsi="Arial" w:cs="Arial"/>
        </w:rPr>
        <w:t xml:space="preserve">be used </w:t>
      </w:r>
      <w:r w:rsidRPr="009F72DE">
        <w:rPr>
          <w:rFonts w:ascii="Arial" w:hAnsi="Arial" w:cs="Arial"/>
        </w:rPr>
        <w:t>if testing indicates acceptable results for strength and air content.</w:t>
      </w:r>
      <w:r>
        <w:rPr>
          <w:rFonts w:ascii="Arial" w:hAnsi="Arial" w:cs="Arial"/>
        </w:rPr>
        <w:t xml:space="preserve">  </w:t>
      </w:r>
    </w:p>
    <w:p w:rsidR="00C93280" w:rsidRDefault="00C93280" w:rsidP="00C93FA0">
      <w:pPr>
        <w:autoSpaceDE w:val="0"/>
        <w:autoSpaceDN w:val="0"/>
        <w:adjustRightInd w:val="0"/>
        <w:ind w:left="360"/>
        <w:rPr>
          <w:rFonts w:ascii="Arial" w:eastAsia="TimesNewRomanPS" w:hAnsi="Arial" w:cs="Arial"/>
        </w:rPr>
      </w:pPr>
      <w:r>
        <w:rPr>
          <w:rFonts w:ascii="Arial" w:eastAsia="TimesNewRomanPS" w:hAnsi="Arial" w:cs="Arial"/>
          <w:vertAlign w:val="superscript"/>
        </w:rPr>
        <w:t>4</w:t>
      </w:r>
      <w:r>
        <w:rPr>
          <w:rFonts w:ascii="Arial" w:eastAsia="TimesNewRomanPS" w:hAnsi="Arial" w:cs="Arial"/>
        </w:rPr>
        <w:t xml:space="preserve"> Industrial by-product aggregates (foundry sand, bottom ash, etc..) and fly ash not meeting the requirements of subsection 701.02 shall submit a report </w:t>
      </w:r>
      <w:r w:rsidRPr="003622FB">
        <w:rPr>
          <w:rFonts w:ascii="Arial" w:hAnsi="Arial" w:cs="Arial"/>
          <w:color w:val="231F20"/>
        </w:rPr>
        <w:t>from the supplier documenting the</w:t>
      </w:r>
      <w:r>
        <w:rPr>
          <w:rFonts w:ascii="Arial" w:hAnsi="Arial" w:cs="Arial"/>
          <w:color w:val="231F20"/>
        </w:rPr>
        <w:t xml:space="preserve"> </w:t>
      </w:r>
      <w:r w:rsidRPr="003622FB">
        <w:rPr>
          <w:rFonts w:ascii="Arial" w:hAnsi="Arial" w:cs="Arial"/>
          <w:color w:val="231F20"/>
        </w:rPr>
        <w:t>results of testing in accordance with the Toxicity</w:t>
      </w:r>
      <w:r>
        <w:rPr>
          <w:rFonts w:ascii="Arial" w:hAnsi="Arial" w:cs="Arial"/>
          <w:color w:val="231F20"/>
        </w:rPr>
        <w:t xml:space="preserve"> </w:t>
      </w:r>
      <w:r w:rsidRPr="003622FB">
        <w:rPr>
          <w:rFonts w:ascii="Arial" w:hAnsi="Arial" w:cs="Arial"/>
          <w:color w:val="231F20"/>
        </w:rPr>
        <w:t>Characteristic Leaching Procedure (TCLP) described in 40 CFR 261.</w:t>
      </w:r>
      <w:r>
        <w:rPr>
          <w:rFonts w:ascii="Arial" w:hAnsi="Arial" w:cs="Arial"/>
          <w:color w:val="231F20"/>
        </w:rPr>
        <w:t xml:space="preserve"> </w:t>
      </w:r>
      <w:r w:rsidRPr="003622FB">
        <w:rPr>
          <w:rFonts w:ascii="Arial" w:hAnsi="Arial" w:cs="Arial"/>
          <w:color w:val="231F20"/>
        </w:rPr>
        <w:t>The report shall include the results of TCLP testing for heavy metals and other</w:t>
      </w:r>
      <w:r>
        <w:rPr>
          <w:rFonts w:ascii="Arial" w:hAnsi="Arial" w:cs="Arial"/>
          <w:color w:val="231F20"/>
        </w:rPr>
        <w:t xml:space="preserve"> </w:t>
      </w:r>
      <w:r w:rsidRPr="003622FB">
        <w:rPr>
          <w:rFonts w:ascii="Arial" w:hAnsi="Arial" w:cs="Arial"/>
          <w:color w:val="231F20"/>
        </w:rPr>
        <w:t xml:space="preserve">contaminants. </w:t>
      </w:r>
      <w:r>
        <w:rPr>
          <w:rFonts w:ascii="Arial" w:hAnsi="Arial" w:cs="Arial"/>
          <w:color w:val="231F20"/>
        </w:rPr>
        <w:t xml:space="preserve"> Materials shall not exceed the TCLP limits of 40 CFR 261.24 for heavy metals</w:t>
      </w:r>
    </w:p>
    <w:p w:rsidR="00C93280" w:rsidRDefault="00C93280" w:rsidP="001842A4">
      <w:pPr>
        <w:autoSpaceDE w:val="0"/>
        <w:autoSpaceDN w:val="0"/>
        <w:adjustRightInd w:val="0"/>
        <w:ind w:left="1440"/>
        <w:rPr>
          <w:rFonts w:ascii="Arial" w:hAnsi="Arial" w:cs="Arial"/>
        </w:rPr>
      </w:pPr>
    </w:p>
    <w:p w:rsidR="00C93280" w:rsidRDefault="00C93280" w:rsidP="004E7AF4">
      <w:pPr>
        <w:autoSpaceDE w:val="0"/>
        <w:autoSpaceDN w:val="0"/>
        <w:adjustRightInd w:val="0"/>
        <w:ind w:left="360"/>
        <w:rPr>
          <w:rFonts w:ascii="Arial" w:hAnsi="Arial" w:cs="Arial"/>
        </w:rPr>
      </w:pPr>
      <w:r>
        <w:rPr>
          <w:rFonts w:ascii="Arial" w:hAnsi="Arial" w:cs="Arial"/>
        </w:rPr>
        <w:t>C</w:t>
      </w:r>
      <w:r w:rsidRPr="00DB415F">
        <w:rPr>
          <w:rFonts w:ascii="Arial" w:hAnsi="Arial" w:cs="Arial"/>
        </w:rPr>
        <w:t xml:space="preserve">ellular foam </w:t>
      </w:r>
      <w:r w:rsidRPr="009F72DE">
        <w:rPr>
          <w:rFonts w:ascii="Arial" w:hAnsi="Arial" w:cs="Arial"/>
        </w:rPr>
        <w:t xml:space="preserve">shall conform to </w:t>
      </w:r>
      <w:smartTag w:uri="urn:schemas-microsoft-com:office:smarttags" w:element="stockticker">
        <w:r w:rsidRPr="009F72DE">
          <w:rPr>
            <w:rFonts w:ascii="Arial" w:hAnsi="Arial" w:cs="Arial"/>
          </w:rPr>
          <w:t>ASTM</w:t>
        </w:r>
      </w:smartTag>
      <w:r w:rsidRPr="009F72DE">
        <w:rPr>
          <w:rFonts w:ascii="Arial" w:hAnsi="Arial" w:cs="Arial"/>
        </w:rPr>
        <w:t xml:space="preserve"> C869 and </w:t>
      </w:r>
      <w:r>
        <w:rPr>
          <w:rFonts w:ascii="Arial" w:hAnsi="Arial" w:cs="Arial"/>
        </w:rPr>
        <w:t xml:space="preserve">ASTM </w:t>
      </w:r>
      <w:r w:rsidRPr="009F72DE">
        <w:rPr>
          <w:rFonts w:ascii="Arial" w:hAnsi="Arial" w:cs="Arial"/>
        </w:rPr>
        <w:t>C796</w:t>
      </w:r>
    </w:p>
    <w:p w:rsidR="00C93280" w:rsidRDefault="00C93280" w:rsidP="00FD2D90">
      <w:pPr>
        <w:autoSpaceDE w:val="0"/>
        <w:autoSpaceDN w:val="0"/>
        <w:adjustRightInd w:val="0"/>
        <w:ind w:left="360"/>
        <w:rPr>
          <w:rFonts w:ascii="Arial" w:eastAsia="TimesNewRomanPS" w:hAnsi="Arial" w:cs="Arial"/>
        </w:rPr>
      </w:pPr>
    </w:p>
    <w:p w:rsidR="00C93280" w:rsidRDefault="00C93280" w:rsidP="004E7AF4">
      <w:pPr>
        <w:autoSpaceDE w:val="0"/>
        <w:autoSpaceDN w:val="0"/>
        <w:adjustRightInd w:val="0"/>
        <w:ind w:left="360"/>
        <w:rPr>
          <w:rFonts w:ascii="Arial" w:eastAsia="TimesNewRomanPS" w:hAnsi="Arial" w:cs="Arial"/>
        </w:rPr>
      </w:pPr>
      <w:r w:rsidRPr="002D49A3">
        <w:rPr>
          <w:rFonts w:ascii="Arial" w:eastAsia="TimesNewRomanPS" w:hAnsi="Arial" w:cs="Arial"/>
        </w:rPr>
        <w:t>Recycled broken glass (glass cullet) is acceptable as part or all of the aggregate. Aggregate including glass must conform to the required gradations. All containers used to produce the cullet shall be empty prior to processing. Chemical, pharmaceutical, insecticide, pesticide, or other glass containers containing or having contained toxic or hazardous substances shall not be allowed and shall be grounds for rejecting the glass</w:t>
      </w:r>
      <w:r w:rsidR="00E81775">
        <w:rPr>
          <w:rFonts w:ascii="Arial" w:eastAsia="TimesNewRomanPS" w:hAnsi="Arial" w:cs="Arial"/>
        </w:rPr>
        <w:t xml:space="preserve"> </w:t>
      </w:r>
      <w:r w:rsidRPr="002D49A3">
        <w:rPr>
          <w:rFonts w:ascii="Arial" w:eastAsia="TimesNewRomanPS" w:hAnsi="Arial" w:cs="Arial"/>
        </w:rPr>
        <w:lastRenderedPageBreak/>
        <w:t xml:space="preserve">cullet. The maximum debris level in the cullet shall be 10 percent. Debris is defined as any deleterious material which impacts the performance of the </w:t>
      </w:r>
      <w:r>
        <w:rPr>
          <w:rFonts w:ascii="Arial" w:eastAsia="TimesNewRomanPS" w:hAnsi="Arial" w:cs="Arial"/>
        </w:rPr>
        <w:t>structure backfill (Flow-Fill)</w:t>
      </w:r>
      <w:r w:rsidRPr="002D49A3">
        <w:rPr>
          <w:rFonts w:ascii="Arial" w:eastAsia="TimesNewRomanPS" w:hAnsi="Arial" w:cs="Arial"/>
        </w:rPr>
        <w:t xml:space="preserve"> including all non</w:t>
      </w:r>
      <w:r w:rsidR="00E81775">
        <w:rPr>
          <w:rFonts w:ascii="MS Gothic" w:eastAsia="MS Gothic" w:hAnsi="MS Gothic" w:cs="MS Gothic"/>
        </w:rPr>
        <w:t>-</w:t>
      </w:r>
      <w:r w:rsidRPr="002D49A3">
        <w:rPr>
          <w:rFonts w:ascii="Arial" w:eastAsia="TimesNewRomanPS" w:hAnsi="Arial" w:cs="Arial"/>
        </w:rPr>
        <w:t>glass constituents.</w:t>
      </w:r>
    </w:p>
    <w:p w:rsidR="00C93280" w:rsidRDefault="00C93280" w:rsidP="004E7AF4">
      <w:pPr>
        <w:autoSpaceDE w:val="0"/>
        <w:autoSpaceDN w:val="0"/>
        <w:adjustRightInd w:val="0"/>
        <w:ind w:left="360"/>
        <w:rPr>
          <w:rFonts w:ascii="Arial" w:eastAsia="TimesNewRomanPS" w:hAnsi="Arial" w:cs="Arial"/>
        </w:rPr>
      </w:pPr>
    </w:p>
    <w:p w:rsidR="00C93280" w:rsidRPr="002D49A3" w:rsidRDefault="00C93280" w:rsidP="004E7AF4">
      <w:pPr>
        <w:autoSpaceDE w:val="0"/>
        <w:autoSpaceDN w:val="0"/>
        <w:adjustRightInd w:val="0"/>
        <w:ind w:left="360"/>
        <w:rPr>
          <w:rFonts w:ascii="Arial" w:eastAsia="TimesNewRomanPS" w:hAnsi="Arial" w:cs="Arial"/>
        </w:rPr>
      </w:pPr>
      <w:r w:rsidRPr="002D49A3">
        <w:rPr>
          <w:rFonts w:ascii="Arial" w:eastAsia="TimesNewRomanPS" w:hAnsi="Arial" w:cs="Arial"/>
        </w:rPr>
        <w:t>The Contractor may use aggregate which does not meet the above specifications if the aggregate conforms to the following gradation:</w:t>
      </w:r>
    </w:p>
    <w:p w:rsidR="00C93280" w:rsidRPr="002D49A3" w:rsidRDefault="00C93280" w:rsidP="004E7AF4">
      <w:pPr>
        <w:autoSpaceDE w:val="0"/>
        <w:autoSpaceDN w:val="0"/>
        <w:adjustRightInd w:val="0"/>
        <w:ind w:left="1080"/>
        <w:rPr>
          <w:rFonts w:ascii="Arial" w:eastAsia="TimesNewRomanPS" w:hAnsi="Arial" w:cs="Arial"/>
        </w:rPr>
      </w:pPr>
    </w:p>
    <w:p w:rsidR="00C93280" w:rsidRPr="002D49A3" w:rsidRDefault="00C93280" w:rsidP="004E7AF4">
      <w:pPr>
        <w:autoSpaceDE w:val="0"/>
        <w:autoSpaceDN w:val="0"/>
        <w:adjustRightInd w:val="0"/>
        <w:ind w:left="360"/>
        <w:rPr>
          <w:rFonts w:ascii="Arial" w:hAnsi="Arial" w:cs="Arial"/>
          <w:b/>
          <w:bCs/>
        </w:rPr>
      </w:pPr>
      <w:r w:rsidRPr="002D49A3">
        <w:rPr>
          <w:rFonts w:ascii="Arial" w:hAnsi="Arial" w:cs="Arial"/>
          <w:b/>
          <w:bCs/>
        </w:rPr>
        <w:t xml:space="preserve">Sieve Size </w:t>
      </w:r>
      <w:r w:rsidRPr="002D49A3">
        <w:rPr>
          <w:rFonts w:ascii="Arial" w:hAnsi="Arial" w:cs="Arial"/>
          <w:b/>
          <w:bCs/>
        </w:rPr>
        <w:tab/>
      </w:r>
      <w:r w:rsidRPr="002D49A3">
        <w:rPr>
          <w:rFonts w:ascii="Arial" w:hAnsi="Arial" w:cs="Arial"/>
          <w:b/>
          <w:bCs/>
        </w:rPr>
        <w:tab/>
      </w:r>
      <w:r w:rsidRPr="002D49A3">
        <w:rPr>
          <w:rFonts w:ascii="Arial" w:hAnsi="Arial" w:cs="Arial"/>
          <w:b/>
          <w:bCs/>
        </w:rPr>
        <w:tab/>
      </w:r>
      <w:r w:rsidR="001E1F18">
        <w:rPr>
          <w:rFonts w:ascii="Arial" w:hAnsi="Arial" w:cs="Arial"/>
          <w:b/>
          <w:bCs/>
        </w:rPr>
        <w:tab/>
      </w:r>
      <w:r w:rsidRPr="002D49A3">
        <w:rPr>
          <w:rFonts w:ascii="Arial" w:hAnsi="Arial" w:cs="Arial"/>
          <w:b/>
          <w:bCs/>
        </w:rPr>
        <w:t>Percent Passing</w:t>
      </w:r>
    </w:p>
    <w:p w:rsidR="00C93280" w:rsidRPr="002D49A3" w:rsidRDefault="001E1F18" w:rsidP="004E7AF4">
      <w:pPr>
        <w:autoSpaceDE w:val="0"/>
        <w:autoSpaceDN w:val="0"/>
        <w:adjustRightInd w:val="0"/>
        <w:ind w:left="360"/>
        <w:rPr>
          <w:rFonts w:ascii="Arial" w:eastAsia="TimesNewRomanPS" w:hAnsi="Arial" w:cs="Arial"/>
        </w:rPr>
      </w:pPr>
      <w:r>
        <w:rPr>
          <w:rFonts w:ascii="Arial" w:eastAsia="TimesNewRomanPS" w:hAnsi="Arial" w:cs="Arial"/>
        </w:rPr>
        <w:t xml:space="preserve">25.0 mm (1 inch) </w:t>
      </w:r>
      <w:r>
        <w:rPr>
          <w:rFonts w:ascii="Arial" w:eastAsia="TimesNewRomanPS" w:hAnsi="Arial" w:cs="Arial"/>
        </w:rPr>
        <w:tab/>
      </w:r>
      <w:r>
        <w:rPr>
          <w:rFonts w:ascii="Arial" w:eastAsia="TimesNewRomanPS" w:hAnsi="Arial" w:cs="Arial"/>
        </w:rPr>
        <w:tab/>
      </w:r>
      <w:r w:rsidR="00C93280" w:rsidRPr="002D49A3">
        <w:rPr>
          <w:rFonts w:ascii="Arial" w:eastAsia="TimesNewRomanPS" w:hAnsi="Arial" w:cs="Arial"/>
        </w:rPr>
        <w:t>100</w:t>
      </w:r>
    </w:p>
    <w:p w:rsidR="00C93280" w:rsidRPr="00953AF0" w:rsidRDefault="00C93280" w:rsidP="004E7AF4">
      <w:pPr>
        <w:autoSpaceDE w:val="0"/>
        <w:autoSpaceDN w:val="0"/>
        <w:adjustRightInd w:val="0"/>
        <w:ind w:left="360"/>
        <w:rPr>
          <w:rFonts w:ascii="Arial" w:eastAsia="TimesNewRomanPS" w:hAnsi="Arial" w:cs="Arial"/>
          <w:vertAlign w:val="superscript"/>
        </w:rPr>
      </w:pP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(No. 200) </w:t>
      </w:r>
      <w:r w:rsidRPr="002D49A3">
        <w:rPr>
          <w:rFonts w:ascii="Arial" w:eastAsia="TimesNewRomanPS" w:hAnsi="Arial" w:cs="Arial"/>
        </w:rPr>
        <w:tab/>
      </w:r>
      <w:r w:rsidR="001E1F18">
        <w:rPr>
          <w:rFonts w:ascii="Arial" w:eastAsia="TimesNewRomanPS" w:hAnsi="Arial" w:cs="Arial"/>
        </w:rPr>
        <w:tab/>
      </w:r>
      <w:r w:rsidRPr="002D49A3">
        <w:rPr>
          <w:rFonts w:ascii="Arial" w:eastAsia="TimesNewRomanPS" w:hAnsi="Arial" w:cs="Arial"/>
        </w:rPr>
        <w:t>0</w:t>
      </w:r>
      <w:r w:rsidRPr="002D49A3">
        <w:rPr>
          <w:rFonts w:ascii="MS Gothic" w:eastAsia="MS Gothic" w:hAnsi="MS Gothic" w:cs="MS Gothic" w:hint="eastAsia"/>
        </w:rPr>
        <w:t>‑</w:t>
      </w:r>
      <w:r w:rsidRPr="002D49A3">
        <w:rPr>
          <w:rFonts w:ascii="Arial" w:eastAsia="TimesNewRomanPS" w:hAnsi="Arial" w:cs="Arial"/>
        </w:rPr>
        <w:t>10</w:t>
      </w:r>
      <w:r>
        <w:rPr>
          <w:rFonts w:ascii="Arial" w:eastAsia="TimesNewRomanPS" w:hAnsi="Arial" w:cs="Arial"/>
          <w:vertAlign w:val="superscript"/>
        </w:rPr>
        <w:t>1</w:t>
      </w:r>
    </w:p>
    <w:p w:rsidR="00C93280" w:rsidRPr="001F4B9B" w:rsidRDefault="00C93280" w:rsidP="004E7AF4">
      <w:pPr>
        <w:autoSpaceDE w:val="0"/>
        <w:autoSpaceDN w:val="0"/>
        <w:adjustRightInd w:val="0"/>
        <w:ind w:left="360"/>
        <w:rPr>
          <w:rFonts w:ascii="Arial" w:hAnsi="Arial" w:cs="Arial"/>
          <w:bCs/>
        </w:rPr>
      </w:pPr>
      <w:r w:rsidRPr="00953AF0">
        <w:rPr>
          <w:rFonts w:ascii="Arial" w:hAnsi="Arial" w:cs="Arial"/>
          <w:bCs/>
          <w:vertAlign w:val="superscript"/>
        </w:rPr>
        <w:t>1</w:t>
      </w:r>
      <w:r w:rsidRPr="00953AF0">
        <w:rPr>
          <w:rFonts w:ascii="Arial" w:hAnsi="Arial" w:cs="Arial"/>
          <w:bCs/>
        </w:rPr>
        <w:t xml:space="preserve"> The </w:t>
      </w:r>
      <w:r w:rsidRPr="001F4B9B">
        <w:rPr>
          <w:rFonts w:ascii="Arial" w:hAnsi="Arial" w:cs="Arial"/>
          <w:bCs/>
        </w:rPr>
        <w:t xml:space="preserve">amount of material passing the </w:t>
      </w: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w:t>
      </w:r>
      <w:r>
        <w:rPr>
          <w:rFonts w:ascii="Arial" w:eastAsia="TimesNewRomanPS" w:hAnsi="Arial" w:cs="Arial"/>
        </w:rPr>
        <w:t>(</w:t>
      </w:r>
      <w:r w:rsidRPr="001F4B9B">
        <w:rPr>
          <w:rFonts w:ascii="Arial" w:hAnsi="Arial" w:cs="Arial"/>
          <w:bCs/>
        </w:rPr>
        <w:t>No. 200</w:t>
      </w:r>
      <w:r>
        <w:rPr>
          <w:rFonts w:ascii="Arial" w:hAnsi="Arial" w:cs="Arial"/>
          <w:bCs/>
        </w:rPr>
        <w:t>)</w:t>
      </w:r>
      <w:r w:rsidRPr="001F4B9B">
        <w:rPr>
          <w:rFonts w:ascii="Arial" w:hAnsi="Arial" w:cs="Arial"/>
          <w:bCs/>
        </w:rPr>
        <w:t xml:space="preserve"> screen may exceed 10 percent </w:t>
      </w:r>
      <w:r w:rsidRPr="001F4B9B">
        <w:rPr>
          <w:rFonts w:ascii="Arial" w:eastAsia="TimesNewRomanPS" w:hAnsi="Arial" w:cs="Arial"/>
        </w:rPr>
        <w:t>if testing indicates acceptable results for strength and air content.</w:t>
      </w:r>
    </w:p>
    <w:p w:rsidR="00C93280" w:rsidRPr="001F4B9B" w:rsidRDefault="00C93280" w:rsidP="004E7AF4">
      <w:pPr>
        <w:autoSpaceDE w:val="0"/>
        <w:autoSpaceDN w:val="0"/>
        <w:adjustRightInd w:val="0"/>
        <w:rPr>
          <w:rFonts w:ascii="Arial" w:eastAsia="TimesNewRomanPS" w:hAnsi="Arial" w:cs="Arial"/>
        </w:rPr>
      </w:pPr>
    </w:p>
    <w:p w:rsidR="00C93280" w:rsidRDefault="00C93280" w:rsidP="004E7AF4">
      <w:pPr>
        <w:autoSpaceDE w:val="0"/>
        <w:autoSpaceDN w:val="0"/>
        <w:adjustRightInd w:val="0"/>
        <w:ind w:left="360"/>
        <w:rPr>
          <w:rFonts w:ascii="Arial" w:hAnsi="Arial" w:cs="Arial"/>
        </w:rPr>
      </w:pPr>
      <w:r w:rsidRPr="001F4B9B">
        <w:rPr>
          <w:rFonts w:ascii="Arial" w:hAnsi="Arial" w:cs="Arial"/>
        </w:rPr>
        <w:t xml:space="preserve">The Contractor shall submit a </w:t>
      </w:r>
      <w:r>
        <w:rPr>
          <w:rFonts w:ascii="Arial" w:hAnsi="Arial" w:cs="Arial"/>
        </w:rPr>
        <w:t>structure backfill (</w:t>
      </w:r>
      <w:r>
        <w:rPr>
          <w:rFonts w:ascii="Arial" w:eastAsia="TimesNewRomanPS" w:hAnsi="Arial" w:cs="Arial"/>
        </w:rPr>
        <w:t>Flow-Fill</w:t>
      </w:r>
      <w:r>
        <w:rPr>
          <w:rFonts w:ascii="Arial" w:hAnsi="Arial" w:cs="Arial"/>
        </w:rPr>
        <w:t>)</w:t>
      </w:r>
      <w:r w:rsidRPr="001F4B9B">
        <w:rPr>
          <w:rFonts w:ascii="Arial" w:hAnsi="Arial" w:cs="Arial"/>
        </w:rPr>
        <w:t xml:space="preserve"> mix design for approval prior to placement.  The mix design shall include the following laboratory test data:</w:t>
      </w:r>
    </w:p>
    <w:p w:rsidR="00C93280" w:rsidRPr="001F4B9B" w:rsidRDefault="00C93280" w:rsidP="004E7AF4">
      <w:pPr>
        <w:autoSpaceDE w:val="0"/>
        <w:autoSpaceDN w:val="0"/>
        <w:adjustRightInd w:val="0"/>
        <w:ind w:left="360"/>
        <w:rPr>
          <w:rFonts w:ascii="Arial" w:hAnsi="Arial" w:cs="Arial"/>
        </w:rPr>
      </w:pPr>
    </w:p>
    <w:p w:rsidR="00C93280" w:rsidRPr="001F4B9B" w:rsidRDefault="00C93280"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ASTM C231, Air content</w:t>
      </w:r>
    </w:p>
    <w:p w:rsidR="00C93280" w:rsidRPr="001F4B9B" w:rsidRDefault="00C93280"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w:t>
      </w:r>
      <w:r>
        <w:rPr>
          <w:rFonts w:ascii="Arial" w:hAnsi="Arial" w:cs="Arial"/>
          <w:sz w:val="20"/>
          <w:szCs w:val="20"/>
        </w:rPr>
        <w:t>D6023</w:t>
      </w:r>
      <w:r w:rsidRPr="001F4B9B">
        <w:rPr>
          <w:rFonts w:ascii="Arial" w:hAnsi="Arial" w:cs="Arial"/>
          <w:sz w:val="20"/>
          <w:szCs w:val="20"/>
        </w:rPr>
        <w:t>, Unit Weight</w:t>
      </w:r>
    </w:p>
    <w:p w:rsidR="00C93280" w:rsidRPr="001F4B9B" w:rsidRDefault="00C93280"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C143, Slump or ASTM D6103 </w:t>
      </w:r>
      <w:r>
        <w:rPr>
          <w:rFonts w:ascii="Arial" w:hAnsi="Arial" w:cs="Arial"/>
          <w:sz w:val="20"/>
          <w:szCs w:val="20"/>
        </w:rPr>
        <w:t>flow consistency</w:t>
      </w:r>
    </w:p>
    <w:p w:rsidR="00C93280" w:rsidRPr="001F4B9B" w:rsidRDefault="00C93280"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D4832 </w:t>
      </w:r>
      <w:r>
        <w:rPr>
          <w:rFonts w:ascii="Arial" w:hAnsi="Arial" w:cs="Arial"/>
          <w:sz w:val="20"/>
          <w:szCs w:val="20"/>
        </w:rPr>
        <w:t xml:space="preserve">28-day </w:t>
      </w:r>
      <w:r w:rsidRPr="001F4B9B">
        <w:rPr>
          <w:rFonts w:ascii="Arial" w:hAnsi="Arial" w:cs="Arial"/>
          <w:sz w:val="20"/>
          <w:szCs w:val="20"/>
        </w:rPr>
        <w:t>Compressive Strength</w:t>
      </w:r>
    </w:p>
    <w:p w:rsidR="00C93280" w:rsidRPr="001F4B9B" w:rsidRDefault="00C93280"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Removability Modulus (R</w:t>
      </w:r>
      <w:r>
        <w:rPr>
          <w:rFonts w:ascii="Arial" w:hAnsi="Arial" w:cs="Arial"/>
          <w:sz w:val="20"/>
          <w:szCs w:val="20"/>
        </w:rPr>
        <w:t>M</w:t>
      </w:r>
      <w:r w:rsidRPr="001F4B9B">
        <w:rPr>
          <w:rFonts w:ascii="Arial" w:hAnsi="Arial" w:cs="Arial"/>
          <w:sz w:val="20"/>
          <w:szCs w:val="20"/>
        </w:rPr>
        <w:t>)</w:t>
      </w:r>
    </w:p>
    <w:p w:rsidR="00C93280" w:rsidRPr="001F4B9B" w:rsidRDefault="00C93280" w:rsidP="007A5BB8">
      <w:pPr>
        <w:autoSpaceDE w:val="0"/>
        <w:autoSpaceDN w:val="0"/>
        <w:adjustRightInd w:val="0"/>
        <w:rPr>
          <w:rFonts w:ascii="Arial" w:hAnsi="Arial" w:cs="Arial"/>
          <w:b/>
        </w:rPr>
      </w:pPr>
    </w:p>
    <w:p w:rsidR="00C93280" w:rsidRDefault="00C93280" w:rsidP="00831AA6">
      <w:pPr>
        <w:autoSpaceDE w:val="0"/>
        <w:autoSpaceDN w:val="0"/>
        <w:adjustRightInd w:val="0"/>
        <w:rPr>
          <w:rFonts w:ascii="Arial" w:hAnsi="Arial" w:cs="Arial"/>
        </w:rPr>
      </w:pPr>
    </w:p>
    <w:p w:rsidR="00C93280" w:rsidRPr="00256FAF" w:rsidRDefault="00C93280" w:rsidP="00A91634">
      <w:pPr>
        <w:autoSpaceDE w:val="0"/>
        <w:autoSpaceDN w:val="0"/>
        <w:adjustRightInd w:val="0"/>
        <w:rPr>
          <w:rFonts w:ascii="Arial" w:eastAsia="TimesNewRomanPS" w:hAnsi="Arial" w:cs="Arial"/>
        </w:rPr>
      </w:pPr>
      <w:r w:rsidRPr="00256FAF">
        <w:rPr>
          <w:rFonts w:ascii="Arial" w:hAnsi="Arial" w:cs="Arial"/>
          <w:bCs/>
        </w:rPr>
        <w:t>In subsection 206.03, delete the thirteenth through fifteenth paragraph</w:t>
      </w:r>
      <w:r>
        <w:rPr>
          <w:rFonts w:ascii="Arial" w:hAnsi="Arial" w:cs="Arial"/>
          <w:bCs/>
        </w:rPr>
        <w:t>s</w:t>
      </w:r>
      <w:r w:rsidRPr="00256FAF">
        <w:rPr>
          <w:rFonts w:ascii="Arial" w:hAnsi="Arial" w:cs="Arial"/>
          <w:bCs/>
        </w:rPr>
        <w:t xml:space="preserve"> and replace with the following:</w:t>
      </w:r>
    </w:p>
    <w:p w:rsidR="00C93280" w:rsidRPr="00A91634" w:rsidRDefault="00C93280" w:rsidP="00831AA6">
      <w:pPr>
        <w:autoSpaceDE w:val="0"/>
        <w:autoSpaceDN w:val="0"/>
        <w:adjustRightInd w:val="0"/>
        <w:rPr>
          <w:rFonts w:ascii="Arial" w:eastAsia="TimesNewRomanPS" w:hAnsi="Arial" w:cs="Arial"/>
        </w:rPr>
      </w:pPr>
    </w:p>
    <w:p w:rsidR="00C93280" w:rsidRPr="00A91634" w:rsidRDefault="00C93280" w:rsidP="00831AA6">
      <w:pPr>
        <w:autoSpaceDE w:val="0"/>
        <w:autoSpaceDN w:val="0"/>
        <w:adjustRightInd w:val="0"/>
        <w:rPr>
          <w:rFonts w:ascii="Arial" w:eastAsia="TimesNewRomanPS" w:hAnsi="Arial" w:cs="Arial"/>
        </w:rPr>
      </w:pPr>
      <w:r w:rsidRPr="00A91634">
        <w:rPr>
          <w:rFonts w:ascii="Arial" w:eastAsia="TimesNewRomanPS" w:hAnsi="Arial" w:cs="Arial"/>
        </w:rPr>
        <w:t>Compaction of structure backfill (</w:t>
      </w:r>
      <w:r>
        <w:rPr>
          <w:rFonts w:ascii="Arial" w:eastAsia="TimesNewRomanPS" w:hAnsi="Arial" w:cs="Arial"/>
        </w:rPr>
        <w:t>Flow-Fill</w:t>
      </w:r>
      <w:r w:rsidRPr="00A91634">
        <w:rPr>
          <w:rFonts w:ascii="Arial" w:eastAsia="TimesNewRomanPS" w:hAnsi="Arial" w:cs="Arial"/>
        </w:rPr>
        <w:t xml:space="preserve">) </w:t>
      </w:r>
      <w:r>
        <w:rPr>
          <w:rFonts w:ascii="Arial" w:eastAsia="TimesNewRomanPS" w:hAnsi="Arial" w:cs="Arial"/>
        </w:rPr>
        <w:t>shall not be performed</w:t>
      </w:r>
      <w:r w:rsidRPr="00A91634">
        <w:rPr>
          <w:rFonts w:ascii="Arial" w:eastAsia="TimesNewRomanPS" w:hAnsi="Arial" w:cs="Arial"/>
        </w:rPr>
        <w:t>.</w:t>
      </w:r>
    </w:p>
    <w:p w:rsidR="001E1F18" w:rsidRDefault="001E1F18" w:rsidP="001F4B9B">
      <w:pPr>
        <w:autoSpaceDE w:val="0"/>
        <w:autoSpaceDN w:val="0"/>
        <w:rPr>
          <w:rFonts w:ascii="Arial" w:eastAsia="TimesNewRomanPS" w:hAnsi="Arial" w:cs="Arial"/>
        </w:rPr>
      </w:pPr>
    </w:p>
    <w:p w:rsidR="00C93280" w:rsidRPr="00940C93" w:rsidRDefault="00C93280" w:rsidP="001F4B9B">
      <w:pPr>
        <w:autoSpaceDE w:val="0"/>
        <w:autoSpaceDN w:val="0"/>
        <w:rPr>
          <w:rFonts w:ascii="Arial" w:eastAsia="TimesNewRomanPS" w:hAnsi="Arial" w:cs="Arial"/>
        </w:rPr>
      </w:pPr>
      <w:r w:rsidRPr="001E1F18">
        <w:rPr>
          <w:rFonts w:ascii="Arial" w:eastAsia="TimesNewRomanPS" w:hAnsi="Arial" w:cs="Arial"/>
        </w:rPr>
        <w:t>The maximum layer thickness for structure backfill (Flow-Fill) shall be 3 feet unless otherwise approved by the Engineer.  The Contractor</w:t>
      </w:r>
      <w:r w:rsidRPr="00940C93">
        <w:rPr>
          <w:rFonts w:ascii="Arial" w:eastAsia="TimesNewRomanPS" w:hAnsi="Arial" w:cs="Arial"/>
        </w:rPr>
        <w:t xml:space="preserve"> shall not place structure backfill (</w:t>
      </w:r>
      <w:r>
        <w:rPr>
          <w:rFonts w:ascii="Arial" w:eastAsia="TimesNewRomanPS" w:hAnsi="Arial" w:cs="Arial"/>
        </w:rPr>
        <w:t>Flow-Fill</w:t>
      </w:r>
      <w:r w:rsidRPr="00940C93">
        <w:rPr>
          <w:rFonts w:ascii="Arial" w:eastAsia="TimesNewRomanPS" w:hAnsi="Arial" w:cs="Arial"/>
        </w:rPr>
        <w:t xml:space="preserve">) in layers that are too thick to cause damage to </w:t>
      </w:r>
      <w:r w:rsidRPr="00940C93">
        <w:rPr>
          <w:rFonts w:ascii="Arial" w:hAnsi="Arial" w:cs="Arial"/>
          <w:bCs/>
        </w:rPr>
        <w:t xml:space="preserve">culverts, pipes and other structures, or that will cause formwork or soil failures during placement. </w:t>
      </w:r>
      <w:r w:rsidRPr="00940C93">
        <w:rPr>
          <w:rFonts w:ascii="Arial" w:eastAsia="TimesNewRomanPS" w:hAnsi="Arial" w:cs="Arial"/>
        </w:rPr>
        <w:t xml:space="preserve"> Structure backfill (</w:t>
      </w:r>
      <w:r>
        <w:rPr>
          <w:rFonts w:ascii="Arial" w:eastAsia="TimesNewRomanPS" w:hAnsi="Arial" w:cs="Arial"/>
        </w:rPr>
        <w:t>Flow-Fill</w:t>
      </w:r>
      <w:r w:rsidRPr="00940C93">
        <w:rPr>
          <w:rFonts w:ascii="Arial" w:eastAsia="TimesNewRomanPS" w:hAnsi="Arial" w:cs="Arial"/>
        </w:rPr>
        <w:t>) shall have an indention diameter less than 3 inches and the indention shall be free of visible water when tested in accordance with ASTM D6024 by the Contractor prior to placing additional layers of structure backfill (</w:t>
      </w:r>
      <w:r>
        <w:rPr>
          <w:rFonts w:ascii="Arial" w:eastAsia="TimesNewRomanPS" w:hAnsi="Arial" w:cs="Arial"/>
        </w:rPr>
        <w:t>Flow-Fill</w:t>
      </w:r>
      <w:r w:rsidRPr="00940C93">
        <w:rPr>
          <w:rFonts w:ascii="Arial" w:eastAsia="TimesNewRomanPS" w:hAnsi="Arial" w:cs="Arial"/>
        </w:rPr>
        <w:t>).Testing structure backfill (</w:t>
      </w:r>
      <w:r>
        <w:rPr>
          <w:rFonts w:ascii="Arial" w:eastAsia="TimesNewRomanPS" w:hAnsi="Arial" w:cs="Arial"/>
        </w:rPr>
        <w:t>Flow-Fill</w:t>
      </w:r>
      <w:r w:rsidRPr="00940C93">
        <w:rPr>
          <w:rFonts w:ascii="Arial" w:eastAsia="TimesNewRomanPS" w:hAnsi="Arial" w:cs="Arial"/>
        </w:rPr>
        <w:t>) in accordance with ASTM D6024 will be witnessed by the Engineer.  Damage resulting from placing structure backfill (</w:t>
      </w:r>
      <w:r>
        <w:rPr>
          <w:rFonts w:ascii="Arial" w:eastAsia="TimesNewRomanPS" w:hAnsi="Arial" w:cs="Arial"/>
        </w:rPr>
        <w:t>Flow-Fill</w:t>
      </w:r>
      <w:r w:rsidRPr="00940C93">
        <w:rPr>
          <w:rFonts w:ascii="Arial" w:eastAsia="TimesNewRomanPS" w:hAnsi="Arial" w:cs="Arial"/>
        </w:rPr>
        <w:t>) in layers that are too thick or from not allowing sufficient time between placements of layers shall be repaired at the Contractor’s expense.</w:t>
      </w:r>
    </w:p>
    <w:p w:rsidR="00C93280" w:rsidRDefault="00C93280" w:rsidP="001F4B9B">
      <w:pPr>
        <w:autoSpaceDE w:val="0"/>
        <w:autoSpaceDN w:val="0"/>
        <w:rPr>
          <w:rFonts w:ascii="Arial" w:hAnsi="Arial" w:cs="Arial"/>
          <w:bCs/>
        </w:rPr>
      </w:pPr>
    </w:p>
    <w:p w:rsidR="00C93280" w:rsidRPr="00940C93" w:rsidRDefault="00C93280" w:rsidP="001F4B9B">
      <w:pPr>
        <w:autoSpaceDE w:val="0"/>
        <w:autoSpaceDN w:val="0"/>
        <w:rPr>
          <w:rFonts w:ascii="Arial" w:hAnsi="Arial" w:cs="Arial"/>
          <w:bCs/>
        </w:rPr>
      </w:pPr>
      <w:r w:rsidRPr="00940C93">
        <w:rPr>
          <w:rFonts w:ascii="Arial" w:hAnsi="Arial" w:cs="Arial"/>
          <w:bCs/>
        </w:rPr>
        <w:t xml:space="preserve">The Contractor shall secure culverts, pipes and other structures to prevent floating and displacement of these items during the placement of the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w:t>
      </w:r>
      <w:r w:rsidRPr="00940C93">
        <w:rPr>
          <w:rFonts w:ascii="Arial" w:hAnsi="Arial" w:cs="Arial"/>
          <w:bCs/>
        </w:rPr>
        <w:t>.</w:t>
      </w:r>
    </w:p>
    <w:p w:rsidR="00C93280" w:rsidRDefault="00C93280" w:rsidP="00831AA6">
      <w:pPr>
        <w:autoSpaceDE w:val="0"/>
        <w:autoSpaceDN w:val="0"/>
        <w:adjustRightInd w:val="0"/>
        <w:rPr>
          <w:rFonts w:ascii="Arial" w:eastAsia="TimesNewRomanPS" w:hAnsi="Arial" w:cs="Arial"/>
        </w:rPr>
      </w:pPr>
    </w:p>
    <w:p w:rsidR="00C93280" w:rsidRDefault="00C93280" w:rsidP="00831AA6">
      <w:pPr>
        <w:autoSpaceDE w:val="0"/>
        <w:autoSpaceDN w:val="0"/>
        <w:adjustRightInd w:val="0"/>
        <w:rPr>
          <w:rFonts w:ascii="Arial" w:eastAsia="TimesNewRomanPS" w:hAnsi="Arial" w:cs="Arial"/>
        </w:rPr>
      </w:pPr>
      <w:r>
        <w:rPr>
          <w:rFonts w:ascii="Arial" w:eastAsia="TimesNewRomanPS" w:hAnsi="Arial" w:cs="Arial"/>
        </w:rPr>
        <w:t xml:space="preserve">Prior to the placement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the Contractor shall sample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in accordance with ASTM D5971.  The Contractor shall test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unit weight in accordance with ASTM D6023.  The Contractor shall test the</w:t>
      </w:r>
      <w:r w:rsidRPr="00094720">
        <w:rPr>
          <w:rFonts w:ascii="Arial" w:eastAsia="TimesNewRomanPS" w:hAnsi="Arial" w:cs="Arial"/>
        </w:rPr>
        <w:t xml:space="preserv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slump in accordance with ASTM C143 or flow consistency according to ASTM D6103.</w:t>
      </w:r>
    </w:p>
    <w:p w:rsidR="00C93280" w:rsidRDefault="00C93280" w:rsidP="0061110F">
      <w:pPr>
        <w:autoSpaceDE w:val="0"/>
        <w:autoSpaceDN w:val="0"/>
        <w:adjustRightInd w:val="0"/>
        <w:rPr>
          <w:rFonts w:ascii="Arial" w:eastAsia="TimesNewRomanPS" w:hAnsi="Arial" w:cs="Arial"/>
        </w:rPr>
      </w:pPr>
    </w:p>
    <w:p w:rsidR="00C93280" w:rsidRDefault="00C93280" w:rsidP="0061110F">
      <w:pPr>
        <w:autoSpaceDE w:val="0"/>
        <w:autoSpaceDN w:val="0"/>
        <w:adjustRightInd w:val="0"/>
        <w:rPr>
          <w:rFonts w:ascii="Arial" w:eastAsia="TimesNewRomanPS" w:hAnsi="Arial" w:cs="Arial"/>
        </w:rPr>
      </w:pPr>
      <w:r>
        <w:rPr>
          <w:rFonts w:ascii="Arial" w:eastAsia="TimesNewRomanPS" w:hAnsi="Arial" w:cs="Arial"/>
        </w:rPr>
        <w:t xml:space="preserve">The Contractor shall sample and test the first three loads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each placement and then randomly once every 50 cubic yards.  Sampling and testing will be witnessed by the Engineer</w:t>
      </w:r>
    </w:p>
    <w:p w:rsidR="00C93280" w:rsidRDefault="00C93280" w:rsidP="00831AA6">
      <w:pPr>
        <w:autoSpaceDE w:val="0"/>
        <w:autoSpaceDN w:val="0"/>
        <w:adjustRightInd w:val="0"/>
        <w:rPr>
          <w:rFonts w:ascii="Arial" w:eastAsia="TimesNewRomanPS" w:hAnsi="Arial" w:cs="Arial"/>
        </w:rPr>
      </w:pPr>
    </w:p>
    <w:p w:rsidR="00C93280" w:rsidRPr="00A91634" w:rsidRDefault="00C93280" w:rsidP="00831AA6">
      <w:pPr>
        <w:autoSpaceDE w:val="0"/>
        <w:autoSpaceDN w:val="0"/>
        <w:adjustRightInd w:val="0"/>
        <w:rPr>
          <w:rFonts w:ascii="Arial" w:eastAsia="TimesNewRomanPS" w:hAnsi="Arial" w:cs="Arial"/>
        </w:rPr>
      </w:pPr>
      <w:r>
        <w:rPr>
          <w:rFonts w:ascii="Arial" w:eastAsia="TimesNewRomanPS" w:hAnsi="Arial" w:cs="Arial"/>
        </w:rPr>
        <w:t xml:space="preserve">When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is </w:t>
      </w:r>
      <w:r>
        <w:rPr>
          <w:rFonts w:ascii="Arial" w:hAnsi="Arial" w:cs="Arial"/>
        </w:rPr>
        <w:t xml:space="preserve">placed in areas that require future excavation, the unit weight of the placed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hAnsi="Arial" w:cs="Arial"/>
        </w:rPr>
        <w:t xml:space="preserve"> shall not exceed the unit weight of the approved mix design by more than 2.0 </w:t>
      </w:r>
      <w:proofErr w:type="spellStart"/>
      <w:r>
        <w:rPr>
          <w:rFonts w:ascii="Arial" w:hAnsi="Arial" w:cs="Arial"/>
        </w:rPr>
        <w:t>pcf</w:t>
      </w:r>
      <w:proofErr w:type="spellEnd"/>
      <w:r>
        <w:rPr>
          <w:rFonts w:ascii="Arial" w:hAnsi="Arial" w:cs="Arial"/>
        </w:rPr>
        <w:t>.</w:t>
      </w:r>
    </w:p>
    <w:p w:rsidR="00C93280" w:rsidRPr="00A91634" w:rsidRDefault="00C93280" w:rsidP="00A9576D">
      <w:pPr>
        <w:autoSpaceDE w:val="0"/>
        <w:autoSpaceDN w:val="0"/>
        <w:adjustRightInd w:val="0"/>
        <w:rPr>
          <w:rFonts w:ascii="Arial" w:eastAsia="TimesNewRomanPS" w:hAnsi="Arial" w:cs="Arial"/>
        </w:rPr>
      </w:pPr>
    </w:p>
    <w:p w:rsidR="00C93280" w:rsidRPr="00940C93" w:rsidRDefault="00C93280" w:rsidP="00A9576D">
      <w:pPr>
        <w:autoSpaceDE w:val="0"/>
        <w:autoSpaceDN w:val="0"/>
        <w:rPr>
          <w:rFonts w:ascii="Arial" w:hAnsi="Arial" w:cs="Arial"/>
          <w:bCs/>
        </w:rPr>
      </w:pP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 xml:space="preserve">shall not be allowed to freeze during placement and until it has set sufficiently according to ASTM D6024.  Frozen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shall be removed and replaced at the Contractor’s expense.</w:t>
      </w:r>
    </w:p>
    <w:p w:rsidR="00C93280" w:rsidRDefault="00C93280" w:rsidP="00A9576D">
      <w:pPr>
        <w:autoSpaceDE w:val="0"/>
        <w:autoSpaceDN w:val="0"/>
        <w:adjustRightInd w:val="0"/>
        <w:rPr>
          <w:rFonts w:ascii="Arial" w:eastAsia="TimesNewRomanPS" w:hAnsi="Arial" w:cs="Arial"/>
        </w:rPr>
      </w:pPr>
    </w:p>
    <w:p w:rsidR="00AA36CC" w:rsidRDefault="00C93280" w:rsidP="00E81775">
      <w:pPr>
        <w:autoSpaceDE w:val="0"/>
        <w:autoSpaceDN w:val="0"/>
        <w:adjustRightInd w:val="0"/>
      </w:pPr>
      <w:r w:rsidRPr="00A91634">
        <w:rPr>
          <w:rFonts w:ascii="Arial" w:eastAsia="TimesNewRomanPS" w:hAnsi="Arial" w:cs="Arial"/>
        </w:rPr>
        <w:t>When the Contractor substitutes Structure Backfill (</w:t>
      </w:r>
      <w:r>
        <w:rPr>
          <w:rFonts w:ascii="Arial" w:eastAsia="TimesNewRomanPS" w:hAnsi="Arial" w:cs="Arial"/>
        </w:rPr>
        <w:t>Flow-Fill</w:t>
      </w:r>
      <w:r w:rsidRPr="00A91634">
        <w:rPr>
          <w:rFonts w:ascii="Arial" w:eastAsia="TimesNewRomanPS" w:hAnsi="Arial" w:cs="Arial"/>
        </w:rPr>
        <w:t>) for Structure Backfill (Class 1) or (Class 2), the trench width may be reduced to provide a minimum 6 inch clearance between the outside diameter of the culvert and the trench wall.</w:t>
      </w:r>
    </w:p>
    <w:sectPr w:rsidR="00AA36CC" w:rsidSect="00903A66">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4F" w:rsidRDefault="007A5B4F" w:rsidP="00F878BD">
      <w:r>
        <w:separator/>
      </w:r>
    </w:p>
  </w:endnote>
  <w:endnote w:type="continuationSeparator" w:id="0">
    <w:p w:rsidR="007A5B4F" w:rsidRDefault="007A5B4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4F" w:rsidRDefault="007A5B4F" w:rsidP="00F878BD">
      <w:r>
        <w:separator/>
      </w:r>
    </w:p>
  </w:footnote>
  <w:footnote w:type="continuationSeparator" w:id="0">
    <w:p w:rsidR="007A5B4F" w:rsidRDefault="007A5B4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rsidP="00E81775">
    <w:pPr>
      <w:autoSpaceDE w:val="0"/>
      <w:autoSpaceDN w:val="0"/>
      <w:adjustRightInd w:val="0"/>
      <w:jc w:val="right"/>
      <w:rPr>
        <w:rFonts w:ascii="Arial" w:hAnsi="Arial" w:cs="Arial"/>
      </w:rPr>
    </w:pPr>
    <w:r>
      <w:rPr>
        <w:rFonts w:ascii="Arial" w:hAnsi="Arial" w:cs="Arial"/>
      </w:rPr>
      <w:t>April 26, 2012</w:t>
    </w:r>
  </w:p>
  <w:p w:rsidR="001E1F18" w:rsidRDefault="001E1F18" w:rsidP="001E1F18">
    <w:pPr>
      <w:autoSpaceDE w:val="0"/>
      <w:autoSpaceDN w:val="0"/>
      <w:adjustRightInd w:val="0"/>
      <w:jc w:val="center"/>
      <w:rPr>
        <w:rFonts w:ascii="Arial" w:hAnsi="Arial" w:cs="Arial"/>
        <w:noProof/>
      </w:rPr>
    </w:pPr>
    <w:r w:rsidRPr="001E1F18">
      <w:rPr>
        <w:rFonts w:ascii="Arial" w:hAnsi="Arial" w:cs="Arial"/>
      </w:rPr>
      <w:fldChar w:fldCharType="begin"/>
    </w:r>
    <w:r w:rsidRPr="001E1F18">
      <w:rPr>
        <w:rFonts w:ascii="Arial" w:hAnsi="Arial" w:cs="Arial"/>
      </w:rPr>
      <w:instrText xml:space="preserve"> PAGE   \* MERGEFORMAT </w:instrText>
    </w:r>
    <w:r w:rsidRPr="001E1F18">
      <w:rPr>
        <w:rFonts w:ascii="Arial" w:hAnsi="Arial" w:cs="Arial"/>
      </w:rPr>
      <w:fldChar w:fldCharType="separate"/>
    </w:r>
    <w:r w:rsidR="00E81775">
      <w:rPr>
        <w:rFonts w:ascii="Arial" w:hAnsi="Arial" w:cs="Arial"/>
        <w:noProof/>
      </w:rPr>
      <w:t>1</w:t>
    </w:r>
    <w:r w:rsidRPr="001E1F18">
      <w:rPr>
        <w:rFonts w:ascii="Arial" w:hAnsi="Arial" w:cs="Arial"/>
        <w:noProof/>
      </w:rPr>
      <w:fldChar w:fldCharType="end"/>
    </w:r>
  </w:p>
  <w:p w:rsidR="001E1F18" w:rsidRPr="0032617E" w:rsidRDefault="001E1F18" w:rsidP="001E1F18">
    <w:pPr>
      <w:autoSpaceDE w:val="0"/>
      <w:autoSpaceDN w:val="0"/>
      <w:adjustRightInd w:val="0"/>
      <w:jc w:val="center"/>
      <w:rPr>
        <w:rFonts w:ascii="Arial" w:hAnsi="Arial" w:cs="Arial"/>
      </w:rPr>
    </w:pPr>
    <w:r w:rsidRPr="0032617E">
      <w:rPr>
        <w:rFonts w:ascii="Arial" w:hAnsi="Arial" w:cs="Arial"/>
      </w:rPr>
      <w:t>REVISION OF SECTION 206</w:t>
    </w:r>
    <w:r w:rsidRPr="0032617E">
      <w:rPr>
        <w:rFonts w:ascii="Arial" w:hAnsi="Arial" w:cs="Arial"/>
      </w:rPr>
      <w:br/>
    </w:r>
    <w:r>
      <w:rPr>
        <w:rFonts w:ascii="Arial" w:hAnsi="Arial" w:cs="Arial"/>
      </w:rPr>
      <w:t>STRUCTURE BACKFILL (FLOW-FILL)</w:t>
    </w:r>
  </w:p>
  <w:p w:rsidR="00726A77" w:rsidRPr="00E81775" w:rsidRDefault="00726A77"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66B98"/>
    <w:rsid w:val="00070380"/>
    <w:rsid w:val="000E6D5C"/>
    <w:rsid w:val="001C3F85"/>
    <w:rsid w:val="001E1F18"/>
    <w:rsid w:val="001E23D0"/>
    <w:rsid w:val="00295B0D"/>
    <w:rsid w:val="002C75B4"/>
    <w:rsid w:val="00361A75"/>
    <w:rsid w:val="003C3F1C"/>
    <w:rsid w:val="003D719D"/>
    <w:rsid w:val="00441D2F"/>
    <w:rsid w:val="00450565"/>
    <w:rsid w:val="004B09DE"/>
    <w:rsid w:val="0055425B"/>
    <w:rsid w:val="0056039E"/>
    <w:rsid w:val="00572D1D"/>
    <w:rsid w:val="00676FBC"/>
    <w:rsid w:val="00696FD7"/>
    <w:rsid w:val="0069754B"/>
    <w:rsid w:val="006D08CC"/>
    <w:rsid w:val="00726A77"/>
    <w:rsid w:val="007735BF"/>
    <w:rsid w:val="007854AB"/>
    <w:rsid w:val="007867D0"/>
    <w:rsid w:val="007A5B4F"/>
    <w:rsid w:val="007B312E"/>
    <w:rsid w:val="00814549"/>
    <w:rsid w:val="00870736"/>
    <w:rsid w:val="008848E4"/>
    <w:rsid w:val="008D1B3D"/>
    <w:rsid w:val="008D4DE9"/>
    <w:rsid w:val="00903A66"/>
    <w:rsid w:val="00922E72"/>
    <w:rsid w:val="00973DFA"/>
    <w:rsid w:val="00987248"/>
    <w:rsid w:val="009F3FE4"/>
    <w:rsid w:val="00A14275"/>
    <w:rsid w:val="00A7142E"/>
    <w:rsid w:val="00A73269"/>
    <w:rsid w:val="00A76618"/>
    <w:rsid w:val="00A92397"/>
    <w:rsid w:val="00AA36CC"/>
    <w:rsid w:val="00AC7AF4"/>
    <w:rsid w:val="00B03922"/>
    <w:rsid w:val="00B25927"/>
    <w:rsid w:val="00B91FF1"/>
    <w:rsid w:val="00C2535B"/>
    <w:rsid w:val="00C634F4"/>
    <w:rsid w:val="00C93280"/>
    <w:rsid w:val="00D16104"/>
    <w:rsid w:val="00DE7DCD"/>
    <w:rsid w:val="00E647BB"/>
    <w:rsid w:val="00E81775"/>
    <w:rsid w:val="00E85CC9"/>
    <w:rsid w:val="00EA7A41"/>
    <w:rsid w:val="00EF1243"/>
    <w:rsid w:val="00F605A4"/>
    <w:rsid w:val="00F878BD"/>
    <w:rsid w:val="00F94D92"/>
    <w:rsid w:val="00FE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B312E"/>
    <w:rPr>
      <w:rFonts w:ascii="Tahoma" w:hAnsi="Tahoma" w:cs="Tahoma"/>
      <w:sz w:val="16"/>
      <w:szCs w:val="16"/>
    </w:rPr>
  </w:style>
  <w:style w:type="character" w:customStyle="1" w:styleId="BalloonTextChar">
    <w:name w:val="Balloon Text Char"/>
    <w:link w:val="BalloonText"/>
    <w:rsid w:val="007B312E"/>
    <w:rPr>
      <w:rFonts w:ascii="Tahoma" w:hAnsi="Tahoma" w:cs="Tahoma"/>
      <w:sz w:val="16"/>
      <w:szCs w:val="16"/>
    </w:rPr>
  </w:style>
  <w:style w:type="character" w:styleId="CommentReference">
    <w:name w:val="annotation reference"/>
    <w:rsid w:val="007B312E"/>
    <w:rPr>
      <w:sz w:val="16"/>
      <w:szCs w:val="16"/>
    </w:rPr>
  </w:style>
  <w:style w:type="paragraph" w:styleId="CommentText">
    <w:name w:val="annotation text"/>
    <w:basedOn w:val="Normal"/>
    <w:link w:val="CommentTextChar"/>
    <w:rsid w:val="007B312E"/>
  </w:style>
  <w:style w:type="character" w:customStyle="1" w:styleId="CommentTextChar">
    <w:name w:val="Comment Text Char"/>
    <w:basedOn w:val="DefaultParagraphFont"/>
    <w:link w:val="CommentText"/>
    <w:rsid w:val="007B312E"/>
  </w:style>
  <w:style w:type="paragraph" w:styleId="CommentSubject">
    <w:name w:val="annotation subject"/>
    <w:basedOn w:val="CommentText"/>
    <w:next w:val="CommentText"/>
    <w:link w:val="CommentSubjectChar"/>
    <w:rsid w:val="007B312E"/>
    <w:rPr>
      <w:b/>
      <w:bCs/>
    </w:rPr>
  </w:style>
  <w:style w:type="character" w:customStyle="1" w:styleId="CommentSubjectChar">
    <w:name w:val="Comment Subject Char"/>
    <w:link w:val="CommentSubject"/>
    <w:rsid w:val="007B312E"/>
    <w:rPr>
      <w:b/>
      <w:bCs/>
    </w:rPr>
  </w:style>
  <w:style w:type="paragraph" w:styleId="Footer">
    <w:name w:val="footer"/>
    <w:basedOn w:val="Normal"/>
    <w:link w:val="FooterChar"/>
    <w:rsid w:val="001E1F18"/>
    <w:pPr>
      <w:tabs>
        <w:tab w:val="center" w:pos="4680"/>
        <w:tab w:val="right" w:pos="9360"/>
      </w:tabs>
    </w:pPr>
  </w:style>
  <w:style w:type="character" w:customStyle="1" w:styleId="FooterChar">
    <w:name w:val="Footer Char"/>
    <w:basedOn w:val="DefaultParagraphFont"/>
    <w:link w:val="Footer"/>
    <w:rsid w:val="001E1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2012-04-24T20:49:00Z</dcterms:created>
  <dcterms:modified xsi:type="dcterms:W3CDTF">2012-04-24T20:49:00Z</dcterms:modified>
</cp:coreProperties>
</file>