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00" w:rsidRDefault="00534900" w:rsidP="00193879">
      <w:r>
        <w:t xml:space="preserve">Sample Project Special Provision: </w:t>
      </w:r>
      <w:r w:rsidR="00193879">
        <w:t>106</w:t>
      </w:r>
      <w:r>
        <w:t>opm</w:t>
      </w:r>
    </w:p>
    <w:p w:rsidR="00534900" w:rsidRDefault="00534900" w:rsidP="008C37E4">
      <w:pPr>
        <w:tabs>
          <w:tab w:val="right" w:pos="8640"/>
        </w:tabs>
        <w:rPr>
          <w:spacing w:val="-5"/>
          <w:sz w:val="22"/>
          <w:szCs w:val="22"/>
        </w:rPr>
      </w:pPr>
      <w:r>
        <w:t xml:space="preserve">Issuance Date: </w:t>
      </w:r>
      <w:r w:rsidR="00193879">
        <w:t>12</w:t>
      </w:r>
      <w:r>
        <w:t>/</w:t>
      </w:r>
      <w:r w:rsidR="00193879">
        <w:t>29</w:t>
      </w:r>
      <w:r>
        <w:t>/2011</w:t>
      </w:r>
      <w:r>
        <w:rPr>
          <w:sz w:val="22"/>
        </w:rPr>
        <w:br w:type="textWrapping" w:clear="all"/>
      </w:r>
      <w:r>
        <w:rPr>
          <w:sz w:val="22"/>
        </w:rPr>
        <w:tab/>
      </w:r>
    </w:p>
    <w:p w:rsidR="00534900" w:rsidRPr="00760887" w:rsidRDefault="00534900" w:rsidP="0054561C">
      <w:pPr>
        <w:pStyle w:val="CenterTitle"/>
        <w:widowControl w:val="0"/>
        <w:rPr>
          <w:spacing w:val="-5"/>
          <w:sz w:val="22"/>
          <w:szCs w:val="22"/>
        </w:rPr>
      </w:pPr>
      <w:r w:rsidRPr="00760887">
        <w:rPr>
          <w:spacing w:val="-5"/>
          <w:sz w:val="22"/>
          <w:szCs w:val="22"/>
        </w:rPr>
        <w:t>1</w:t>
      </w:r>
    </w:p>
    <w:p w:rsidR="00534900" w:rsidRPr="00760887" w:rsidRDefault="00534900" w:rsidP="0054561C">
      <w:pPr>
        <w:pStyle w:val="CenterTitle"/>
        <w:widowControl w:val="0"/>
        <w:rPr>
          <w:spacing w:val="-5"/>
          <w:sz w:val="22"/>
          <w:szCs w:val="22"/>
        </w:rPr>
      </w:pPr>
      <w:r w:rsidRPr="00760887">
        <w:rPr>
          <w:spacing w:val="-5"/>
          <w:sz w:val="22"/>
          <w:szCs w:val="22"/>
        </w:rPr>
        <w:t>REVISION OF SECTIONS 106, 601 &amp; 703</w:t>
      </w:r>
    </w:p>
    <w:p w:rsidR="00534900" w:rsidRPr="00760887" w:rsidRDefault="004E6ECF" w:rsidP="0054561C">
      <w:pPr>
        <w:widowControl w:val="0"/>
        <w:jc w:val="center"/>
        <w:rPr>
          <w:spacing w:val="-5"/>
          <w:sz w:val="22"/>
          <w:szCs w:val="22"/>
        </w:rPr>
      </w:pPr>
      <w:r w:rsidRPr="00760887">
        <w:rPr>
          <w:spacing w:val="-5"/>
          <w:sz w:val="22"/>
          <w:szCs w:val="22"/>
        </w:rPr>
        <w:t xml:space="preserve">OPTIMIZED </w:t>
      </w:r>
      <w:r>
        <w:rPr>
          <w:spacing w:val="-5"/>
          <w:sz w:val="22"/>
          <w:szCs w:val="22"/>
        </w:rPr>
        <w:t>PORTLAND CEMENT CONCRETE PAVEMENT</w:t>
      </w:r>
      <w:r w:rsidRPr="00760887">
        <w:rPr>
          <w:spacing w:val="-5"/>
          <w:sz w:val="22"/>
          <w:szCs w:val="22"/>
        </w:rPr>
        <w:t xml:space="preserve"> MIX</w:t>
      </w:r>
    </w:p>
    <w:p w:rsidR="00534900" w:rsidRPr="00760887" w:rsidRDefault="00534900" w:rsidP="00113844">
      <w:pPr>
        <w:rPr>
          <w:spacing w:val="-5"/>
          <w:sz w:val="22"/>
          <w:szCs w:val="22"/>
        </w:rPr>
      </w:pPr>
    </w:p>
    <w:p w:rsidR="00534900" w:rsidRPr="00760887" w:rsidRDefault="00534900" w:rsidP="00113844">
      <w:pPr>
        <w:rPr>
          <w:b/>
          <w:sz w:val="22"/>
          <w:szCs w:val="22"/>
        </w:rPr>
      </w:pPr>
      <w:r w:rsidRPr="00760887">
        <w:rPr>
          <w:spacing w:val="-5"/>
          <w:sz w:val="22"/>
          <w:szCs w:val="22"/>
        </w:rPr>
        <w:t>Sections 106, 601 and 703 of the Standard Specifications are hereby revised for this project as follows:</w:t>
      </w:r>
    </w:p>
    <w:p w:rsidR="00534900" w:rsidRPr="00760887" w:rsidRDefault="00534900" w:rsidP="00113844">
      <w:pPr>
        <w:rPr>
          <w:b/>
          <w:sz w:val="22"/>
          <w:szCs w:val="22"/>
        </w:rPr>
      </w:pPr>
    </w:p>
    <w:p w:rsidR="00534900" w:rsidRPr="00760887" w:rsidRDefault="00534900" w:rsidP="00113844">
      <w:pPr>
        <w:rPr>
          <w:sz w:val="22"/>
          <w:szCs w:val="22"/>
        </w:rPr>
      </w:pPr>
      <w:r w:rsidRPr="00760887">
        <w:rPr>
          <w:sz w:val="22"/>
          <w:szCs w:val="22"/>
        </w:rPr>
        <w:t>Subsection 106.06 (a) shall include the following:</w:t>
      </w:r>
    </w:p>
    <w:p w:rsidR="00534900" w:rsidRPr="00760887" w:rsidRDefault="00534900" w:rsidP="00113844">
      <w:pPr>
        <w:rPr>
          <w:sz w:val="22"/>
          <w:szCs w:val="22"/>
        </w:rPr>
      </w:pPr>
    </w:p>
    <w:p w:rsidR="00534900" w:rsidRPr="00760887" w:rsidRDefault="00534900" w:rsidP="00534900">
      <w:pPr>
        <w:pStyle w:val="ListParagraph"/>
        <w:numPr>
          <w:ilvl w:val="0"/>
          <w:numId w:val="7"/>
        </w:numPr>
        <w:rPr>
          <w:rFonts w:ascii="Times New Roman" w:hAnsi="Times New Roman" w:cs="Times New Roman"/>
          <w:sz w:val="22"/>
          <w:szCs w:val="22"/>
        </w:rPr>
      </w:pPr>
      <w:r w:rsidRPr="00760887">
        <w:rPr>
          <w:rFonts w:ascii="Times New Roman" w:hAnsi="Times New Roman" w:cs="Times New Roman"/>
          <w:sz w:val="22"/>
          <w:szCs w:val="22"/>
        </w:rPr>
        <w:t>Optimized Gradation. The Contractor will be required to perform quality control testing of the combined aggregate gradation (CAG) when an Optimized Gradation (OG) is used for Class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When the aggregates are blended prior to charging the mixing drum, the blended aggregate shall be sampled and tested.  When the aggregates are batched individually, a sample from each aggregate shall be tested and the combined gradation shall be calculated.</w:t>
      </w:r>
    </w:p>
    <w:p w:rsidR="00534900" w:rsidRPr="00760887" w:rsidRDefault="00534900" w:rsidP="00113844">
      <w:pPr>
        <w:rPr>
          <w:sz w:val="22"/>
          <w:szCs w:val="22"/>
        </w:rPr>
      </w:pPr>
    </w:p>
    <w:p w:rsidR="00534900" w:rsidRPr="00760887" w:rsidRDefault="00534900" w:rsidP="002B1F4B">
      <w:pPr>
        <w:ind w:left="360"/>
        <w:rPr>
          <w:sz w:val="22"/>
          <w:szCs w:val="22"/>
        </w:rPr>
      </w:pPr>
      <w:r w:rsidRPr="00760887">
        <w:rPr>
          <w:sz w:val="22"/>
          <w:szCs w:val="22"/>
        </w:rPr>
        <w:t>The Department will perform one gradation each day that may be a split of one of the three daily QC samples. This data will not be used to determine acceptability of the material but as information only.</w:t>
      </w:r>
    </w:p>
    <w:p w:rsidR="00534900" w:rsidRPr="00760887" w:rsidRDefault="00534900" w:rsidP="002B1F4B">
      <w:pPr>
        <w:ind w:left="360"/>
        <w:rPr>
          <w:sz w:val="22"/>
          <w:szCs w:val="22"/>
        </w:rPr>
      </w:pPr>
    </w:p>
    <w:p w:rsidR="00534900" w:rsidRPr="00760887" w:rsidRDefault="00534900" w:rsidP="002B1F4B">
      <w:pPr>
        <w:ind w:left="360"/>
        <w:rPr>
          <w:sz w:val="22"/>
          <w:szCs w:val="22"/>
        </w:rPr>
      </w:pPr>
      <w:r w:rsidRPr="00760887">
        <w:rPr>
          <w:sz w:val="22"/>
          <w:szCs w:val="22"/>
        </w:rPr>
        <w:t xml:space="preserve">The </w:t>
      </w:r>
      <w:r w:rsidR="00B27FFE">
        <w:rPr>
          <w:sz w:val="22"/>
          <w:szCs w:val="22"/>
        </w:rPr>
        <w:t xml:space="preserve">Contractor’s </w:t>
      </w:r>
      <w:r w:rsidRPr="00760887">
        <w:rPr>
          <w:sz w:val="22"/>
          <w:szCs w:val="22"/>
        </w:rPr>
        <w:t>gradation test data will be used to calculate the coarseness factor (CF) and workability factor (WF) and must plot within the workability box. No corrective action shall be required if the data falls within the workability box.</w:t>
      </w:r>
    </w:p>
    <w:p w:rsidR="00534900" w:rsidRPr="00760887" w:rsidRDefault="00534900" w:rsidP="002B1F4B">
      <w:pPr>
        <w:ind w:left="360"/>
        <w:rPr>
          <w:sz w:val="22"/>
          <w:szCs w:val="22"/>
        </w:rPr>
      </w:pPr>
    </w:p>
    <w:p w:rsidR="00534900" w:rsidRPr="00760887" w:rsidRDefault="00534900" w:rsidP="002B1F4B">
      <w:pPr>
        <w:ind w:left="360"/>
        <w:rPr>
          <w:sz w:val="22"/>
          <w:szCs w:val="22"/>
        </w:rPr>
      </w:pPr>
      <w:r w:rsidRPr="00760887">
        <w:rPr>
          <w:sz w:val="22"/>
          <w:szCs w:val="22"/>
        </w:rPr>
        <w:t xml:space="preserve">When </w:t>
      </w:r>
      <w:r w:rsidR="00193879">
        <w:rPr>
          <w:sz w:val="22"/>
          <w:szCs w:val="22"/>
        </w:rPr>
        <w:t xml:space="preserve">the Contractor’s </w:t>
      </w:r>
      <w:r w:rsidRPr="00760887">
        <w:rPr>
          <w:sz w:val="22"/>
          <w:szCs w:val="22"/>
        </w:rPr>
        <w:t xml:space="preserve">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w:t>
      </w:r>
      <w:r>
        <w:rPr>
          <w:sz w:val="22"/>
          <w:szCs w:val="22"/>
        </w:rPr>
        <w:t>E</w:t>
      </w:r>
      <w:r w:rsidRPr="00760887">
        <w:rPr>
          <w:sz w:val="22"/>
          <w:szCs w:val="22"/>
        </w:rPr>
        <w:t>ngineer for approval prior to resuming production.</w:t>
      </w:r>
    </w:p>
    <w:p w:rsidR="00534900" w:rsidRPr="00760887" w:rsidRDefault="00534900" w:rsidP="002B1F4B">
      <w:pPr>
        <w:ind w:left="360"/>
        <w:rPr>
          <w:sz w:val="22"/>
          <w:szCs w:val="22"/>
        </w:rPr>
      </w:pPr>
    </w:p>
    <w:p w:rsidR="00534900" w:rsidRPr="00760887" w:rsidRDefault="00534900" w:rsidP="002B1F4B">
      <w:pPr>
        <w:ind w:left="360"/>
        <w:rPr>
          <w:sz w:val="22"/>
          <w:szCs w:val="22"/>
        </w:rPr>
      </w:pPr>
      <w:r w:rsidRPr="00760887">
        <w:rPr>
          <w:sz w:val="22"/>
          <w:szCs w:val="22"/>
        </w:rPr>
        <w:t>Upon being allowed to resume production</w:t>
      </w:r>
      <w:r>
        <w:rPr>
          <w:sz w:val="22"/>
          <w:szCs w:val="22"/>
        </w:rPr>
        <w:t>,</w:t>
      </w:r>
      <w:r w:rsidRPr="00760887">
        <w:rPr>
          <w:sz w:val="22"/>
          <w:szCs w:val="22"/>
        </w:rPr>
        <w:t xml:space="preserve"> the Contractor shall follow the daily sampling frequency. If the next two consecutive gradation tests indicate the CF and WF plot inside the workability box, the </w:t>
      </w:r>
      <w:r>
        <w:rPr>
          <w:sz w:val="22"/>
          <w:szCs w:val="22"/>
        </w:rPr>
        <w:t>C</w:t>
      </w:r>
      <w:r w:rsidRPr="00760887">
        <w:rPr>
          <w:sz w:val="22"/>
          <w:szCs w:val="22"/>
        </w:rPr>
        <w:t>ontractor may continue production. If the first two aggregate samples do not have CF and WF that fall inside the workability box, production shall be suspended.</w:t>
      </w:r>
    </w:p>
    <w:p w:rsidR="00534900" w:rsidRPr="00760887" w:rsidRDefault="00534900" w:rsidP="002B1F4B">
      <w:pPr>
        <w:ind w:left="360"/>
        <w:rPr>
          <w:sz w:val="22"/>
          <w:szCs w:val="22"/>
        </w:rPr>
      </w:pPr>
    </w:p>
    <w:p w:rsidR="00534900" w:rsidRPr="00760887" w:rsidRDefault="00534900" w:rsidP="002B1F4B">
      <w:pPr>
        <w:ind w:left="360"/>
        <w:rPr>
          <w:sz w:val="22"/>
          <w:szCs w:val="22"/>
        </w:rPr>
      </w:pPr>
      <w:r w:rsidRPr="00760887">
        <w:rPr>
          <w:sz w:val="22"/>
          <w:szCs w:val="22"/>
        </w:rPr>
        <w:t>Prior to resuming production the Contractor shall be required to sample the individual aggregate stockpiles at two or more location</w:t>
      </w:r>
      <w:r>
        <w:rPr>
          <w:sz w:val="22"/>
          <w:szCs w:val="22"/>
        </w:rPr>
        <w:t>s</w:t>
      </w:r>
      <w:r w:rsidRPr="00760887">
        <w:rPr>
          <w:sz w:val="22"/>
          <w:szCs w:val="22"/>
        </w:rPr>
        <w:t xml:space="preserve">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534900" w:rsidRPr="00760887" w:rsidRDefault="00534900" w:rsidP="002B1F4B">
      <w:pPr>
        <w:ind w:left="360"/>
        <w:rPr>
          <w:sz w:val="22"/>
          <w:szCs w:val="22"/>
        </w:rPr>
      </w:pPr>
    </w:p>
    <w:p w:rsidR="00534900" w:rsidRPr="00760887" w:rsidRDefault="00534900" w:rsidP="002B1F4B">
      <w:pPr>
        <w:ind w:left="360"/>
        <w:rPr>
          <w:sz w:val="22"/>
          <w:szCs w:val="22"/>
        </w:rPr>
      </w:pPr>
      <w:r w:rsidRPr="00760887">
        <w:rPr>
          <w:sz w:val="22"/>
          <w:szCs w:val="22"/>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534900" w:rsidRPr="00760887" w:rsidRDefault="00534900" w:rsidP="00F409C8">
      <w:pPr>
        <w:rPr>
          <w:sz w:val="22"/>
          <w:szCs w:val="22"/>
        </w:rPr>
      </w:pPr>
    </w:p>
    <w:p w:rsidR="00534900" w:rsidRPr="00760887" w:rsidRDefault="00534900" w:rsidP="00F409C8">
      <w:pPr>
        <w:rPr>
          <w:sz w:val="22"/>
          <w:szCs w:val="22"/>
        </w:rPr>
      </w:pPr>
      <w:r w:rsidRPr="00760887">
        <w:rPr>
          <w:sz w:val="22"/>
          <w:szCs w:val="22"/>
        </w:rPr>
        <w:t>In subsection 601.02, delete Class P and replace with the following:</w:t>
      </w:r>
    </w:p>
    <w:p w:rsidR="00534900" w:rsidRDefault="00534900" w:rsidP="006252CF">
      <w:pPr>
        <w:spacing w:after="200" w:line="276" w:lineRule="auto"/>
        <w:rPr>
          <w:b/>
          <w:bCs/>
          <w:color w:val="000000"/>
        </w:rPr>
      </w:pPr>
    </w:p>
    <w:p w:rsidR="00534900" w:rsidRDefault="00534900" w:rsidP="00F409C8">
      <w:pPr>
        <w:pStyle w:val="NoSpacing"/>
        <w:rPr>
          <w:rFonts w:ascii="Times New Roman" w:hAnsi="Times New Roman"/>
          <w:b/>
          <w:bCs/>
          <w:color w:val="000000"/>
        </w:rPr>
      </w:pPr>
    </w:p>
    <w:p w:rsidR="00534900" w:rsidRPr="00760887" w:rsidRDefault="00534900" w:rsidP="00760887">
      <w:pPr>
        <w:pStyle w:val="CenterTitle"/>
        <w:widowControl w:val="0"/>
        <w:rPr>
          <w:spacing w:val="-5"/>
          <w:sz w:val="22"/>
          <w:szCs w:val="22"/>
        </w:rPr>
      </w:pPr>
      <w:r w:rsidRPr="00760887">
        <w:rPr>
          <w:spacing w:val="-5"/>
          <w:sz w:val="22"/>
          <w:szCs w:val="22"/>
        </w:rPr>
        <w:t>2</w:t>
      </w:r>
    </w:p>
    <w:p w:rsidR="00534900" w:rsidRPr="00760887" w:rsidRDefault="00534900" w:rsidP="00760887">
      <w:pPr>
        <w:pStyle w:val="CenterTitle"/>
        <w:widowControl w:val="0"/>
        <w:rPr>
          <w:spacing w:val="-5"/>
          <w:sz w:val="22"/>
          <w:szCs w:val="22"/>
        </w:rPr>
      </w:pPr>
      <w:r w:rsidRPr="00760887">
        <w:rPr>
          <w:spacing w:val="-5"/>
          <w:sz w:val="22"/>
          <w:szCs w:val="22"/>
        </w:rPr>
        <w:t>REVISION OF SECTIONS 106, 601 &amp; 703</w:t>
      </w:r>
    </w:p>
    <w:p w:rsidR="004E6ECF" w:rsidRPr="00760887" w:rsidRDefault="004E6ECF" w:rsidP="004E6ECF">
      <w:pPr>
        <w:widowControl w:val="0"/>
        <w:jc w:val="center"/>
        <w:rPr>
          <w:spacing w:val="-5"/>
          <w:sz w:val="22"/>
          <w:szCs w:val="22"/>
        </w:rPr>
      </w:pPr>
      <w:r w:rsidRPr="00760887">
        <w:rPr>
          <w:spacing w:val="-5"/>
          <w:sz w:val="22"/>
          <w:szCs w:val="22"/>
        </w:rPr>
        <w:t xml:space="preserve">OPTIMIZED </w:t>
      </w:r>
      <w:r>
        <w:rPr>
          <w:spacing w:val="-5"/>
          <w:sz w:val="22"/>
          <w:szCs w:val="22"/>
        </w:rPr>
        <w:t>PORTLAND CEMENT CONCRETE PAVEMENT</w:t>
      </w:r>
      <w:r w:rsidRPr="00760887">
        <w:rPr>
          <w:spacing w:val="-5"/>
          <w:sz w:val="22"/>
          <w:szCs w:val="22"/>
        </w:rPr>
        <w:t xml:space="preserve"> MIX</w:t>
      </w:r>
    </w:p>
    <w:p w:rsidR="00534900" w:rsidRPr="00760887" w:rsidRDefault="00534900" w:rsidP="00F409C8">
      <w:pPr>
        <w:pStyle w:val="NoSpacing"/>
        <w:rPr>
          <w:rFonts w:ascii="Times New Roman" w:hAnsi="Times New Roman"/>
        </w:rPr>
      </w:pPr>
    </w:p>
    <w:p w:rsidR="00534900" w:rsidRPr="00760887" w:rsidRDefault="00534900" w:rsidP="00F409C8">
      <w:pPr>
        <w:pStyle w:val="NoSpacing"/>
        <w:rPr>
          <w:rFonts w:ascii="Times New Roman" w:hAnsi="Times New Roman"/>
        </w:rPr>
      </w:pPr>
      <w:r w:rsidRPr="00760887">
        <w:rPr>
          <w:rFonts w:ascii="Times New Roman" w:hAnsi="Times New Roman"/>
          <w:b/>
        </w:rPr>
        <w:t>Class P</w:t>
      </w:r>
      <w:r w:rsidRPr="00760887">
        <w:rPr>
          <w:rFonts w:ascii="Times New Roman" w:hAnsi="Times New Roman"/>
        </w:rPr>
        <w:t xml:space="preserve"> concrete is used in pavements.  Additional requirements are:  The laboratory trial mix shall produce a minimum average 28 day flexural strength of </w:t>
      </w:r>
      <w:r w:rsidRPr="00967FB9">
        <w:rPr>
          <w:rFonts w:ascii="Times New Roman" w:hAnsi="Times New Roman"/>
          <w:color w:val="000000"/>
        </w:rPr>
        <w:t>700</w:t>
      </w:r>
      <w:r w:rsidRPr="00760887">
        <w:rPr>
          <w:rFonts w:ascii="Times New Roman" w:hAnsi="Times New Roman"/>
        </w:rPr>
        <w:t xml:space="preserve"> psi</w:t>
      </w:r>
      <w:r w:rsidR="007F76CA">
        <w:rPr>
          <w:rFonts w:ascii="Times New Roman" w:hAnsi="Times New Roman"/>
        </w:rPr>
        <w:t>.</w:t>
      </w:r>
      <w:r w:rsidRPr="00760887">
        <w:rPr>
          <w:rFonts w:ascii="Times New Roman" w:hAnsi="Times New Roman"/>
        </w:rPr>
        <w:t xml:space="preserve">  Two aggregate gradation options are available:</w:t>
      </w:r>
    </w:p>
    <w:p w:rsidR="00534900" w:rsidRPr="00760887" w:rsidRDefault="00534900" w:rsidP="00F409C8">
      <w:pPr>
        <w:pStyle w:val="NoSpacing"/>
        <w:rPr>
          <w:rFonts w:ascii="Times New Roman" w:hAnsi="Times New Roman"/>
        </w:rPr>
      </w:pPr>
    </w:p>
    <w:p w:rsidR="00534900" w:rsidRPr="00760887" w:rsidRDefault="00534900" w:rsidP="00534900">
      <w:pPr>
        <w:pStyle w:val="NoSpacing"/>
        <w:numPr>
          <w:ilvl w:val="0"/>
          <w:numId w:val="6"/>
        </w:numPr>
        <w:autoSpaceDE w:val="0"/>
        <w:autoSpaceDN w:val="0"/>
        <w:adjustRightInd w:val="0"/>
        <w:rPr>
          <w:rFonts w:ascii="Times New Roman" w:hAnsi="Times New Roman"/>
        </w:rPr>
      </w:pPr>
      <w:r w:rsidRPr="00760887">
        <w:rPr>
          <w:rFonts w:ascii="Times New Roman" w:hAnsi="Times New Roman"/>
          <w:i/>
        </w:rPr>
        <w:t>Standard Gradation (SG).</w:t>
      </w:r>
      <w:r w:rsidRPr="00760887">
        <w:rPr>
          <w:rFonts w:ascii="Times New Roman" w:hAnsi="Times New Roman"/>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534900" w:rsidRPr="00760887" w:rsidRDefault="00534900" w:rsidP="00FF225E">
      <w:pPr>
        <w:pStyle w:val="NoSpacing"/>
        <w:ind w:left="720"/>
        <w:rPr>
          <w:rFonts w:ascii="Times New Roman" w:hAnsi="Times New Roman"/>
        </w:rPr>
      </w:pPr>
    </w:p>
    <w:p w:rsidR="00534900" w:rsidRPr="00760887" w:rsidRDefault="00534900" w:rsidP="00534900">
      <w:pPr>
        <w:pStyle w:val="NoSpacing"/>
        <w:numPr>
          <w:ilvl w:val="0"/>
          <w:numId w:val="6"/>
        </w:numPr>
        <w:autoSpaceDE w:val="0"/>
        <w:autoSpaceDN w:val="0"/>
        <w:adjustRightInd w:val="0"/>
        <w:rPr>
          <w:rFonts w:ascii="Times New Roman" w:hAnsi="Times New Roman"/>
        </w:rPr>
      </w:pPr>
      <w:r w:rsidRPr="00760887">
        <w:rPr>
          <w:rFonts w:ascii="Times New Roman" w:hAnsi="Times New Roman"/>
          <w:i/>
        </w:rPr>
        <w:t xml:space="preserve">Optimized Gradation (OG). </w:t>
      </w:r>
      <w:r w:rsidRPr="00760887">
        <w:rPr>
          <w:rFonts w:ascii="Times New Roman" w:hAnsi="Times New Roman"/>
        </w:rPr>
        <w:t>This option may only be used when flexural strength</w:t>
      </w:r>
      <w:r>
        <w:rPr>
          <w:rFonts w:ascii="Times New Roman" w:hAnsi="Times New Roman"/>
        </w:rPr>
        <w:t xml:space="preserve"> acceptance is specified</w:t>
      </w:r>
      <w:r w:rsidRPr="00760887">
        <w:rPr>
          <w:rFonts w:ascii="Times New Roman" w:hAnsi="Times New Roman"/>
        </w:rPr>
        <w:t xml:space="preserve">.  Aggregate proportions must be a result of an optimized combined aggregate gradation (CAG) developed by an approved mix design technique such as </w:t>
      </w:r>
      <w:proofErr w:type="spellStart"/>
      <w:r w:rsidRPr="00760887">
        <w:rPr>
          <w:rFonts w:ascii="Times New Roman" w:hAnsi="Times New Roman"/>
        </w:rPr>
        <w:t>Shilstone</w:t>
      </w:r>
      <w:proofErr w:type="spellEnd"/>
      <w:r w:rsidRPr="00760887">
        <w:rPr>
          <w:rFonts w:ascii="Times New Roman" w:hAnsi="Times New Roman"/>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534900" w:rsidRPr="00760887" w:rsidRDefault="00534900" w:rsidP="00534900">
      <w:pPr>
        <w:pStyle w:val="ListParagraph"/>
        <w:numPr>
          <w:ilvl w:val="0"/>
          <w:numId w:val="9"/>
        </w:numPr>
        <w:rPr>
          <w:rFonts w:ascii="Times New Roman" w:hAnsi="Times New Roman" w:cs="Times New Roman"/>
          <w:sz w:val="22"/>
          <w:szCs w:val="22"/>
        </w:rPr>
      </w:pPr>
      <w:r w:rsidRPr="00760887">
        <w:rPr>
          <w:rFonts w:ascii="Times New Roman" w:hAnsi="Times New Roman" w:cs="Times New Roman"/>
          <w:sz w:val="22"/>
          <w:szCs w:val="22"/>
        </w:rPr>
        <w:t>Point A&gt; (CF,WF) 72, 31</w:t>
      </w:r>
    </w:p>
    <w:p w:rsidR="00534900" w:rsidRPr="00760887" w:rsidRDefault="00534900" w:rsidP="00534900">
      <w:pPr>
        <w:pStyle w:val="ListParagraph"/>
        <w:numPr>
          <w:ilvl w:val="0"/>
          <w:numId w:val="9"/>
        </w:numPr>
        <w:rPr>
          <w:rFonts w:ascii="Times New Roman" w:hAnsi="Times New Roman" w:cs="Times New Roman"/>
          <w:sz w:val="22"/>
          <w:szCs w:val="22"/>
        </w:rPr>
      </w:pPr>
      <w:r w:rsidRPr="00760887">
        <w:rPr>
          <w:rFonts w:ascii="Times New Roman" w:hAnsi="Times New Roman" w:cs="Times New Roman"/>
          <w:sz w:val="22"/>
          <w:szCs w:val="22"/>
        </w:rPr>
        <w:t>Point B&gt; (CF,WF) 44.5, 35</w:t>
      </w:r>
    </w:p>
    <w:p w:rsidR="00534900" w:rsidRPr="00760887" w:rsidRDefault="00534900" w:rsidP="00534900">
      <w:pPr>
        <w:pStyle w:val="ListParagraph"/>
        <w:numPr>
          <w:ilvl w:val="0"/>
          <w:numId w:val="9"/>
        </w:numPr>
        <w:rPr>
          <w:rFonts w:ascii="Times New Roman" w:hAnsi="Times New Roman" w:cs="Times New Roman"/>
          <w:sz w:val="22"/>
          <w:szCs w:val="22"/>
        </w:rPr>
      </w:pPr>
      <w:r w:rsidRPr="00760887">
        <w:rPr>
          <w:rFonts w:ascii="Times New Roman" w:hAnsi="Times New Roman" w:cs="Times New Roman"/>
          <w:sz w:val="22"/>
          <w:szCs w:val="22"/>
        </w:rPr>
        <w:t>Point C&gt; (CF,WF) 44.5, 43.5</w:t>
      </w:r>
    </w:p>
    <w:p w:rsidR="00534900" w:rsidRPr="00760887" w:rsidRDefault="00534900" w:rsidP="00534900">
      <w:pPr>
        <w:pStyle w:val="ListParagraph"/>
        <w:numPr>
          <w:ilvl w:val="0"/>
          <w:numId w:val="9"/>
        </w:numPr>
        <w:rPr>
          <w:rFonts w:ascii="Times New Roman" w:hAnsi="Times New Roman" w:cs="Times New Roman"/>
          <w:sz w:val="22"/>
          <w:szCs w:val="22"/>
        </w:rPr>
      </w:pPr>
      <w:r w:rsidRPr="00760887">
        <w:rPr>
          <w:rFonts w:ascii="Times New Roman" w:hAnsi="Times New Roman" w:cs="Times New Roman"/>
          <w:sz w:val="22"/>
          <w:szCs w:val="22"/>
        </w:rPr>
        <w:t>Point D&gt; (CF,WF) 72, 40</w:t>
      </w:r>
    </w:p>
    <w:p w:rsidR="00534900" w:rsidRPr="00760887" w:rsidRDefault="00534900" w:rsidP="00BB758B">
      <w:pPr>
        <w:tabs>
          <w:tab w:val="left" w:pos="7972"/>
        </w:tabs>
        <w:rPr>
          <w:sz w:val="22"/>
          <w:szCs w:val="22"/>
        </w:rPr>
      </w:pPr>
      <w:r w:rsidRPr="00760887">
        <w:rPr>
          <w:sz w:val="22"/>
          <w:szCs w:val="22"/>
        </w:rPr>
        <w:tab/>
      </w:r>
    </w:p>
    <w:p w:rsidR="00534900" w:rsidRPr="00760887" w:rsidRDefault="00534900" w:rsidP="002D3E57">
      <w:pPr>
        <w:tabs>
          <w:tab w:val="left" w:pos="7972"/>
        </w:tabs>
        <w:jc w:val="center"/>
        <w:rPr>
          <w:sz w:val="22"/>
          <w:szCs w:val="22"/>
        </w:rPr>
      </w:pPr>
      <w:r w:rsidRPr="00760887">
        <w:rPr>
          <w:sz w:val="22"/>
          <w:szCs w:val="22"/>
        </w:rPr>
        <w:t>Figure 601-1</w:t>
      </w:r>
    </w:p>
    <w:p w:rsidR="00534900" w:rsidRPr="00760887" w:rsidRDefault="001A5F8B" w:rsidP="00BB758B">
      <w:pPr>
        <w:jc w:val="center"/>
        <w:rPr>
          <w:sz w:val="22"/>
          <w:szCs w:val="22"/>
        </w:rPr>
      </w:pPr>
      <w:r>
        <w:rPr>
          <w:noProof/>
          <w:sz w:val="22"/>
          <w:szCs w:val="22"/>
        </w:rPr>
        <w:drawing>
          <wp:inline distT="0" distB="0" distL="0" distR="0" wp14:anchorId="6A3A6E26" wp14:editId="5EA08850">
            <wp:extent cx="2332355" cy="1917065"/>
            <wp:effectExtent l="0" t="0" r="0" b="6985"/>
            <wp:docPr id="1" name="Picture 1" descr="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B.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355" cy="1917065"/>
                    </a:xfrm>
                    <a:prstGeom prst="rect">
                      <a:avLst/>
                    </a:prstGeom>
                    <a:noFill/>
                    <a:ln>
                      <a:noFill/>
                    </a:ln>
                  </pic:spPr>
                </pic:pic>
              </a:graphicData>
            </a:graphic>
          </wp:inline>
        </w:drawing>
      </w:r>
    </w:p>
    <w:p w:rsidR="00534900" w:rsidRDefault="00534900" w:rsidP="00F409C8">
      <w:pPr>
        <w:ind w:left="720"/>
        <w:rPr>
          <w:sz w:val="22"/>
          <w:szCs w:val="22"/>
        </w:rPr>
      </w:pPr>
    </w:p>
    <w:p w:rsidR="00534900" w:rsidRPr="00760887" w:rsidRDefault="00534900" w:rsidP="00F409C8">
      <w:pPr>
        <w:ind w:left="720"/>
        <w:rPr>
          <w:sz w:val="22"/>
          <w:szCs w:val="22"/>
        </w:rPr>
      </w:pPr>
      <w:r w:rsidRPr="00760887">
        <w:rPr>
          <w:sz w:val="22"/>
          <w:szCs w:val="22"/>
        </w:rPr>
        <w:t>CF = (S / T) x 100</w:t>
      </w:r>
    </w:p>
    <w:p w:rsidR="00534900" w:rsidRPr="00760887" w:rsidRDefault="00534900" w:rsidP="00F409C8">
      <w:pPr>
        <w:ind w:left="720"/>
        <w:rPr>
          <w:sz w:val="22"/>
          <w:szCs w:val="22"/>
        </w:rPr>
      </w:pPr>
      <w:r w:rsidRPr="00760887">
        <w:rPr>
          <w:sz w:val="22"/>
          <w:szCs w:val="22"/>
        </w:rPr>
        <w:t>Where:</w:t>
      </w:r>
    </w:p>
    <w:p w:rsidR="00534900" w:rsidRPr="00760887" w:rsidRDefault="00534900" w:rsidP="00F409C8">
      <w:pPr>
        <w:ind w:left="1440"/>
        <w:rPr>
          <w:sz w:val="22"/>
          <w:szCs w:val="22"/>
        </w:rPr>
      </w:pPr>
      <w:r w:rsidRPr="00760887">
        <w:rPr>
          <w:sz w:val="22"/>
          <w:szCs w:val="22"/>
        </w:rPr>
        <w:t>S = Percent Cumulative Retained on 9.5 mm (3/8 inch) Sieve</w:t>
      </w:r>
    </w:p>
    <w:p w:rsidR="00534900" w:rsidRPr="00760887" w:rsidRDefault="00534900" w:rsidP="00F409C8">
      <w:pPr>
        <w:ind w:left="1440"/>
        <w:rPr>
          <w:sz w:val="22"/>
          <w:szCs w:val="22"/>
        </w:rPr>
      </w:pPr>
      <w:r w:rsidRPr="00760887">
        <w:rPr>
          <w:sz w:val="22"/>
          <w:szCs w:val="22"/>
        </w:rPr>
        <w:t>T = Percent Cumulative retained on 2.36 mm (No. 8) Sieve</w:t>
      </w:r>
    </w:p>
    <w:p w:rsidR="00534900" w:rsidRPr="00760887" w:rsidRDefault="00534900" w:rsidP="00F409C8">
      <w:pPr>
        <w:rPr>
          <w:sz w:val="22"/>
          <w:szCs w:val="22"/>
        </w:rPr>
      </w:pPr>
    </w:p>
    <w:p w:rsidR="00534900" w:rsidRPr="00760887" w:rsidRDefault="00534900" w:rsidP="00F409C8">
      <w:pPr>
        <w:ind w:left="720"/>
        <w:rPr>
          <w:sz w:val="22"/>
          <w:szCs w:val="22"/>
        </w:rPr>
      </w:pPr>
      <w:r w:rsidRPr="00760887">
        <w:rPr>
          <w:sz w:val="22"/>
          <w:szCs w:val="22"/>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Do not adjust the workability factor if the amount of cementitious material is 564 pounds per cubic yard.</w:t>
      </w:r>
    </w:p>
    <w:p w:rsidR="00534900" w:rsidRPr="00760887" w:rsidRDefault="00534900" w:rsidP="00F409C8">
      <w:pPr>
        <w:rPr>
          <w:sz w:val="22"/>
          <w:szCs w:val="22"/>
        </w:rPr>
      </w:pPr>
    </w:p>
    <w:p w:rsidR="00534900" w:rsidRPr="00760887" w:rsidRDefault="00534900" w:rsidP="00F409C8">
      <w:pPr>
        <w:rPr>
          <w:sz w:val="22"/>
          <w:szCs w:val="22"/>
        </w:rPr>
      </w:pPr>
      <w:r w:rsidRPr="00760887">
        <w:rPr>
          <w:sz w:val="22"/>
          <w:szCs w:val="22"/>
        </w:rPr>
        <w:t>Subsection 601.05 shall include the following in the second paragraph:</w:t>
      </w:r>
    </w:p>
    <w:p w:rsidR="006252CF" w:rsidRDefault="006252CF">
      <w:pPr>
        <w:rPr>
          <w:spacing w:val="-5"/>
          <w:sz w:val="22"/>
          <w:szCs w:val="22"/>
        </w:rPr>
      </w:pPr>
      <w:r>
        <w:rPr>
          <w:spacing w:val="-5"/>
          <w:sz w:val="22"/>
          <w:szCs w:val="22"/>
        </w:rPr>
        <w:br w:type="page"/>
      </w:r>
    </w:p>
    <w:p w:rsidR="006252CF" w:rsidRPr="00760887" w:rsidRDefault="006252CF" w:rsidP="006252CF">
      <w:pPr>
        <w:pStyle w:val="CenterTitle"/>
        <w:widowControl w:val="0"/>
        <w:rPr>
          <w:spacing w:val="-5"/>
          <w:sz w:val="22"/>
          <w:szCs w:val="22"/>
        </w:rPr>
      </w:pPr>
      <w:r>
        <w:rPr>
          <w:spacing w:val="-5"/>
          <w:sz w:val="22"/>
          <w:szCs w:val="22"/>
        </w:rPr>
        <w:lastRenderedPageBreak/>
        <w:t>3</w:t>
      </w:r>
    </w:p>
    <w:p w:rsidR="006252CF" w:rsidRPr="00760887" w:rsidRDefault="006252CF" w:rsidP="006252CF">
      <w:pPr>
        <w:pStyle w:val="CenterTitle"/>
        <w:widowControl w:val="0"/>
        <w:rPr>
          <w:spacing w:val="-5"/>
          <w:sz w:val="22"/>
          <w:szCs w:val="22"/>
        </w:rPr>
      </w:pPr>
      <w:r w:rsidRPr="00760887">
        <w:rPr>
          <w:spacing w:val="-5"/>
          <w:sz w:val="22"/>
          <w:szCs w:val="22"/>
        </w:rPr>
        <w:t>REVISION OF SECTIONS 106, 601 &amp; 703</w:t>
      </w:r>
    </w:p>
    <w:p w:rsidR="004E6ECF" w:rsidRPr="00760887" w:rsidRDefault="004E6ECF" w:rsidP="004E6ECF">
      <w:pPr>
        <w:widowControl w:val="0"/>
        <w:jc w:val="center"/>
        <w:rPr>
          <w:spacing w:val="-5"/>
          <w:sz w:val="22"/>
          <w:szCs w:val="22"/>
        </w:rPr>
      </w:pPr>
      <w:bookmarkStart w:id="0" w:name="_GoBack"/>
      <w:bookmarkEnd w:id="0"/>
      <w:r w:rsidRPr="00760887">
        <w:rPr>
          <w:spacing w:val="-5"/>
          <w:sz w:val="22"/>
          <w:szCs w:val="22"/>
        </w:rPr>
        <w:t xml:space="preserve">OPTIMIZED </w:t>
      </w:r>
      <w:r>
        <w:rPr>
          <w:spacing w:val="-5"/>
          <w:sz w:val="22"/>
          <w:szCs w:val="22"/>
        </w:rPr>
        <w:t>PORTLAND CEMENT CONCRETE PAVEMENT</w:t>
      </w:r>
      <w:r w:rsidRPr="00760887">
        <w:rPr>
          <w:spacing w:val="-5"/>
          <w:sz w:val="22"/>
          <w:szCs w:val="22"/>
        </w:rPr>
        <w:t xml:space="preserve"> MIX</w:t>
      </w:r>
    </w:p>
    <w:p w:rsidR="00534900" w:rsidRPr="00760887" w:rsidRDefault="00534900" w:rsidP="00F409C8">
      <w:pPr>
        <w:rPr>
          <w:sz w:val="22"/>
          <w:szCs w:val="22"/>
        </w:rPr>
      </w:pPr>
    </w:p>
    <w:p w:rsidR="00534900" w:rsidRPr="00760887" w:rsidRDefault="00534900" w:rsidP="00FF225E">
      <w:pPr>
        <w:ind w:left="720" w:hanging="720"/>
        <w:rPr>
          <w:sz w:val="22"/>
          <w:szCs w:val="22"/>
        </w:rPr>
      </w:pPr>
      <w:r w:rsidRPr="00760887">
        <w:rPr>
          <w:sz w:val="22"/>
          <w:szCs w:val="22"/>
        </w:rPr>
        <w:t>(8)</w:t>
      </w:r>
      <w:r w:rsidRPr="00760887">
        <w:rPr>
          <w:sz w:val="22"/>
          <w:szCs w:val="22"/>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534900" w:rsidRPr="00760887" w:rsidRDefault="00534900" w:rsidP="00534900">
      <w:pPr>
        <w:pStyle w:val="ListParagraph"/>
        <w:numPr>
          <w:ilvl w:val="0"/>
          <w:numId w:val="8"/>
        </w:numPr>
        <w:rPr>
          <w:rFonts w:ascii="Times New Roman" w:hAnsi="Times New Roman" w:cs="Times New Roman"/>
          <w:sz w:val="22"/>
          <w:szCs w:val="22"/>
        </w:rPr>
      </w:pPr>
      <w:r w:rsidRPr="00760887">
        <w:rPr>
          <w:rFonts w:ascii="Times New Roman" w:hAnsi="Times New Roman" w:cs="Times New Roman"/>
          <w:sz w:val="22"/>
          <w:szCs w:val="22"/>
        </w:rPr>
        <w:t>Coarseness Factor</w:t>
      </w:r>
    </w:p>
    <w:p w:rsidR="00534900" w:rsidRPr="00760887" w:rsidRDefault="00534900" w:rsidP="00534900">
      <w:pPr>
        <w:pStyle w:val="ListParagraph"/>
        <w:numPr>
          <w:ilvl w:val="0"/>
          <w:numId w:val="8"/>
        </w:numPr>
        <w:rPr>
          <w:rFonts w:ascii="Times New Roman" w:hAnsi="Times New Roman" w:cs="Times New Roman"/>
          <w:sz w:val="22"/>
          <w:szCs w:val="22"/>
        </w:rPr>
      </w:pPr>
      <w:r w:rsidRPr="00760887">
        <w:rPr>
          <w:rFonts w:ascii="Times New Roman" w:hAnsi="Times New Roman" w:cs="Times New Roman"/>
          <w:sz w:val="22"/>
          <w:szCs w:val="22"/>
        </w:rPr>
        <w:t>Workability Factor</w:t>
      </w:r>
    </w:p>
    <w:p w:rsidR="00534900" w:rsidRPr="00760887" w:rsidRDefault="00534900" w:rsidP="00534900">
      <w:pPr>
        <w:pStyle w:val="ListParagraph"/>
        <w:numPr>
          <w:ilvl w:val="0"/>
          <w:numId w:val="8"/>
        </w:numPr>
        <w:rPr>
          <w:rFonts w:ascii="Times New Roman" w:hAnsi="Times New Roman" w:cs="Times New Roman"/>
          <w:sz w:val="22"/>
          <w:szCs w:val="22"/>
        </w:rPr>
      </w:pPr>
      <w:r w:rsidRPr="00760887">
        <w:rPr>
          <w:rFonts w:ascii="Times New Roman" w:hAnsi="Times New Roman" w:cs="Times New Roman"/>
          <w:sz w:val="22"/>
          <w:szCs w:val="22"/>
        </w:rPr>
        <w:t>0.45 power</w:t>
      </w:r>
    </w:p>
    <w:p w:rsidR="00534900" w:rsidRPr="00760887" w:rsidRDefault="00534900" w:rsidP="00534900">
      <w:pPr>
        <w:pStyle w:val="ListParagraph"/>
        <w:numPr>
          <w:ilvl w:val="0"/>
          <w:numId w:val="8"/>
        </w:numPr>
        <w:rPr>
          <w:rFonts w:ascii="Times New Roman" w:hAnsi="Times New Roman" w:cs="Times New Roman"/>
          <w:sz w:val="22"/>
          <w:szCs w:val="22"/>
        </w:rPr>
      </w:pPr>
      <w:r w:rsidRPr="00760887">
        <w:rPr>
          <w:rFonts w:ascii="Times New Roman" w:hAnsi="Times New Roman" w:cs="Times New Roman"/>
          <w:sz w:val="22"/>
          <w:szCs w:val="22"/>
        </w:rPr>
        <w:t>Combined gradation</w:t>
      </w:r>
    </w:p>
    <w:p w:rsidR="00534900" w:rsidRPr="00760887" w:rsidRDefault="00534900" w:rsidP="0054561C">
      <w:pPr>
        <w:jc w:val="center"/>
        <w:rPr>
          <w:sz w:val="22"/>
          <w:szCs w:val="22"/>
        </w:rPr>
      </w:pPr>
    </w:p>
    <w:p w:rsidR="00534900" w:rsidRPr="00760887" w:rsidRDefault="00534900" w:rsidP="00F409C8">
      <w:pPr>
        <w:rPr>
          <w:sz w:val="22"/>
          <w:szCs w:val="22"/>
        </w:rPr>
      </w:pPr>
      <w:r w:rsidRPr="00760887">
        <w:rPr>
          <w:sz w:val="22"/>
          <w:szCs w:val="22"/>
        </w:rPr>
        <w:t>Delete Subsection 601.06 (10) and (11) and replace with the following:</w:t>
      </w:r>
    </w:p>
    <w:p w:rsidR="00534900" w:rsidRPr="00760887" w:rsidRDefault="00534900" w:rsidP="00F409C8">
      <w:pPr>
        <w:rPr>
          <w:sz w:val="22"/>
          <w:szCs w:val="22"/>
        </w:rPr>
      </w:pPr>
    </w:p>
    <w:p w:rsidR="00534900" w:rsidRPr="00760887" w:rsidRDefault="00534900" w:rsidP="002B1F4B">
      <w:pPr>
        <w:rPr>
          <w:sz w:val="22"/>
          <w:szCs w:val="22"/>
        </w:rPr>
      </w:pPr>
      <w:r w:rsidRPr="00760887">
        <w:rPr>
          <w:sz w:val="22"/>
          <w:szCs w:val="22"/>
        </w:rPr>
        <w:t>(10) Weights of fine and coarse aggregates or combined weight when an OG is pre-blended</w:t>
      </w:r>
    </w:p>
    <w:p w:rsidR="00534900" w:rsidRPr="00760887" w:rsidRDefault="00534900" w:rsidP="002B1F4B">
      <w:pPr>
        <w:rPr>
          <w:sz w:val="22"/>
          <w:szCs w:val="22"/>
        </w:rPr>
      </w:pPr>
      <w:r w:rsidRPr="00760887">
        <w:rPr>
          <w:sz w:val="22"/>
          <w:szCs w:val="22"/>
        </w:rPr>
        <w:t>(11) Moisture of fine and coarse aggregates or combined moisture when an OG is pre-blended</w:t>
      </w:r>
    </w:p>
    <w:p w:rsidR="00534900" w:rsidRPr="00760887" w:rsidRDefault="00534900" w:rsidP="005126C8">
      <w:pPr>
        <w:ind w:firstLine="720"/>
        <w:rPr>
          <w:sz w:val="22"/>
          <w:szCs w:val="22"/>
        </w:rPr>
      </w:pPr>
    </w:p>
    <w:p w:rsidR="00534900" w:rsidRPr="00760887" w:rsidRDefault="00534900" w:rsidP="005126C8">
      <w:pPr>
        <w:rPr>
          <w:sz w:val="22"/>
          <w:szCs w:val="22"/>
        </w:rPr>
      </w:pPr>
      <w:r w:rsidRPr="00760887">
        <w:rPr>
          <w:sz w:val="22"/>
          <w:szCs w:val="22"/>
        </w:rPr>
        <w:t>Subsection 601.06 (c) shall include the following:</w:t>
      </w:r>
    </w:p>
    <w:p w:rsidR="00534900" w:rsidRPr="00760887" w:rsidRDefault="00534900" w:rsidP="005126C8">
      <w:pPr>
        <w:rPr>
          <w:sz w:val="22"/>
          <w:szCs w:val="22"/>
        </w:rPr>
      </w:pPr>
    </w:p>
    <w:p w:rsidR="00534900" w:rsidRPr="00760887" w:rsidRDefault="00534900" w:rsidP="005126C8">
      <w:pPr>
        <w:rPr>
          <w:sz w:val="22"/>
          <w:szCs w:val="22"/>
        </w:rPr>
      </w:pPr>
      <w:r w:rsidRPr="00760887">
        <w:rPr>
          <w:sz w:val="22"/>
          <w:szCs w:val="22"/>
        </w:rPr>
        <w:t>Aggregates for Class P concrete using an OG, a combination of aggregates (stockpiled separately) may be combined prior to the stationary charging drum to meet the approved CAG.</w:t>
      </w:r>
    </w:p>
    <w:p w:rsidR="00534900" w:rsidRPr="00760887" w:rsidRDefault="00534900" w:rsidP="00F409C8">
      <w:pPr>
        <w:rPr>
          <w:sz w:val="22"/>
          <w:szCs w:val="22"/>
        </w:rPr>
      </w:pPr>
    </w:p>
    <w:p w:rsidR="00534900" w:rsidRPr="00760887" w:rsidRDefault="00534900" w:rsidP="00F409C8">
      <w:pPr>
        <w:rPr>
          <w:sz w:val="22"/>
          <w:szCs w:val="22"/>
        </w:rPr>
      </w:pPr>
    </w:p>
    <w:p w:rsidR="00AA36CC" w:rsidRDefault="00AA36CC" w:rsidP="00D16104"/>
    <w:sectPr w:rsidR="00AA36CC"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4D" w:rsidRDefault="0070284D" w:rsidP="00F878BD">
      <w:r>
        <w:separator/>
      </w:r>
    </w:p>
  </w:endnote>
  <w:endnote w:type="continuationSeparator" w:id="0">
    <w:p w:rsidR="0070284D" w:rsidRDefault="0070284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4D" w:rsidRDefault="0070284D" w:rsidP="00F878BD">
      <w:r>
        <w:separator/>
      </w:r>
    </w:p>
  </w:footnote>
  <w:footnote w:type="continuationSeparator" w:id="0">
    <w:p w:rsidR="0070284D" w:rsidRDefault="0070284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B400C8"/>
    <w:multiLevelType w:val="hybridMultilevel"/>
    <w:tmpl w:val="31A4D460"/>
    <w:lvl w:ilvl="0" w:tplc="AB06A67C">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242F3"/>
    <w:rsid w:val="00193879"/>
    <w:rsid w:val="001A5F8B"/>
    <w:rsid w:val="001C3F85"/>
    <w:rsid w:val="001D1CD2"/>
    <w:rsid w:val="003A4096"/>
    <w:rsid w:val="003C3F1C"/>
    <w:rsid w:val="0040068E"/>
    <w:rsid w:val="00441D2F"/>
    <w:rsid w:val="0047496C"/>
    <w:rsid w:val="00495328"/>
    <w:rsid w:val="004E6ECF"/>
    <w:rsid w:val="00534900"/>
    <w:rsid w:val="0056039E"/>
    <w:rsid w:val="00572D1D"/>
    <w:rsid w:val="006252CF"/>
    <w:rsid w:val="006332CD"/>
    <w:rsid w:val="0070284D"/>
    <w:rsid w:val="00726A77"/>
    <w:rsid w:val="007735BF"/>
    <w:rsid w:val="007854AB"/>
    <w:rsid w:val="007D69F8"/>
    <w:rsid w:val="007F76CA"/>
    <w:rsid w:val="00814549"/>
    <w:rsid w:val="00870736"/>
    <w:rsid w:val="008D4DE9"/>
    <w:rsid w:val="00967FB9"/>
    <w:rsid w:val="00973DFA"/>
    <w:rsid w:val="00987248"/>
    <w:rsid w:val="009F3FE4"/>
    <w:rsid w:val="00A14275"/>
    <w:rsid w:val="00A71F64"/>
    <w:rsid w:val="00A73269"/>
    <w:rsid w:val="00A76618"/>
    <w:rsid w:val="00A92397"/>
    <w:rsid w:val="00AA36CC"/>
    <w:rsid w:val="00AC7AF4"/>
    <w:rsid w:val="00B25927"/>
    <w:rsid w:val="00B27FFE"/>
    <w:rsid w:val="00B54195"/>
    <w:rsid w:val="00B91FF1"/>
    <w:rsid w:val="00D16104"/>
    <w:rsid w:val="00DE7DCD"/>
    <w:rsid w:val="00E431D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534900"/>
    <w:pPr>
      <w:autoSpaceDE w:val="0"/>
      <w:autoSpaceDN w:val="0"/>
      <w:adjustRightInd w:val="0"/>
      <w:ind w:left="720"/>
      <w:contextualSpacing/>
    </w:pPr>
    <w:rPr>
      <w:rFonts w:ascii="Arial" w:eastAsia="Calibri" w:hAnsi="Arial" w:cs="Arial"/>
    </w:rPr>
  </w:style>
  <w:style w:type="paragraph" w:customStyle="1" w:styleId="CenterTitle">
    <w:name w:val="Center Title"/>
    <w:basedOn w:val="Normal"/>
    <w:rsid w:val="00534900"/>
    <w:pPr>
      <w:jc w:val="center"/>
    </w:pPr>
    <w:rPr>
      <w:sz w:val="24"/>
    </w:rPr>
  </w:style>
  <w:style w:type="paragraph" w:styleId="BalloonText">
    <w:name w:val="Balloon Text"/>
    <w:basedOn w:val="Normal"/>
    <w:link w:val="BalloonTextChar"/>
    <w:rsid w:val="00534900"/>
    <w:rPr>
      <w:rFonts w:ascii="Tahoma" w:hAnsi="Tahoma" w:cs="Tahoma"/>
      <w:sz w:val="16"/>
      <w:szCs w:val="16"/>
    </w:rPr>
  </w:style>
  <w:style w:type="character" w:customStyle="1" w:styleId="BalloonTextChar">
    <w:name w:val="Balloon Text Char"/>
    <w:link w:val="BalloonText"/>
    <w:rsid w:val="00534900"/>
    <w:rPr>
      <w:rFonts w:ascii="Tahoma" w:hAnsi="Tahoma" w:cs="Tahoma"/>
      <w:sz w:val="16"/>
      <w:szCs w:val="16"/>
    </w:rPr>
  </w:style>
  <w:style w:type="character" w:styleId="CommentReference">
    <w:name w:val="annotation reference"/>
    <w:basedOn w:val="DefaultParagraphFont"/>
    <w:rsid w:val="007F76CA"/>
    <w:rPr>
      <w:sz w:val="16"/>
      <w:szCs w:val="16"/>
    </w:rPr>
  </w:style>
  <w:style w:type="paragraph" w:styleId="CommentText">
    <w:name w:val="annotation text"/>
    <w:basedOn w:val="Normal"/>
    <w:link w:val="CommentTextChar"/>
    <w:rsid w:val="007F76CA"/>
  </w:style>
  <w:style w:type="character" w:customStyle="1" w:styleId="CommentTextChar">
    <w:name w:val="Comment Text Char"/>
    <w:basedOn w:val="DefaultParagraphFont"/>
    <w:link w:val="CommentText"/>
    <w:rsid w:val="007F76CA"/>
  </w:style>
  <w:style w:type="paragraph" w:styleId="CommentSubject">
    <w:name w:val="annotation subject"/>
    <w:basedOn w:val="CommentText"/>
    <w:next w:val="CommentText"/>
    <w:link w:val="CommentSubjectChar"/>
    <w:rsid w:val="007F76CA"/>
    <w:rPr>
      <w:b/>
      <w:bCs/>
    </w:rPr>
  </w:style>
  <w:style w:type="character" w:customStyle="1" w:styleId="CommentSubjectChar">
    <w:name w:val="Comment Subject Char"/>
    <w:basedOn w:val="CommentTextChar"/>
    <w:link w:val="CommentSubject"/>
    <w:rsid w:val="007F7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534900"/>
    <w:pPr>
      <w:autoSpaceDE w:val="0"/>
      <w:autoSpaceDN w:val="0"/>
      <w:adjustRightInd w:val="0"/>
      <w:ind w:left="720"/>
      <w:contextualSpacing/>
    </w:pPr>
    <w:rPr>
      <w:rFonts w:ascii="Arial" w:eastAsia="Calibri" w:hAnsi="Arial" w:cs="Arial"/>
    </w:rPr>
  </w:style>
  <w:style w:type="paragraph" w:customStyle="1" w:styleId="CenterTitle">
    <w:name w:val="Center Title"/>
    <w:basedOn w:val="Normal"/>
    <w:rsid w:val="00534900"/>
    <w:pPr>
      <w:jc w:val="center"/>
    </w:pPr>
    <w:rPr>
      <w:sz w:val="24"/>
    </w:rPr>
  </w:style>
  <w:style w:type="paragraph" w:styleId="BalloonText">
    <w:name w:val="Balloon Text"/>
    <w:basedOn w:val="Normal"/>
    <w:link w:val="BalloonTextChar"/>
    <w:rsid w:val="00534900"/>
    <w:rPr>
      <w:rFonts w:ascii="Tahoma" w:hAnsi="Tahoma" w:cs="Tahoma"/>
      <w:sz w:val="16"/>
      <w:szCs w:val="16"/>
    </w:rPr>
  </w:style>
  <w:style w:type="character" w:customStyle="1" w:styleId="BalloonTextChar">
    <w:name w:val="Balloon Text Char"/>
    <w:link w:val="BalloonText"/>
    <w:rsid w:val="00534900"/>
    <w:rPr>
      <w:rFonts w:ascii="Tahoma" w:hAnsi="Tahoma" w:cs="Tahoma"/>
      <w:sz w:val="16"/>
      <w:szCs w:val="16"/>
    </w:rPr>
  </w:style>
  <w:style w:type="character" w:styleId="CommentReference">
    <w:name w:val="annotation reference"/>
    <w:basedOn w:val="DefaultParagraphFont"/>
    <w:rsid w:val="007F76CA"/>
    <w:rPr>
      <w:sz w:val="16"/>
      <w:szCs w:val="16"/>
    </w:rPr>
  </w:style>
  <w:style w:type="paragraph" w:styleId="CommentText">
    <w:name w:val="annotation text"/>
    <w:basedOn w:val="Normal"/>
    <w:link w:val="CommentTextChar"/>
    <w:rsid w:val="007F76CA"/>
  </w:style>
  <w:style w:type="character" w:customStyle="1" w:styleId="CommentTextChar">
    <w:name w:val="Comment Text Char"/>
    <w:basedOn w:val="DefaultParagraphFont"/>
    <w:link w:val="CommentText"/>
    <w:rsid w:val="007F76CA"/>
  </w:style>
  <w:style w:type="paragraph" w:styleId="CommentSubject">
    <w:name w:val="annotation subject"/>
    <w:basedOn w:val="CommentText"/>
    <w:next w:val="CommentText"/>
    <w:link w:val="CommentSubjectChar"/>
    <w:rsid w:val="007F76CA"/>
    <w:rPr>
      <w:b/>
      <w:bCs/>
    </w:rPr>
  </w:style>
  <w:style w:type="character" w:customStyle="1" w:styleId="CommentSubjectChar">
    <w:name w:val="Comment Subject Char"/>
    <w:basedOn w:val="CommentTextChar"/>
    <w:link w:val="CommentSubject"/>
    <w:rsid w:val="007F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2011-12-28T21:41:00Z</dcterms:created>
  <dcterms:modified xsi:type="dcterms:W3CDTF">2011-12-28T21:41:00Z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-610670502</vt:i4>
  </property>
</Properties>
</file>